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6BA" w:rsidRDefault="001E16BA" w:rsidP="001E16BA">
      <w:pPr>
        <w:pStyle w:val="Titre1"/>
        <w:jc w:val="center"/>
      </w:pPr>
      <w:r>
        <w:t xml:space="preserve">Anne-Marie et Jean-Marc Vincent </w:t>
      </w:r>
      <w:proofErr w:type="spellStart"/>
      <w:r>
        <w:t>Santenay</w:t>
      </w:r>
      <w:proofErr w:type="spellEnd"/>
      <w:r>
        <w:t xml:space="preserve"> </w:t>
      </w:r>
      <w:r>
        <w:rPr>
          <w:rStyle w:val="cuvee"/>
        </w:rPr>
        <w:t>1er Cru Le Passetemps</w:t>
      </w:r>
    </w:p>
    <w:p w:rsidR="00FB7EFE" w:rsidRDefault="001E16BA" w:rsidP="001E16BA">
      <w:pPr>
        <w:pStyle w:val="NormalWeb"/>
        <w:jc w:val="center"/>
      </w:pPr>
      <w:r>
        <w:rPr>
          <w:noProof/>
        </w:rPr>
        <w:drawing>
          <wp:inline distT="0" distB="0" distL="0" distR="0">
            <wp:extent cx="952500" cy="3753015"/>
            <wp:effectExtent l="19050" t="0" r="0" b="0"/>
            <wp:docPr id="110" name="img-cible" descr="Anne-Marie et Jean-Marc Vincent Santenay  1er Cru Le Passete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cible" descr="Anne-Marie et Jean-Marc Vincent Santenay  1er Cru Le Passetemp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75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6BA" w:rsidRDefault="001E16BA" w:rsidP="005B08F5">
      <w:pPr>
        <w:pStyle w:val="NormalWeb"/>
      </w:pPr>
    </w:p>
    <w:p w:rsidR="001E16BA" w:rsidRDefault="001E16BA" w:rsidP="001E16BA">
      <w:pPr>
        <w:jc w:val="center"/>
      </w:pPr>
      <w:r>
        <w:t>Vin rouge - AOC - Cépage : Pinot noir</w:t>
      </w:r>
    </w:p>
    <w:p w:rsidR="001E16BA" w:rsidRDefault="001E16BA" w:rsidP="001E16BA">
      <w:pPr>
        <w:pStyle w:val="Titre2"/>
      </w:pPr>
      <w:r>
        <w:t>Présentation du vin</w:t>
      </w:r>
    </w:p>
    <w:p w:rsidR="001E16BA" w:rsidRDefault="001E16BA" w:rsidP="001E16BA">
      <w:pPr>
        <w:pStyle w:val="NormalWeb"/>
      </w:pPr>
      <w:r>
        <w:t xml:space="preserve">Le </w:t>
      </w:r>
      <w:hyperlink r:id="rId6" w:tooltip="Toutes les infos sur l'appellation Santenay : localisation, caractéristiques, producteurs et vins" w:history="1">
        <w:proofErr w:type="spellStart"/>
        <w:r>
          <w:rPr>
            <w:rStyle w:val="Lienhypertexte"/>
          </w:rPr>
          <w:t>Santenay</w:t>
        </w:r>
        <w:proofErr w:type="spellEnd"/>
      </w:hyperlink>
      <w:r>
        <w:t xml:space="preserve"> 1er cru rouge Le Passetemps est issu d’un terroir qui se situe entre le village et un autre 1er Cru, Les Gravières. Le sol est à </w:t>
      </w:r>
      <w:r>
        <w:rPr>
          <w:rStyle w:val="lev"/>
        </w:rPr>
        <w:t>dominante argilo-calcaire</w:t>
      </w:r>
      <w:r>
        <w:t xml:space="preserve"> et, pour la plupart des millésimes, il donne un vin qui nécessite quelques années de garde pour adoucir ses </w:t>
      </w:r>
      <w:hyperlink r:id="rId7" w:tooltip="Dictionnaire du vin  : définition de Tannin (ou tanin)" w:history="1">
        <w:r>
          <w:rPr>
            <w:rStyle w:val="Lienhypertexte"/>
          </w:rPr>
          <w:t>tanins</w:t>
        </w:r>
      </w:hyperlink>
      <w:r>
        <w:t xml:space="preserve">. A côté des autres 1ers Crus du domaine, Le Beaurepaire et Les Gravières, Le Passetemps est </w:t>
      </w:r>
      <w:r>
        <w:rPr>
          <w:rStyle w:val="lev"/>
        </w:rPr>
        <w:t>le moins facile d’accès dans sa jeunesse mais il vieillit très bien</w:t>
      </w:r>
      <w:r>
        <w:t>.</w:t>
      </w:r>
    </w:p>
    <w:p w:rsidR="001E16BA" w:rsidRDefault="001E16BA" w:rsidP="001E16BA">
      <w:pPr>
        <w:pStyle w:val="NormalWeb"/>
      </w:pPr>
      <w:r>
        <w:t>Son élevage dure 14 mois en fûts de chêne avec une proportion de 30 à 40 % de fûts neufs.</w:t>
      </w:r>
    </w:p>
    <w:p w:rsidR="001E16BA" w:rsidRDefault="001E16BA" w:rsidP="001E16BA">
      <w:pPr>
        <w:pStyle w:val="NormalWeb"/>
      </w:pPr>
      <w:r>
        <w:t xml:space="preserve">La robe de cette cuvée du </w:t>
      </w:r>
      <w:hyperlink r:id="rId8" w:tooltip="Anne-Marie et Jean-Marc Vincent Santenay avec L'Avis du Vin : présentation, infos pratiques et techniques, les vins et l'actualité de Anne-Marie et Jean-Marc Vincent" w:history="1">
        <w:r>
          <w:rPr>
            <w:rStyle w:val="Lienhypertexte"/>
          </w:rPr>
          <w:t>domaine Anne-Marie et Jean-Marc Vincent</w:t>
        </w:r>
      </w:hyperlink>
      <w:r>
        <w:t xml:space="preserve"> a une couleur rouge profond assez prononcée, donnée par une extraction poussée. Le nez révèle des notes de fruits rouges </w:t>
      </w:r>
      <w:proofErr w:type="spellStart"/>
      <w:r>
        <w:t>confiturés</w:t>
      </w:r>
      <w:proofErr w:type="spellEnd"/>
      <w:r>
        <w:t xml:space="preserve">, de fraise notamment, mais aussi de mûre et des notes florales, principalement de violette. </w:t>
      </w:r>
      <w:r>
        <w:rPr>
          <w:rStyle w:val="lev"/>
        </w:rPr>
        <w:t>La bouche est bien structurée et grasse, avec de l’acidité qui apporte une bonne fraicheur</w:t>
      </w:r>
      <w:r>
        <w:t>. Les tanins font preuve d’une certaine finesse et ils sont bien présents ce qui confèrera au vin une bonne garde d’une dizaine d’années.</w:t>
      </w:r>
    </w:p>
    <w:p w:rsidR="001E16BA" w:rsidRPr="0066384E" w:rsidRDefault="001E16BA" w:rsidP="0066384E">
      <w:pPr>
        <w:shd w:val="clear" w:color="auto" w:fill="FFFFFF"/>
        <w:rPr>
          <w:color w:val="000000"/>
        </w:rPr>
      </w:pPr>
      <w:r>
        <w:rPr>
          <w:color w:val="000000"/>
        </w:rPr>
        <w:br/>
      </w:r>
    </w:p>
    <w:sectPr w:rsidR="001E16BA" w:rsidRPr="0066384E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53AAD"/>
    <w:multiLevelType w:val="multilevel"/>
    <w:tmpl w:val="9914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36EB3"/>
    <w:multiLevelType w:val="multilevel"/>
    <w:tmpl w:val="383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1364CF"/>
    <w:rsid w:val="001E16BA"/>
    <w:rsid w:val="001E5E0E"/>
    <w:rsid w:val="0026276B"/>
    <w:rsid w:val="0028106F"/>
    <w:rsid w:val="002A30A3"/>
    <w:rsid w:val="00311C6C"/>
    <w:rsid w:val="00365147"/>
    <w:rsid w:val="00374861"/>
    <w:rsid w:val="003A0103"/>
    <w:rsid w:val="003D5108"/>
    <w:rsid w:val="00462FE8"/>
    <w:rsid w:val="004F22C2"/>
    <w:rsid w:val="00536EB8"/>
    <w:rsid w:val="00585602"/>
    <w:rsid w:val="005B08F5"/>
    <w:rsid w:val="005E1EE6"/>
    <w:rsid w:val="00630E87"/>
    <w:rsid w:val="0066384E"/>
    <w:rsid w:val="006B0CF3"/>
    <w:rsid w:val="006D564C"/>
    <w:rsid w:val="006F0A33"/>
    <w:rsid w:val="006F14A4"/>
    <w:rsid w:val="006F1BF4"/>
    <w:rsid w:val="00736A1E"/>
    <w:rsid w:val="007E7C9B"/>
    <w:rsid w:val="00816654"/>
    <w:rsid w:val="008946AF"/>
    <w:rsid w:val="008B5728"/>
    <w:rsid w:val="00945C1B"/>
    <w:rsid w:val="00A000A2"/>
    <w:rsid w:val="00AF3011"/>
    <w:rsid w:val="00B6200E"/>
    <w:rsid w:val="00B70AF3"/>
    <w:rsid w:val="00B90BFB"/>
    <w:rsid w:val="00C03EC5"/>
    <w:rsid w:val="00C63963"/>
    <w:rsid w:val="00D91731"/>
    <w:rsid w:val="00EA67AC"/>
    <w:rsid w:val="00F43C48"/>
    <w:rsid w:val="00FB7EFE"/>
    <w:rsid w:val="00F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que">
    <w:name w:val="marque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">
    <w:name w:val="reference"/>
    <w:basedOn w:val="Policepardfaut"/>
    <w:rsid w:val="006B0CF3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B0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ontant">
    <w:name w:val="montant"/>
    <w:basedOn w:val="Policepardfaut"/>
    <w:rsid w:val="006B0CF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B0C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wysiwyg-text-align-center">
    <w:name w:val="wysiwyg-text-align-center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uvee">
    <w:name w:val="cuvee"/>
    <w:basedOn w:val="Policepardfaut"/>
    <w:rsid w:val="005B08F5"/>
  </w:style>
  <w:style w:type="paragraph" w:customStyle="1" w:styleId="fiche-text">
    <w:name w:val="fiche-text"/>
    <w:basedOn w:val="Normal"/>
    <w:rsid w:val="0036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0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7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is-vin.lefigaro.fr/vins-champagne/bourgogne/cote-de-beaune/santenay/d16979-anne-marie-et-jean-marc-vinc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vis-vin.lefigaro.fr/connaitre-deguster/tout-savoir-sur-le-vin/dictionnaire-vin/o20424-tann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vis-vin.lefigaro.fr/connaitre-deguster/tout-savoir-sur-le-vin/guide-des-regions-et-des-appellations/bourgogne/cote-de-beaune/appellation-santena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2015-01-28T13:39:00Z</dcterms:created>
  <dcterms:modified xsi:type="dcterms:W3CDTF">2015-01-28T13:39:00Z</dcterms:modified>
</cp:coreProperties>
</file>