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Methods</w:t>
      </w:r>
    </w:p>
    <w:p>
      <w:pPr>
        <w:pStyle w:val="Heading2"/>
      </w:pPr>
      <w:r>
        <w:t>Amplicon library and primers</w:t>
      </w:r>
    </w:p>
    <w:p>
      <w:r>
        <w:t>Samples were sequenced on the QIAseq 16S/ITS Screening Panel, which co-amplifies seven variable-region/ITS targets per sample in one library (V1V2, V2V3, V3V4, V4V5, V5V7, V7V9, ITS1) using phased primers (0–11 staggering bases prepended per primer, to improve base-calling diversity). Reads were paired-end, 2×276 bp. Primer sequences (phase-0 core, degenerate bases collapsed to IUPAC) were recovered from QIAGEN's own demultiplexer reference file (</w:t>
      </w:r>
      <w:r>
        <w:rPr>
          <w:rFonts w:ascii="Consolas" w:hAnsi="Consolas"/>
          <w:sz w:val="20"/>
        </w:rPr>
        <w:t>16S_primers_ScreeningPanel_Demultiplex_Final.txt.expanded</w:t>
      </w:r>
      <w:r>
        <w:t xml:space="preserve">, shipped inside the official </w:t>
      </w:r>
      <w:r>
        <w:rPr>
          <w:rFonts w:ascii="Consolas" w:hAnsi="Consolas"/>
          <w:sz w:val="20"/>
        </w:rPr>
        <w:t>qiaseq/qiaseq-16s</w:t>
      </w:r>
      <w:r>
        <w:t xml:space="preserve"> container) rather than assumed from public primer databases.</w:t>
      </w:r>
    </w:p>
    <w:p>
      <w:pPr>
        <w:pStyle w:val="Heading2"/>
      </w:pPr>
      <w:r>
        <w:t>Region-wise demultiplexing</w:t>
      </w:r>
    </w:p>
    <w:p>
      <w:r>
        <w:t>Because all seven amplicons share one library, reads were split into per-region FASTQ files before any downstream processing — pooling amplicons of different lengths into one DADA2 run is invalid (a single truncation length cannot serve incompatible amplicon lengths, and the error model would be fit across non-comparable data).</w:t>
      </w:r>
    </w:p>
    <w:p>
      <w:r>
        <w:t xml:space="preserve">Demultiplexing used </w:t>
      </w:r>
      <w:r>
        <w:rPr>
          <w:b/>
        </w:rPr>
        <w:t>cutadapt</w:t>
      </w:r>
      <w:r>
        <w:t xml:space="preserve"> (≥3.4 required; developed/tested against 5.2) with paired-adapter matching (</w:t>
      </w:r>
      <w:r>
        <w:rPr>
          <w:rFonts w:ascii="Consolas" w:hAnsi="Consolas"/>
          <w:sz w:val="20"/>
        </w:rPr>
        <w:t>--pair-adapters</w:t>
      </w:r>
      <w:r>
        <w:t xml:space="preserve">): a read pair was assigned to a region only when R1 carried that region's forward primer </w:t>
      </w:r>
      <w:r>
        <w:rPr>
          <w:b/>
        </w:rPr>
        <w:t>and</w:t>
      </w:r>
      <w:r>
        <w:t xml:space="preserve"> R2 carried the matching reverse primer, matched with an unanchored 5′ search so any phasing prefix was removed together with the primer in one trim. Parameters:</w:t>
      </w:r>
    </w:p>
    <w:tbl>
      <w:tblPr>
        <w:tblStyle w:val="LightGrid-Accent1"/>
        <w:tblW w:type="auto" w:w="0"/>
        <w:tblLook w:firstColumn="1" w:firstRow="1" w:lastColumn="0" w:lastRow="0" w:noHBand="0" w:noVBand="1" w:val="04A0"/>
      </w:tblPr>
      <w:tblGrid>
        <w:gridCol w:w="4680"/>
        <w:gridCol w:w="4680"/>
      </w:tblGrid>
      <w:tr>
        <w:tc>
          <w:tcPr>
            <w:tcW w:type="dxa" w:w="4680"/>
            <w:shd w:fill="D9E2F3"/>
          </w:tcPr>
          <w:p>
            <w:r>
              <w:rPr>
                <w:b/>
              </w:rPr>
              <w:t>Parameter</w:t>
            </w:r>
          </w:p>
        </w:tc>
        <w:tc>
          <w:tcPr>
            <w:tcW w:type="dxa" w:w="4680"/>
            <w:shd w:fill="D9E2F3"/>
          </w:tcPr>
          <w:p>
            <w:r>
              <w:rPr>
                <w:b/>
              </w:rPr>
              <w:t>Value</w:t>
            </w:r>
          </w:p>
        </w:tc>
      </w:tr>
      <w:tr>
        <w:tc>
          <w:tcPr>
            <w:tcW w:type="dxa" w:w="4680"/>
          </w:tcPr>
          <w:p>
            <w:r>
              <w:t>Error rate (</w:t>
            </w:r>
            <w:r>
              <w:rPr>
                <w:rFonts w:ascii="Consolas" w:hAnsi="Consolas"/>
                <w:sz w:val="20"/>
              </w:rPr>
              <w:t>-e</w:t>
            </w:r>
            <w:r>
              <w:t>)</w:t>
            </w:r>
          </w:p>
        </w:tc>
        <w:tc>
          <w:tcPr>
            <w:tcW w:type="dxa" w:w="4680"/>
          </w:tcPr>
          <w:p>
            <w:r>
              <w:t>0.15</w:t>
            </w:r>
          </w:p>
        </w:tc>
      </w:tr>
      <w:tr>
        <w:tc>
          <w:tcPr>
            <w:tcW w:type="dxa" w:w="4680"/>
          </w:tcPr>
          <w:p>
            <w:r>
              <w:t>Minimum overlap (</w:t>
            </w:r>
            <w:r>
              <w:rPr>
                <w:rFonts w:ascii="Consolas" w:hAnsi="Consolas"/>
                <w:sz w:val="20"/>
              </w:rPr>
              <w:t>-O</w:t>
            </w:r>
            <w:r>
              <w:t>)</w:t>
            </w:r>
          </w:p>
        </w:tc>
        <w:tc>
          <w:tcPr>
            <w:tcW w:type="dxa" w:w="4680"/>
          </w:tcPr>
          <w:p>
            <w:r>
              <w:t>15 nt (shortest primer across the full panel; applied uniformly to every region)</w:t>
            </w:r>
          </w:p>
        </w:tc>
      </w:tr>
      <w:tr>
        <w:tc>
          <w:tcPr>
            <w:tcW w:type="dxa" w:w="4680"/>
          </w:tcPr>
          <w:p>
            <w:r>
              <w:t>Minimum length post-trim</w:t>
            </w:r>
          </w:p>
        </w:tc>
        <w:tc>
          <w:tcPr>
            <w:tcW w:type="dxa" w:w="4680"/>
          </w:tcPr>
          <w:p>
            <w:r>
              <w:t>100 bp</w:t>
            </w:r>
          </w:p>
        </w:tc>
      </w:tr>
    </w:tbl>
    <w:p/>
    <w:p>
      <w:r>
        <w:t xml:space="preserve">Read pairs matching no region's primer pair went to an </w:t>
      </w:r>
      <w:r>
        <w:rPr>
          <w:rFonts w:ascii="Consolas" w:hAnsi="Consolas"/>
          <w:sz w:val="20"/>
        </w:rPr>
        <w:t>unknown</w:t>
      </w:r>
      <w:r>
        <w:t xml:space="preserve"> bin (inspected, not discarded) rather than being silently dropped. For ITS, where amplicon length can be shorter than the read, a second cutadapt pass removed 3′ read-through of the opposite primer.</w:t>
      </w:r>
    </w:p>
    <w:p>
      <w:pPr>
        <w:pStyle w:val="Heading2"/>
      </w:pPr>
      <w:r>
        <w:t>Per-region sample sheets and inclusion threshold</w:t>
      </w:r>
    </w:p>
    <w:p>
      <w:r>
        <w:t xml:space="preserve">Samples with fewer than </w:t>
      </w:r>
      <w:r>
        <w:rPr>
          <w:b/>
        </w:rPr>
        <w:t>1,000 read pairs</w:t>
      </w:r>
      <w:r>
        <w:t xml:space="preserve"> in a given region (after demultiplexing) were excluded from that region's ASV inference — DADA2 fits a per-sample error model, and a near-empty sample can degrade or fail the model for an entire region's run. Exclusion is per region: a sample absent from one region for this reason can still be present and analyzed in another.</w:t>
      </w:r>
    </w:p>
    <w:p>
      <w:pPr>
        <w:pStyle w:val="Heading2"/>
      </w:pPr>
      <w:r>
        <w:t>ASV inference (nf-core/ampliseq / DADA2)</w:t>
      </w:r>
    </w:p>
    <w:p>
      <w:r>
        <w:t>Each region was processed as an independent nf-core/ampliseq run (own working directory and output, so regions never share state), primers already removed (</w:t>
      </w:r>
      <w:r>
        <w:rPr>
          <w:rFonts w:ascii="Consolas" w:hAnsi="Consolas"/>
          <w:sz w:val="20"/>
        </w:rPr>
        <w:t>--skip_cutadapt</w:t>
      </w:r>
      <w:r>
        <w:t xml:space="preserve">). Truncation lengths were set per region from empirical read-quality and per-region amplicon length, subject to two constraints: (i) budget — </w:t>
      </w:r>
      <w:r>
        <w:rPr>
          <w:rFonts w:ascii="Consolas" w:hAnsi="Consolas"/>
          <w:sz w:val="20"/>
        </w:rPr>
        <w:t>trunclenf</w:t>
      </w:r>
      <w:r>
        <w:t xml:space="preserve"> must leave enough usable bases after subtracting phasing (≤11 bp) and primer length; (ii) overlap — </w:t>
      </w:r>
      <w:r>
        <w:rPr>
          <w:rFonts w:ascii="Consolas" w:hAnsi="Consolas"/>
          <w:sz w:val="20"/>
        </w:rPr>
        <w:t>trunclenf + trunclenr</w:t>
      </w:r>
      <w:r>
        <w:t xml:space="preserve"> must exceed the primer-to-primer insert size by DADA2's minimum merge overlap (12 bp) plus a margin.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D9E2F3"/>
          </w:tcPr>
          <w:p>
            <w:r>
              <w:rPr>
                <w:b/>
              </w:rPr>
              <w:t>Region</w:t>
            </w:r>
          </w:p>
        </w:tc>
        <w:tc>
          <w:tcPr>
            <w:tcW w:type="dxa" w:w="2340"/>
            <w:shd w:fill="D9E2F3"/>
          </w:tcPr>
          <w:p>
            <w:r>
              <w:rPr>
                <w:b/>
              </w:rPr>
              <w:t>Amplicon (bp, incl. primers)</w:t>
            </w:r>
          </w:p>
        </w:tc>
        <w:tc>
          <w:tcPr>
            <w:tcW w:type="dxa" w:w="2340"/>
            <w:shd w:fill="D9E2F3"/>
          </w:tcPr>
          <w:p>
            <w:r>
              <w:rPr>
                <w:b/>
              </w:rPr>
              <w:t>trunclenF</w:t>
            </w:r>
          </w:p>
        </w:tc>
        <w:tc>
          <w:tcPr>
            <w:tcW w:type="dxa" w:w="2340"/>
            <w:shd w:fill="D9E2F3"/>
          </w:tcPr>
          <w:p>
            <w:r>
              <w:rPr>
                <w:b/>
              </w:rPr>
              <w:t>trunclenR</w:t>
            </w:r>
          </w:p>
        </w:tc>
      </w:tr>
      <w:tr>
        <w:tc>
          <w:tcPr>
            <w:tcW w:type="dxa" w:w="2340"/>
          </w:tcPr>
          <w:p>
            <w:r>
              <w:t>V1V2</w:t>
            </w:r>
          </w:p>
        </w:tc>
        <w:tc>
          <w:tcPr>
            <w:tcW w:type="dxa" w:w="2340"/>
          </w:tcPr>
          <w:p>
            <w:r>
              <w:t>331</w:t>
            </w:r>
          </w:p>
        </w:tc>
        <w:tc>
          <w:tcPr>
            <w:tcW w:type="dxa" w:w="2340"/>
          </w:tcPr>
          <w:p>
            <w:r>
              <w:t>210</w:t>
            </w:r>
          </w:p>
        </w:tc>
        <w:tc>
          <w:tcPr>
            <w:tcW w:type="dxa" w:w="2340"/>
          </w:tcPr>
          <w:p>
            <w:r>
              <w:t>185</w:t>
            </w:r>
          </w:p>
        </w:tc>
      </w:tr>
      <w:tr>
        <w:tc>
          <w:tcPr>
            <w:tcW w:type="dxa" w:w="2340"/>
          </w:tcPr>
          <w:p>
            <w:r>
              <w:t>V2V3</w:t>
            </w:r>
          </w:p>
        </w:tc>
        <w:tc>
          <w:tcPr>
            <w:tcW w:type="dxa" w:w="2340"/>
          </w:tcPr>
          <w:p>
            <w:r>
              <w:t>418</w:t>
            </w:r>
          </w:p>
        </w:tc>
        <w:tc>
          <w:tcPr>
            <w:tcW w:type="dxa" w:w="2340"/>
          </w:tcPr>
          <w:p>
            <w:r>
              <w:t>225</w:t>
            </w:r>
          </w:p>
        </w:tc>
        <w:tc>
          <w:tcPr>
            <w:tcW w:type="dxa" w:w="2340"/>
          </w:tcPr>
          <w:p>
            <w:r>
              <w:t>200</w:t>
            </w:r>
          </w:p>
        </w:tc>
      </w:tr>
      <w:tr>
        <w:tc>
          <w:tcPr>
            <w:tcW w:type="dxa" w:w="2340"/>
          </w:tcPr>
          <w:p>
            <w:r>
              <w:t>V3V4</w:t>
            </w:r>
          </w:p>
        </w:tc>
        <w:tc>
          <w:tcPr>
            <w:tcW w:type="dxa" w:w="2340"/>
          </w:tcPr>
          <w:p>
            <w:r>
              <w:t>449</w:t>
            </w:r>
          </w:p>
        </w:tc>
        <w:tc>
          <w:tcPr>
            <w:tcW w:type="dxa" w:w="2340"/>
          </w:tcPr>
          <w:p>
            <w:r>
              <w:t>235</w:t>
            </w:r>
          </w:p>
        </w:tc>
        <w:tc>
          <w:tcPr>
            <w:tcW w:type="dxa" w:w="2340"/>
          </w:tcPr>
          <w:p>
            <w:r>
              <w:t>215</w:t>
            </w:r>
          </w:p>
        </w:tc>
      </w:tr>
      <w:tr>
        <w:tc>
          <w:tcPr>
            <w:tcW w:type="dxa" w:w="2340"/>
          </w:tcPr>
          <w:p>
            <w:r>
              <w:t>V4V5</w:t>
            </w:r>
          </w:p>
        </w:tc>
        <w:tc>
          <w:tcPr>
            <w:tcW w:type="dxa" w:w="2340"/>
          </w:tcPr>
          <w:p>
            <w:r>
              <w:t>412</w:t>
            </w:r>
          </w:p>
        </w:tc>
        <w:tc>
          <w:tcPr>
            <w:tcW w:type="dxa" w:w="2340"/>
          </w:tcPr>
          <w:p>
            <w:r>
              <w:t>225</w:t>
            </w:r>
          </w:p>
        </w:tc>
        <w:tc>
          <w:tcPr>
            <w:tcW w:type="dxa" w:w="2340"/>
          </w:tcPr>
          <w:p>
            <w:r>
              <w:t>200</w:t>
            </w:r>
          </w:p>
        </w:tc>
      </w:tr>
      <w:tr>
        <w:tc>
          <w:tcPr>
            <w:tcW w:type="dxa" w:w="2340"/>
          </w:tcPr>
          <w:p>
            <w:r>
              <w:t>V5V7</w:t>
            </w:r>
          </w:p>
        </w:tc>
        <w:tc>
          <w:tcPr>
            <w:tcW w:type="dxa" w:w="2340"/>
          </w:tcPr>
          <w:p>
            <w:r>
              <w:t>391</w:t>
            </w:r>
          </w:p>
        </w:tc>
        <w:tc>
          <w:tcPr>
            <w:tcW w:type="dxa" w:w="2340"/>
          </w:tcPr>
          <w:p>
            <w:r>
              <w:t>220</w:t>
            </w:r>
          </w:p>
        </w:tc>
        <w:tc>
          <w:tcPr>
            <w:tcW w:type="dxa" w:w="2340"/>
          </w:tcPr>
          <w:p>
            <w:r>
              <w:t>195</w:t>
            </w:r>
          </w:p>
        </w:tc>
      </w:tr>
      <w:tr>
        <w:tc>
          <w:tcPr>
            <w:tcW w:type="dxa" w:w="2340"/>
          </w:tcPr>
          <w:p>
            <w:r>
              <w:t>V7V9</w:t>
            </w:r>
          </w:p>
        </w:tc>
        <w:tc>
          <w:tcPr>
            <w:tcW w:type="dxa" w:w="2340"/>
          </w:tcPr>
          <w:p>
            <w:r>
              <w:t>393</w:t>
            </w:r>
          </w:p>
        </w:tc>
        <w:tc>
          <w:tcPr>
            <w:tcW w:type="dxa" w:w="2340"/>
          </w:tcPr>
          <w:p>
            <w:r>
              <w:t>225</w:t>
            </w:r>
          </w:p>
        </w:tc>
        <w:tc>
          <w:tcPr>
            <w:tcW w:type="dxa" w:w="2340"/>
          </w:tcPr>
          <w:p>
            <w:r>
              <w:t>195</w:t>
            </w:r>
          </w:p>
        </w:tc>
      </w:tr>
      <w:tr>
        <w:tc>
          <w:tcPr>
            <w:tcW w:type="dxa" w:w="2340"/>
          </w:tcPr>
          <w:p>
            <w:r>
              <w:t>ITS</w:t>
            </w:r>
          </w:p>
        </w:tc>
        <w:tc>
          <w:tcPr>
            <w:tcW w:type="dxa" w:w="2340"/>
          </w:tcPr>
          <w:p>
            <w:r>
              <w:t>variable (~230–450)</w:t>
            </w:r>
          </w:p>
        </w:tc>
        <w:tc>
          <w:tcPr>
            <w:tcW w:type="dxa" w:w="2340"/>
          </w:tcPr>
          <w:p>
            <w:r>
              <w:t>auto (quality-based)</w:t>
            </w:r>
          </w:p>
        </w:tc>
        <w:tc>
          <w:tcPr>
            <w:tcW w:type="dxa" w:w="2340"/>
          </w:tcPr>
          <w:p>
            <w:r>
              <w:t>auto (quality-based)</w:t>
            </w:r>
          </w:p>
        </w:tc>
      </w:tr>
    </w:tbl>
    <w:p/>
    <w:p>
      <w:r>
        <w:t xml:space="preserve">DADA2 steps and parameters (as recorded by the pipeline; defaults except </w:t>
      </w:r>
      <w:r>
        <w:rPr>
          <w:rFonts w:ascii="Consolas" w:hAnsi="Consolas"/>
          <w:sz w:val="20"/>
        </w:rPr>
        <w:t>truncLen</w:t>
      </w:r>
      <w:r>
        <w:t>, which is per-region above):</w:t>
      </w:r>
    </w:p>
    <w:tbl>
      <w:tblPr>
        <w:tblStyle w:val="LightGrid-Accent1"/>
        <w:tblW w:type="auto" w:w="0"/>
        <w:tblLook w:firstColumn="1" w:firstRow="1" w:lastColumn="0" w:lastRow="0" w:noHBand="0" w:noVBand="1" w:val="04A0"/>
      </w:tblPr>
      <w:tblGrid>
        <w:gridCol w:w="4680"/>
        <w:gridCol w:w="4680"/>
      </w:tblGrid>
      <w:tr>
        <w:tc>
          <w:tcPr>
            <w:tcW w:type="dxa" w:w="4680"/>
            <w:shd w:fill="D9E2F3"/>
          </w:tcPr>
          <w:p>
            <w:r>
              <w:rPr>
                <w:b/>
              </w:rPr>
              <w:t>Step</w:t>
            </w:r>
          </w:p>
        </w:tc>
        <w:tc>
          <w:tcPr>
            <w:tcW w:type="dxa" w:w="4680"/>
            <w:shd w:fill="D9E2F3"/>
          </w:tcPr>
          <w:p>
            <w:r>
              <w:rPr>
                <w:b/>
              </w:rPr>
              <w:t>Key parameters</w:t>
            </w:r>
          </w:p>
        </w:tc>
      </w:tr>
      <w:tr>
        <w:tc>
          <w:tcPr>
            <w:tcW w:type="dxa" w:w="4680"/>
          </w:tcPr>
          <w:p>
            <w:r>
              <w:rPr>
                <w:rFonts w:ascii="Consolas" w:hAnsi="Consolas"/>
                <w:sz w:val="20"/>
              </w:rPr>
              <w:t>filterAndTrim</w:t>
            </w:r>
          </w:p>
        </w:tc>
        <w:tc>
          <w:tcPr>
            <w:tcW w:type="dxa" w:w="4680"/>
          </w:tcPr>
          <w:p>
            <w:r>
              <w:rPr>
                <w:rFonts w:ascii="Consolas" w:hAnsi="Consolas"/>
                <w:sz w:val="20"/>
              </w:rPr>
              <w:t>truncLen</w:t>
            </w:r>
            <w:r>
              <w:t xml:space="preserve"> per region above; </w:t>
            </w:r>
            <w:r>
              <w:rPr>
                <w:rFonts w:ascii="Consolas" w:hAnsi="Consolas"/>
                <w:sz w:val="20"/>
              </w:rPr>
              <w:t>maxN = 0</w:t>
            </w:r>
            <w:r>
              <w:t xml:space="preserve">; </w:t>
            </w:r>
            <w:r>
              <w:rPr>
                <w:rFonts w:ascii="Consolas" w:hAnsi="Consolas"/>
                <w:sz w:val="20"/>
              </w:rPr>
              <w:t>truncQ = 2</w:t>
            </w:r>
            <w:r>
              <w:t xml:space="preserve">; </w:t>
            </w:r>
            <w:r>
              <w:rPr>
                <w:rFonts w:ascii="Consolas" w:hAnsi="Consolas"/>
                <w:sz w:val="20"/>
              </w:rPr>
              <w:t>maxEE = c(2, 2)</w:t>
            </w:r>
            <w:r>
              <w:t xml:space="preserve">; </w:t>
            </w:r>
            <w:r>
              <w:rPr>
                <w:rFonts w:ascii="Consolas" w:hAnsi="Consolas"/>
                <w:sz w:val="20"/>
              </w:rPr>
              <w:t>minLen = 50</w:t>
            </w:r>
            <w:r>
              <w:t xml:space="preserve">; </w:t>
            </w:r>
            <w:r>
              <w:rPr>
                <w:rFonts w:ascii="Consolas" w:hAnsi="Consolas"/>
                <w:sz w:val="20"/>
              </w:rPr>
              <w:t>rm.phix = TRUE</w:t>
            </w:r>
          </w:p>
        </w:tc>
      </w:tr>
      <w:tr>
        <w:tc>
          <w:tcPr>
            <w:tcW w:type="dxa" w:w="4680"/>
          </w:tcPr>
          <w:p>
            <w:r>
              <w:rPr>
                <w:rFonts w:ascii="Consolas" w:hAnsi="Consolas"/>
                <w:sz w:val="20"/>
              </w:rPr>
              <w:t>learnErrors</w:t>
            </w:r>
          </w:p>
        </w:tc>
        <w:tc>
          <w:tcPr>
            <w:tcW w:type="dxa" w:w="4680"/>
          </w:tcPr>
          <w:p>
            <w:r>
              <w:rPr>
                <w:rFonts w:ascii="Consolas" w:hAnsi="Consolas"/>
                <w:sz w:val="20"/>
              </w:rPr>
              <w:t>nbases = 1e8</w:t>
            </w:r>
            <w:r>
              <w:t>, sampled per region across all its retained samples jointly</w:t>
            </w:r>
          </w:p>
        </w:tc>
      </w:tr>
      <w:tr>
        <w:tc>
          <w:tcPr>
            <w:tcW w:type="dxa" w:w="4680"/>
          </w:tcPr>
          <w:p>
            <w:r>
              <w:rPr>
                <w:rFonts w:ascii="Consolas" w:hAnsi="Consolas"/>
                <w:sz w:val="20"/>
              </w:rPr>
              <w:t>dada</w:t>
            </w:r>
            <w:r>
              <w:t xml:space="preserve"> (ASV inference)</w:t>
            </w:r>
          </w:p>
        </w:tc>
        <w:tc>
          <w:tcPr>
            <w:tcW w:type="dxa" w:w="4680"/>
          </w:tcPr>
          <w:p>
            <w:r>
              <w:t xml:space="preserve">default parameters, </w:t>
            </w:r>
            <w:r>
              <w:rPr>
                <w:rFonts w:ascii="Consolas" w:hAnsi="Consolas"/>
                <w:sz w:val="20"/>
              </w:rPr>
              <w:t>pool = FALSE</w:t>
            </w:r>
            <w:r>
              <w:t xml:space="preserve"> (per-sample, error model shared per region)</w:t>
            </w:r>
          </w:p>
        </w:tc>
      </w:tr>
      <w:tr>
        <w:tc>
          <w:tcPr>
            <w:tcW w:type="dxa" w:w="4680"/>
          </w:tcPr>
          <w:p>
            <w:r>
              <w:rPr>
                <w:rFonts w:ascii="Consolas" w:hAnsi="Consolas"/>
                <w:sz w:val="20"/>
              </w:rPr>
              <w:t>mergePairs</w:t>
            </w:r>
          </w:p>
        </w:tc>
        <w:tc>
          <w:tcPr>
            <w:tcW w:type="dxa" w:w="4680"/>
          </w:tcPr>
          <w:p>
            <w:r>
              <w:rPr>
                <w:rFonts w:ascii="Consolas" w:hAnsi="Consolas"/>
                <w:sz w:val="20"/>
              </w:rPr>
              <w:t>minOverlap = 12</w:t>
            </w:r>
            <w:r>
              <w:t xml:space="preserve">, </w:t>
            </w:r>
            <w:r>
              <w:rPr>
                <w:rFonts w:ascii="Consolas" w:hAnsi="Consolas"/>
                <w:sz w:val="20"/>
              </w:rPr>
              <w:t>maxMismatch = 0</w:t>
            </w:r>
          </w:p>
        </w:tc>
      </w:tr>
      <w:tr>
        <w:tc>
          <w:tcPr>
            <w:tcW w:type="dxa" w:w="4680"/>
          </w:tcPr>
          <w:p>
            <w:r>
              <w:rPr>
                <w:rFonts w:ascii="Consolas" w:hAnsi="Consolas"/>
                <w:sz w:val="20"/>
              </w:rPr>
              <w:t>removeBimeraDenovo</w:t>
            </w:r>
          </w:p>
        </w:tc>
        <w:tc>
          <w:tcPr>
            <w:tcW w:type="dxa" w:w="4680"/>
          </w:tcPr>
          <w:p>
            <w:r>
              <w:rPr>
                <w:rFonts w:ascii="Consolas" w:hAnsi="Consolas"/>
                <w:sz w:val="20"/>
              </w:rPr>
              <w:t>method = "consensus"</w:t>
            </w:r>
            <w:r>
              <w:t xml:space="preserve"> (default UCHIME-based chimera removal)</w:t>
            </w:r>
          </w:p>
        </w:tc>
      </w:tr>
    </w:tbl>
    <w:p/>
    <w:p>
      <w:r>
        <w:t xml:space="preserve">Merged, chimera-filtered ASVs shorter than </w:t>
      </w:r>
      <w:r>
        <w:rPr>
          <w:b/>
        </w:rPr>
        <w:t>100 bp</w:t>
      </w:r>
      <w:r>
        <w:t xml:space="preserve"> (</w:t>
      </w:r>
      <w:r>
        <w:rPr>
          <w:rFonts w:ascii="Consolas" w:hAnsi="Consolas"/>
          <w:sz w:val="20"/>
        </w:rPr>
        <w:t>min_len_asv</w:t>
      </w:r>
      <w:r>
        <w:t xml:space="preserve">) were then excluded (ampliseq's </w:t>
      </w:r>
      <w:r>
        <w:rPr>
          <w:rFonts w:ascii="Consolas" w:hAnsi="Consolas"/>
          <w:sz w:val="20"/>
        </w:rPr>
        <w:t>FILTER_LEN_ASV</w:t>
      </w:r>
      <w:r>
        <w:t xml:space="preserve"> step).</w:t>
      </w:r>
    </w:p>
    <w:p>
      <w:pPr>
        <w:pStyle w:val="Heading2"/>
      </w:pPr>
      <w:r>
        <w:t>Taxonomic classification</w:t>
      </w:r>
    </w:p>
    <w:p>
      <w:r>
        <w:t xml:space="preserve">Bacterial/archaeal regions (V1V2, V2V3, V3V4, V4V5, V5V7, V7V9) were classified against </w:t>
      </w:r>
      <w:r>
        <w:rPr>
          <w:b/>
        </w:rPr>
        <w:t>SILVA 138.2</w:t>
      </w:r>
      <w:r>
        <w:t xml:space="preserve"> (prokaryotic SSU). ITS was classified against </w:t>
      </w:r>
      <w:r>
        <w:rPr>
          <w:b/>
        </w:rPr>
        <w:t>UNITE general FASTA release for Fungi, version 10.0</w:t>
      </w:r>
      <w:r>
        <w:t xml:space="preserve"> (release 04.04.2024). Both use DADA2's RDP-style naive Bayesian classifier (</w:t>
      </w:r>
      <w:r>
        <w:rPr>
          <w:rFonts w:ascii="Consolas" w:hAnsi="Consolas"/>
          <w:sz w:val="20"/>
        </w:rPr>
        <w:t>assignTaxonomy</w:t>
      </w:r>
      <w:r>
        <w:t xml:space="preserve">, </w:t>
      </w:r>
      <w:r>
        <w:rPr>
          <w:rFonts w:ascii="Consolas" w:hAnsi="Consolas"/>
          <w:sz w:val="20"/>
        </w:rPr>
        <w:t>minBoot = 50</w:t>
      </w:r>
      <w:r>
        <w:t xml:space="preserve"> — i.e. a rank is only reported if it clears 50% bootstrap support; lower-confidence ranks are left blank rather than guessed), followed by exact-match species-level assignment (</w:t>
      </w:r>
      <w:r>
        <w:rPr>
          <w:rFonts w:ascii="Consolas" w:hAnsi="Consolas"/>
          <w:sz w:val="20"/>
        </w:rPr>
        <w:t>addSpecies</w:t>
      </w:r>
      <w:r>
        <w:t xml:space="preserve">, </w:t>
      </w:r>
      <w:r>
        <w:rPr>
          <w:rFonts w:ascii="Consolas" w:hAnsi="Consolas"/>
          <w:sz w:val="20"/>
        </w:rPr>
        <w:t>tryRC = FALSE</w:t>
      </w:r>
      <w:r>
        <w:t xml:space="preserve">). The reported classifier </w:t>
      </w:r>
      <w:r>
        <w:rPr>
          <w:b/>
        </w:rPr>
        <w:t>confidence</w:t>
      </w:r>
      <w:r>
        <w:t xml:space="preserve"> value used throughout this analysis is this bootstrap-support proportion.</w:t>
      </w:r>
    </w:p>
    <w:p>
      <w:pPr>
        <w:pStyle w:val="Heading2"/>
      </w:pPr>
      <w:r>
        <w:t>Host/reagent contaminant exclusion</w:t>
      </w:r>
    </w:p>
    <w:p>
      <w:r>
        <w:t xml:space="preserve">ASVs classified as </w:t>
      </w:r>
      <w:r>
        <w:rPr>
          <w:b/>
        </w:rPr>
        <w:t>Mitochondria</w:t>
      </w:r>
      <w:r>
        <w:t xml:space="preserve"> or </w:t>
      </w:r>
      <w:r>
        <w:rPr>
          <w:b/>
        </w:rPr>
        <w:t>Chloroplast</w:t>
      </w:r>
      <w:r>
        <w:t xml:space="preserve"> at any taxonomic rank were excluded from all downstream compiled tables, diversity calculations, and biostatistics exports. This mirrors nf-core/ampliseq's own default QIIME2-stage filter (</w:t>
      </w:r>
      <w:r>
        <w:rPr>
          <w:rFonts w:ascii="Consolas" w:hAnsi="Consolas"/>
          <w:sz w:val="20"/>
        </w:rPr>
        <w:t>--exclude_taxa mitochondria,chloroplast</w:t>
      </w:r>
      <w:r>
        <w:t>) and matters most for blood-derived specimens, where host mitochondrial DNA can dominate a low-biomass sample's reads entirely.</w:t>
      </w:r>
    </w:p>
    <w:p>
      <w:r>
        <w:t xml:space="preserve">Two genera showing a strongly blood-specimen-concentrated distribution pattern — </w:t>
      </w:r>
      <w:r>
        <w:rPr>
          <w:i/>
        </w:rPr>
        <w:t>Rhizobiaceae</w:t>
      </w:r>
      <w:r>
        <w:t xml:space="preserve"> (also present in the NTC negative control, and the single most abundant genus overall in this dataset) and </w:t>
      </w:r>
      <w:r>
        <w:rPr>
          <w:i/>
        </w:rPr>
        <w:t>Solitalea</w:t>
      </w:r>
      <w:r>
        <w:t xml:space="preserve"> (concentrated in blood specimens but absent from all controls) — were flagged as likely or possible background signal respectively, and treated with caution rather than excluded outright (see Results/Discussion).</w:t>
      </w:r>
    </w:p>
    <w:p>
      <w:pPr>
        <w:pStyle w:val="Heading2"/>
      </w:pPr>
      <w:r>
        <w:t>Diversity analyses</w:t>
      </w:r>
    </w:p>
    <w:p>
      <w:r>
        <w:t>Alpha and beta diversity were computed per region on ASV counts (post contaminant exclusion), joined to sample metadata (specimen type: Blood / Swab / Blood+Swab [ambiguous, see below]; collection site: 4 health facilities).</w:t>
      </w:r>
    </w:p>
    <w:p>
      <w:pPr>
        <w:pStyle w:val="ListBullet"/>
      </w:pPr>
      <w:r>
        <w:rPr>
          <w:b/>
        </w:rPr>
        <w:t>Inclusion</w:t>
      </w:r>
      <w:r>
        <w:t>: samples with fewer than 1,000 reads (post-exclusion) in a region were dropped from that region's diversity analysis. A region was skipped entirely if fewer than 2 samples cleared this bar.</w:t>
      </w:r>
    </w:p>
    <w:p>
      <w:pPr>
        <w:pStyle w:val="ListBullet"/>
      </w:pPr>
      <w:r>
        <w:rPr>
          <w:b/>
        </w:rPr>
        <w:t>Rarefaction</w:t>
      </w:r>
      <w:r>
        <w:t>: retained samples were rarefied once to the lowest surviving depth in that region (single random draw, fixed seed 100 for reproducibility).</w:t>
      </w:r>
    </w:p>
    <w:p>
      <w:pPr>
        <w:pStyle w:val="ListBullet"/>
      </w:pPr>
      <w:r>
        <w:rPr>
          <w:b/>
        </w:rPr>
        <w:t>Alpha diversity metrics</w:t>
      </w:r>
      <w:r>
        <w:t>: observed ASV richness, Shannon index (natural log base), Simpson index, Pielou's evenness — computed on the rarefied counts.</w:t>
      </w:r>
    </w:p>
    <w:p>
      <w:pPr>
        <w:pStyle w:val="ListBullet"/>
      </w:pPr>
      <w:r>
        <w:rPr>
          <w:b/>
        </w:rPr>
        <w:t>Beta diversity</w:t>
      </w:r>
      <w:r>
        <w:t>: Bray-Curtis dissimilarity on rarefied counts, per region.</w:t>
      </w:r>
    </w:p>
    <w:p>
      <w:pPr>
        <w:pStyle w:val="ListBullet"/>
      </w:pPr>
      <w:r>
        <w:rPr>
          <w:b/>
        </w:rPr>
        <w:t>Group testing</w:t>
      </w:r>
      <w:r>
        <w:t>: a PERMANOVA-style permutation test (Anderson 2001 pseudo-F statistic; 999 permutations) for each grouping variable (specimen type, collection site), restricted to groups with ≥2 samples.</w:t>
      </w:r>
    </w:p>
    <w:p>
      <w:pPr>
        <w:pStyle w:val="ListBullet"/>
      </w:pPr>
      <w:r>
        <w:rPr>
          <w:b/>
        </w:rPr>
        <w:t>Rarefaction curves</w:t>
      </w:r>
      <w:r>
        <w:t xml:space="preserve"> (QC visualization, not used for the diversity metrics above): expected ASV richness as a function of sequencing depth, computed exactly via Hurlbert's (1971) formula (no repeated random subsampling), for the full, unrarefied per-sample ASV counts.</w:t>
      </w:r>
    </w:p>
    <w:p>
      <w:pPr>
        <w:pStyle w:val="Heading2"/>
      </w:pPr>
      <w:r>
        <w:t>Taxonomic aggregation for biostatistics export</w:t>
      </w:r>
    </w:p>
    <w:p>
      <w:r>
        <w:t xml:space="preserve">For downstream biostatistical analysis, per-ASV results were also collapsed to family, genus, and species level (independently, as three separate tables) by grouping ASVs sharing an identical lineage up to the named rank — the same semantics as QIIME2's </w:t>
      </w:r>
      <w:r>
        <w:rPr>
          <w:rFonts w:ascii="Consolas" w:hAnsi="Consolas"/>
          <w:sz w:val="20"/>
        </w:rPr>
        <w:t>taxa collapse</w:t>
      </w:r>
      <w:r>
        <w:t xml:space="preserve">. Relative abundance was summed across merged ASVs; the reported confidence at a collapsed rank is the </w:t>
      </w:r>
      <w:r>
        <w:rPr>
          <w:b/>
        </w:rPr>
        <w:t>abundance-weighted mean</w:t>
      </w:r>
      <w:r>
        <w:t xml:space="preserve"> of the constituent ASVs' own classifier confidence (a derived summary — there is no native "confidence of a genus" in the underlying data).</w:t>
      </w:r>
    </w:p>
    <w:p>
      <w:pPr>
        <w:pStyle w:val="Heading2"/>
      </w:pPr>
      <w:r>
        <w:t>Clinical metadata integration</w:t>
      </w:r>
    </w:p>
    <w:p>
      <w:r>
        <w:t>Two clinical panels were joined to sequenced samples by enrolment ID: AFI (Acute Febrile Illness — blood specimens; pathogens: brucellosis, coxiellosis, dengue, chikungunya, Zika, West Nile virus) and ARI (Acute Respiratory Infection — swab specimens; respiratory viral/bacterial panel). Where a sequenced sample ID carried an explicit specimen-type suffix (</w:t>
      </w:r>
      <w:r>
        <w:rPr>
          <w:rFonts w:ascii="Consolas" w:hAnsi="Consolas"/>
          <w:sz w:val="20"/>
        </w:rPr>
        <w:t>BL</w:t>
      </w:r>
      <w:r>
        <w:t>/</w:t>
      </w:r>
      <w:r>
        <w:rPr>
          <w:rFonts w:ascii="Consolas" w:hAnsi="Consolas"/>
          <w:sz w:val="20"/>
        </w:rPr>
        <w:t>SW</w:t>
      </w:r>
      <w:r>
        <w:t xml:space="preserve"> or </w:t>
      </w:r>
      <w:r>
        <w:rPr>
          <w:rFonts w:ascii="Consolas" w:hAnsi="Consolas"/>
          <w:sz w:val="20"/>
        </w:rPr>
        <w:t>B</w:t>
      </w:r>
      <w:r>
        <w:t>/</w:t>
      </w:r>
      <w:r>
        <w:rPr>
          <w:rFonts w:ascii="Consolas" w:hAnsi="Consolas"/>
          <w:sz w:val="20"/>
        </w:rPr>
        <w:t>S</w:t>
      </w:r>
      <w:r>
        <w:t>), the matching panel alone was used. Where an enrolment had both panels available but the sequenced ID carried no such suffix (8 samples in the current dataset), both panels were merged onto that sample's row rather than assigning one arbitrarily, and the affected samples are flagged (</w:t>
      </w:r>
      <w:r>
        <w:rPr>
          <w:rFonts w:ascii="Consolas" w:hAnsi="Consolas"/>
          <w:sz w:val="20"/>
        </w:rPr>
        <w:t>panel_source = AFI+ARI</w:t>
      </w:r>
      <w:r>
        <w:t>) for manual specimen-type confirmation rather than treated as resolved.</w:t>
      </w:r>
    </w:p>
    <w:p>
      <w:pPr>
        <w:pStyle w:val="Heading2"/>
      </w:pPr>
      <w:r>
        <w:t>Software and tool versions</w:t>
      </w:r>
    </w:p>
    <w:tbl>
      <w:tblPr>
        <w:tblStyle w:val="LightGrid-Accent1"/>
        <w:tblW w:type="auto" w:w="0"/>
        <w:tblLook w:firstColumn="1" w:firstRow="1" w:lastColumn="0" w:lastRow="0" w:noHBand="0" w:noVBand="1" w:val="04A0"/>
      </w:tblPr>
      <w:tblGrid>
        <w:gridCol w:w="3120"/>
        <w:gridCol w:w="3120"/>
        <w:gridCol w:w="3120"/>
      </w:tblGrid>
      <w:tr>
        <w:tc>
          <w:tcPr>
            <w:tcW w:type="dxa" w:w="3120"/>
            <w:shd w:fill="D9E2F3"/>
          </w:tcPr>
          <w:p>
            <w:r>
              <w:rPr>
                <w:b/>
              </w:rPr>
              <w:t>Tool</w:t>
            </w:r>
          </w:p>
        </w:tc>
        <w:tc>
          <w:tcPr>
            <w:tcW w:type="dxa" w:w="3120"/>
            <w:shd w:fill="D9E2F3"/>
          </w:tcPr>
          <w:p>
            <w:r>
              <w:rPr>
                <w:b/>
              </w:rPr>
              <w:t>Version</w:t>
            </w:r>
          </w:p>
        </w:tc>
        <w:tc>
          <w:tcPr>
            <w:tcW w:type="dxa" w:w="3120"/>
            <w:shd w:fill="D9E2F3"/>
          </w:tcPr>
          <w:p>
            <w:r>
              <w:rPr>
                <w:b/>
              </w:rPr>
              <w:t>Role</w:t>
            </w:r>
          </w:p>
        </w:tc>
      </w:tr>
      <w:tr>
        <w:tc>
          <w:tcPr>
            <w:tcW w:type="dxa" w:w="3120"/>
          </w:tcPr>
          <w:p>
            <w:r>
              <w:t>nf-core/ampliseq</w:t>
            </w:r>
          </w:p>
        </w:tc>
        <w:tc>
          <w:tcPr>
            <w:tcW w:type="dxa" w:w="3120"/>
          </w:tcPr>
          <w:p>
            <w:r>
              <w:t>2.14.0</w:t>
            </w:r>
          </w:p>
        </w:tc>
        <w:tc>
          <w:tcPr>
            <w:tcW w:type="dxa" w:w="3120"/>
          </w:tcPr>
          <w:p>
            <w:r>
              <w:t>Per-region ASV pipeline orchestration</w:t>
            </w:r>
          </w:p>
        </w:tc>
      </w:tr>
      <w:tr>
        <w:tc>
          <w:tcPr>
            <w:tcW w:type="dxa" w:w="3120"/>
          </w:tcPr>
          <w:p>
            <w:r>
              <w:t>Nextflow</w:t>
            </w:r>
          </w:p>
        </w:tc>
        <w:tc>
          <w:tcPr>
            <w:tcW w:type="dxa" w:w="3120"/>
          </w:tcPr>
          <w:p>
            <w:r>
              <w:t>24.10.5 (≥24.04.2 required)</w:t>
            </w:r>
          </w:p>
        </w:tc>
        <w:tc>
          <w:tcPr>
            <w:tcW w:type="dxa" w:w="3120"/>
          </w:tcPr>
          <w:p>
            <w:r>
              <w:t>Workflow execution</w:t>
            </w:r>
          </w:p>
        </w:tc>
      </w:tr>
      <w:tr>
        <w:tc>
          <w:tcPr>
            <w:tcW w:type="dxa" w:w="3120"/>
          </w:tcPr>
          <w:p>
            <w:r>
              <w:t>Singularity</w:t>
            </w:r>
          </w:p>
        </w:tc>
        <w:tc>
          <w:tcPr>
            <w:tcW w:type="dxa" w:w="3120"/>
          </w:tcPr>
          <w:p>
            <w:r>
              <w:t>— (container profile)</w:t>
            </w:r>
          </w:p>
        </w:tc>
        <w:tc>
          <w:tcPr>
            <w:tcW w:type="dxa" w:w="3120"/>
          </w:tcPr>
          <w:p>
            <w:r>
              <w:t>Containerized execution</w:t>
            </w:r>
          </w:p>
        </w:tc>
      </w:tr>
      <w:tr>
        <w:tc>
          <w:tcPr>
            <w:tcW w:type="dxa" w:w="3120"/>
          </w:tcPr>
          <w:p>
            <w:r>
              <w:t>Java (OpenJDK)</w:t>
            </w:r>
          </w:p>
        </w:tc>
        <w:tc>
          <w:tcPr>
            <w:tcW w:type="dxa" w:w="3120"/>
          </w:tcPr>
          <w:p>
            <w:r>
              <w:t>21 (17–22 required; Nextflow's launcher rejects &gt;22)</w:t>
            </w:r>
          </w:p>
        </w:tc>
        <w:tc>
          <w:tcPr>
            <w:tcW w:type="dxa" w:w="3120"/>
          </w:tcPr>
          <w:p>
            <w:r>
              <w:t>Nextflow runtime</w:t>
            </w:r>
          </w:p>
        </w:tc>
      </w:tr>
      <w:tr>
        <w:tc>
          <w:tcPr>
            <w:tcW w:type="dxa" w:w="3120"/>
          </w:tcPr>
          <w:p>
            <w:r>
              <w:t>cutadapt</w:t>
            </w:r>
          </w:p>
        </w:tc>
        <w:tc>
          <w:tcPr>
            <w:tcW w:type="dxa" w:w="3120"/>
          </w:tcPr>
          <w:p>
            <w:r>
              <w:t>≥3.4 required (developed/tested against 5.2)</w:t>
            </w:r>
          </w:p>
        </w:tc>
        <w:tc>
          <w:tcPr>
            <w:tcW w:type="dxa" w:w="3120"/>
          </w:tcPr>
          <w:p>
            <w:r>
              <w:t>Region-wise primer demultiplexing (custom step, outside ampliseq)</w:t>
            </w:r>
          </w:p>
        </w:tc>
      </w:tr>
      <w:tr>
        <w:tc>
          <w:tcPr>
            <w:tcW w:type="dxa" w:w="3120"/>
          </w:tcPr>
          <w:p>
            <w:r>
              <w:t>DADA2 (R package)</w:t>
            </w:r>
          </w:p>
        </w:tc>
        <w:tc>
          <w:tcPr>
            <w:tcW w:type="dxa" w:w="3120"/>
          </w:tcPr>
          <w:p>
            <w:r>
              <w:t>1.30.0</w:t>
            </w:r>
          </w:p>
        </w:tc>
        <w:tc>
          <w:tcPr>
            <w:tcW w:type="dxa" w:w="3120"/>
          </w:tcPr>
          <w:p>
            <w:r>
              <w:t>Denoising, ASV inference, chimera removal, taxonomy</w:t>
            </w:r>
          </w:p>
        </w:tc>
      </w:tr>
      <w:tr>
        <w:tc>
          <w:tcPr>
            <w:tcW w:type="dxa" w:w="3120"/>
          </w:tcPr>
          <w:p>
            <w:r>
              <w:t>R</w:t>
            </w:r>
          </w:p>
        </w:tc>
        <w:tc>
          <w:tcPr>
            <w:tcW w:type="dxa" w:w="3120"/>
          </w:tcPr>
          <w:p>
            <w:r>
              <w:t>4.3.2 (core DADA2 steps)</w:t>
            </w:r>
          </w:p>
        </w:tc>
        <w:tc>
          <w:tcPr>
            <w:tcW w:type="dxa" w:w="3120"/>
          </w:tcPr>
          <w:p>
            <w:r>
              <w:t>DADA2 runtime</w:t>
            </w:r>
          </w:p>
        </w:tc>
      </w:tr>
      <w:tr>
        <w:tc>
          <w:tcPr>
            <w:tcW w:type="dxa" w:w="3120"/>
          </w:tcPr>
          <w:p>
            <w:r>
              <w:t>QIIME2</w:t>
            </w:r>
          </w:p>
        </w:tc>
        <w:tc>
          <w:tcPr>
            <w:tcW w:type="dxa" w:w="3120"/>
          </w:tcPr>
          <w:p>
            <w:r>
              <w:t>2024.10.1</w:t>
            </w:r>
          </w:p>
        </w:tc>
        <w:tc>
          <w:tcPr>
            <w:tcW w:type="dxa" w:w="3120"/>
          </w:tcPr>
          <w:p>
            <w:r>
              <w:t>Feature table / taxonomy export, relative-abundance tables</w:t>
            </w:r>
          </w:p>
        </w:tc>
      </w:tr>
      <w:tr>
        <w:tc>
          <w:tcPr>
            <w:tcW w:type="dxa" w:w="3120"/>
          </w:tcPr>
          <w:p>
            <w:r>
              <w:t>barrnap</w:t>
            </w:r>
          </w:p>
        </w:tc>
        <w:tc>
          <w:tcPr>
            <w:tcW w:type="dxa" w:w="3120"/>
          </w:tcPr>
          <w:p>
            <w:r>
              <w:t>0.9</w:t>
            </w:r>
          </w:p>
        </w:tc>
        <w:tc>
          <w:tcPr>
            <w:tcW w:type="dxa" w:w="3120"/>
          </w:tcPr>
          <w:p>
            <w:r>
              <w:t>rRNA domain summary</w:t>
            </w:r>
          </w:p>
        </w:tc>
      </w:tr>
      <w:tr>
        <w:tc>
          <w:tcPr>
            <w:tcW w:type="dxa" w:w="3120"/>
          </w:tcPr>
          <w:p>
            <w:r>
              <w:t>FastQC</w:t>
            </w:r>
          </w:p>
        </w:tc>
        <w:tc>
          <w:tcPr>
            <w:tcW w:type="dxa" w:w="3120"/>
          </w:tcPr>
          <w:p>
            <w:r>
              <w:t>0.12.1</w:t>
            </w:r>
          </w:p>
        </w:tc>
        <w:tc>
          <w:tcPr>
            <w:tcW w:type="dxa" w:w="3120"/>
          </w:tcPr>
          <w:p>
            <w:r>
              <w:t>Read quality reports</w:t>
            </w:r>
          </w:p>
        </w:tc>
      </w:tr>
      <w:tr>
        <w:tc>
          <w:tcPr>
            <w:tcW w:type="dxa" w:w="3120"/>
          </w:tcPr>
          <w:p>
            <w:r>
              <w:t>phyloseq (R)</w:t>
            </w:r>
          </w:p>
        </w:tc>
        <w:tc>
          <w:tcPr>
            <w:tcW w:type="dxa" w:w="3120"/>
          </w:tcPr>
          <w:p>
            <w:r>
              <w:t>1.46.0</w:t>
            </w:r>
          </w:p>
        </w:tc>
        <w:tc>
          <w:tcPr>
            <w:tcW w:type="dxa" w:w="3120"/>
          </w:tcPr>
          <w:p>
            <w:r>
              <w:t>Phyloseq object construction</w:t>
            </w:r>
          </w:p>
        </w:tc>
      </w:tr>
      <w:tr>
        <w:tc>
          <w:tcPr>
            <w:tcW w:type="dxa" w:w="3120"/>
          </w:tcPr>
          <w:p>
            <w:r>
              <w:t>TreeSummarizedExperiment (R)</w:t>
            </w:r>
          </w:p>
        </w:tc>
        <w:tc>
          <w:tcPr>
            <w:tcW w:type="dxa" w:w="3120"/>
          </w:tcPr>
          <w:p>
            <w:r>
              <w:t>2.10.0</w:t>
            </w:r>
          </w:p>
        </w:tc>
        <w:tc>
          <w:tcPr>
            <w:tcW w:type="dxa" w:w="3120"/>
          </w:tcPr>
          <w:p>
            <w:r>
              <w:t>SummarizedExperiment export</w:t>
            </w:r>
          </w:p>
        </w:tc>
      </w:tr>
      <w:tr>
        <w:tc>
          <w:tcPr>
            <w:tcW w:type="dxa" w:w="3120"/>
          </w:tcPr>
          <w:p>
            <w:r>
              <w:t>Python</w:t>
            </w:r>
          </w:p>
        </w:tc>
        <w:tc>
          <w:tcPr>
            <w:tcW w:type="dxa" w:w="3120"/>
          </w:tcPr>
          <w:p>
            <w:r>
              <w:t>≥3.6 (pipeline scripts); 3.9.1 (ampliseq's own Python steps)</w:t>
            </w:r>
          </w:p>
        </w:tc>
        <w:tc>
          <w:tcPr>
            <w:tcW w:type="dxa" w:w="3120"/>
          </w:tcPr>
          <w:p>
            <w:r>
              <w:t>Demultiplexing/compilation scripts, downstream analysis</w:t>
            </w:r>
          </w:p>
        </w:tc>
      </w:tr>
      <w:tr>
        <w:tc>
          <w:tcPr>
            <w:tcW w:type="dxa" w:w="3120"/>
          </w:tcPr>
          <w:p>
            <w:r>
              <w:t>pandas</w:t>
            </w:r>
          </w:p>
        </w:tc>
        <w:tc>
          <w:tcPr>
            <w:tcW w:type="dxa" w:w="3120"/>
          </w:tcPr>
          <w:p>
            <w:r>
              <w:t>— (local analysis only; ampliseq's own Python steps used 1.1.5)</w:t>
            </w:r>
          </w:p>
        </w:tc>
        <w:tc>
          <w:tcPr>
            <w:tcW w:type="dxa" w:w="3120"/>
          </w:tcPr>
          <w:p>
            <w:r>
              <w:t>Clinical metadata parsing</w:t>
            </w:r>
          </w:p>
        </w:tc>
      </w:tr>
      <w:tr>
        <w:tc>
          <w:tcPr>
            <w:tcW w:type="dxa" w:w="3120"/>
          </w:tcPr>
          <w:p>
            <w:r>
              <w:t>numpy</w:t>
            </w:r>
          </w:p>
        </w:tc>
        <w:tc>
          <w:tcPr>
            <w:tcW w:type="dxa" w:w="3120"/>
          </w:tcPr>
          <w:p>
            <w:r>
              <w:t>— (local analysis only)</w:t>
            </w:r>
          </w:p>
        </w:tc>
        <w:tc>
          <w:tcPr>
            <w:tcW w:type="dxa" w:w="3120"/>
          </w:tcPr>
          <w:p>
            <w:r>
              <w:t>Diversity/rarefaction computation</w:t>
            </w:r>
          </w:p>
        </w:tc>
      </w:tr>
      <w:tr>
        <w:tc>
          <w:tcPr>
            <w:tcW w:type="dxa" w:w="3120"/>
          </w:tcPr>
          <w:p>
            <w:r>
              <w:t>matplotlib</w:t>
            </w:r>
          </w:p>
        </w:tc>
        <w:tc>
          <w:tcPr>
            <w:tcW w:type="dxa" w:w="3120"/>
          </w:tcPr>
          <w:p>
            <w:r>
              <w:t>— (local analysis only)</w:t>
            </w:r>
          </w:p>
        </w:tc>
        <w:tc>
          <w:tcPr>
            <w:tcW w:type="dxa" w:w="3120"/>
          </w:tcPr>
          <w:p>
            <w:r>
              <w:t>Figure generation</w:t>
            </w:r>
          </w:p>
        </w:tc>
      </w:tr>
      <w:tr>
        <w:tc>
          <w:tcPr>
            <w:tcW w:type="dxa" w:w="3120"/>
          </w:tcPr>
          <w:p>
            <w:r>
              <w:t>SILVA</w:t>
            </w:r>
          </w:p>
        </w:tc>
        <w:tc>
          <w:tcPr>
            <w:tcW w:type="dxa" w:w="3120"/>
          </w:tcPr>
          <w:p>
            <w:r>
              <w:t>138.2 (prokaryotic SSU)</w:t>
            </w:r>
          </w:p>
        </w:tc>
        <w:tc>
          <w:tcPr>
            <w:tcW w:type="dxa" w:w="3120"/>
          </w:tcPr>
          <w:p>
            <w:r>
              <w:t>16S taxonomic reference</w:t>
            </w:r>
          </w:p>
        </w:tc>
      </w:tr>
      <w:tr>
        <w:tc>
          <w:tcPr>
            <w:tcW w:type="dxa" w:w="3120"/>
          </w:tcPr>
          <w:p>
            <w:r>
              <w:t>UNITE</w:t>
            </w:r>
          </w:p>
        </w:tc>
        <w:tc>
          <w:tcPr>
            <w:tcW w:type="dxa" w:w="3120"/>
          </w:tcPr>
          <w:p>
            <w:r>
              <w:t>General FASTA release for Fungi, v10.0 (2024-04-04)</w:t>
            </w:r>
          </w:p>
        </w:tc>
        <w:tc>
          <w:tcPr>
            <w:tcW w:type="dxa" w:w="3120"/>
          </w:tcPr>
          <w:p>
            <w:r>
              <w:t>ITS taxonomic reference</w:t>
            </w:r>
          </w:p>
        </w:tc>
      </w:tr>
    </w:tbl>
    <w:p/>
    <w:p>
      <w:r>
        <w:t xml:space="preserve">Exact per-process software versions (including minor auxiliary steps not listed above) are recorded in each region's </w:t>
      </w:r>
      <w:r>
        <w:rPr>
          <w:rFonts w:ascii="Consolas" w:hAnsi="Consolas"/>
          <w:sz w:val="20"/>
        </w:rPr>
        <w:t>pipeline_info/software_versions.yml</w:t>
      </w:r>
      <w:r>
        <w:t>, written automatically by nf-core/ampliseq for full reproducibility.</w:t>
      </w:r>
    </w:p>
    <w:p>
      <w:pPr>
        <w:pStyle w:val="Heading2"/>
      </w:pPr>
      <w:r>
        <w:t>Summary of thresholds and cutoffs</w:t>
      </w:r>
    </w:p>
    <w:tbl>
      <w:tblPr>
        <w:tblStyle w:val="LightGrid-Accent1"/>
        <w:tblW w:type="auto" w:w="0"/>
        <w:tblLook w:firstColumn="1" w:firstRow="1" w:lastColumn="0" w:lastRow="0" w:noHBand="0" w:noVBand="1" w:val="04A0"/>
      </w:tblPr>
      <w:tblGrid>
        <w:gridCol w:w="3120"/>
        <w:gridCol w:w="3120"/>
        <w:gridCol w:w="3120"/>
      </w:tblGrid>
      <w:tr>
        <w:tc>
          <w:tcPr>
            <w:tcW w:type="dxa" w:w="3120"/>
            <w:shd w:fill="D9E2F3"/>
          </w:tcPr>
          <w:p>
            <w:r>
              <w:rPr>
                <w:b/>
              </w:rPr>
              <w:t>Parameter</w:t>
            </w:r>
          </w:p>
        </w:tc>
        <w:tc>
          <w:tcPr>
            <w:tcW w:type="dxa" w:w="3120"/>
            <w:shd w:fill="D9E2F3"/>
          </w:tcPr>
          <w:p>
            <w:r>
              <w:rPr>
                <w:b/>
              </w:rPr>
              <w:t>Value</w:t>
            </w:r>
          </w:p>
        </w:tc>
        <w:tc>
          <w:tcPr>
            <w:tcW w:type="dxa" w:w="3120"/>
            <w:shd w:fill="D9E2F3"/>
          </w:tcPr>
          <w:p>
            <w:r>
              <w:rPr>
                <w:b/>
              </w:rPr>
              <w:t>Applies to</w:t>
            </w:r>
          </w:p>
        </w:tc>
      </w:tr>
      <w:tr>
        <w:tc>
          <w:tcPr>
            <w:tcW w:type="dxa" w:w="3120"/>
          </w:tcPr>
          <w:p>
            <w:r>
              <w:t>Cutadapt error rate</w:t>
            </w:r>
          </w:p>
        </w:tc>
        <w:tc>
          <w:tcPr>
            <w:tcW w:type="dxa" w:w="3120"/>
          </w:tcPr>
          <w:p>
            <w:r>
              <w:t>0.15</w:t>
            </w:r>
          </w:p>
        </w:tc>
        <w:tc>
          <w:tcPr>
            <w:tcW w:type="dxa" w:w="3120"/>
          </w:tcPr>
          <w:p>
            <w:r>
              <w:t>Region demultiplexing</w:t>
            </w:r>
          </w:p>
        </w:tc>
      </w:tr>
      <w:tr>
        <w:tc>
          <w:tcPr>
            <w:tcW w:type="dxa" w:w="3120"/>
          </w:tcPr>
          <w:p>
            <w:r>
              <w:t>Cutadapt minimum overlap</w:t>
            </w:r>
          </w:p>
        </w:tc>
        <w:tc>
          <w:tcPr>
            <w:tcW w:type="dxa" w:w="3120"/>
          </w:tcPr>
          <w:p>
            <w:r>
              <w:t>15 nt (shortest primer, applied globally)</w:t>
            </w:r>
          </w:p>
        </w:tc>
        <w:tc>
          <w:tcPr>
            <w:tcW w:type="dxa" w:w="3120"/>
          </w:tcPr>
          <w:p>
            <w:r>
              <w:t>Region demultiplexing</w:t>
            </w:r>
          </w:p>
        </w:tc>
      </w:tr>
      <w:tr>
        <w:tc>
          <w:tcPr>
            <w:tcW w:type="dxa" w:w="3120"/>
          </w:tcPr>
          <w:p>
            <w:r>
              <w:t>Minimum trimmed read length</w:t>
            </w:r>
          </w:p>
        </w:tc>
        <w:tc>
          <w:tcPr>
            <w:tcW w:type="dxa" w:w="3120"/>
          </w:tcPr>
          <w:p>
            <w:r>
              <w:t>100 bp</w:t>
            </w:r>
          </w:p>
        </w:tc>
        <w:tc>
          <w:tcPr>
            <w:tcW w:type="dxa" w:w="3120"/>
          </w:tcPr>
          <w:p>
            <w:r>
              <w:t>Region demultiplexing</w:t>
            </w:r>
          </w:p>
        </w:tc>
      </w:tr>
      <w:tr>
        <w:tc>
          <w:tcPr>
            <w:tcW w:type="dxa" w:w="3120"/>
          </w:tcPr>
          <w:p>
            <w:r>
              <w:t>Minimum read pairs per sample per region</w:t>
            </w:r>
          </w:p>
        </w:tc>
        <w:tc>
          <w:tcPr>
            <w:tcW w:type="dxa" w:w="3120"/>
          </w:tcPr>
          <w:p>
            <w:r>
              <w:t>1,000</w:t>
            </w:r>
          </w:p>
        </w:tc>
        <w:tc>
          <w:tcPr>
            <w:tcW w:type="dxa" w:w="3120"/>
          </w:tcPr>
          <w:p>
            <w:r>
              <w:t>Region sample-sheet inclusion</w:t>
            </w:r>
          </w:p>
        </w:tc>
      </w:tr>
      <w:tr>
        <w:tc>
          <w:tcPr>
            <w:tcW w:type="dxa" w:w="3120"/>
          </w:tcPr>
          <w:p>
            <w:r>
              <w:t xml:space="preserve">filterAndTrim </w:t>
            </w:r>
            <w:r>
              <w:rPr>
                <w:rFonts w:ascii="Consolas" w:hAnsi="Consolas"/>
                <w:sz w:val="20"/>
              </w:rPr>
              <w:t>maxEE</w:t>
            </w:r>
          </w:p>
        </w:tc>
        <w:tc>
          <w:tcPr>
            <w:tcW w:type="dxa" w:w="3120"/>
          </w:tcPr>
          <w:p>
            <w:r>
              <w:t>2, 2 (fwd, rev)</w:t>
            </w:r>
          </w:p>
        </w:tc>
        <w:tc>
          <w:tcPr>
            <w:tcW w:type="dxa" w:w="3120"/>
          </w:tcPr>
          <w:p>
            <w:r>
              <w:t>DADA2 quality filtering</w:t>
            </w:r>
          </w:p>
        </w:tc>
      </w:tr>
      <w:tr>
        <w:tc>
          <w:tcPr>
            <w:tcW w:type="dxa" w:w="3120"/>
          </w:tcPr>
          <w:p>
            <w:r>
              <w:t xml:space="preserve">filterAndTrim </w:t>
            </w:r>
            <w:r>
              <w:rPr>
                <w:rFonts w:ascii="Consolas" w:hAnsi="Consolas"/>
                <w:sz w:val="20"/>
              </w:rPr>
              <w:t>truncQ</w:t>
            </w:r>
          </w:p>
        </w:tc>
        <w:tc>
          <w:tcPr>
            <w:tcW w:type="dxa" w:w="3120"/>
          </w:tcPr>
          <w:p>
            <w:r>
              <w:t>2</w:t>
            </w:r>
          </w:p>
        </w:tc>
        <w:tc>
          <w:tcPr>
            <w:tcW w:type="dxa" w:w="3120"/>
          </w:tcPr>
          <w:p>
            <w:r>
              <w:t>DADA2 quality filtering</w:t>
            </w:r>
          </w:p>
        </w:tc>
      </w:tr>
      <w:tr>
        <w:tc>
          <w:tcPr>
            <w:tcW w:type="dxa" w:w="3120"/>
          </w:tcPr>
          <w:p>
            <w:r>
              <w:t xml:space="preserve">filterAndTrim </w:t>
            </w:r>
            <w:r>
              <w:rPr>
                <w:rFonts w:ascii="Consolas" w:hAnsi="Consolas"/>
                <w:sz w:val="20"/>
              </w:rPr>
              <w:t>minLen</w:t>
            </w:r>
          </w:p>
        </w:tc>
        <w:tc>
          <w:tcPr>
            <w:tcW w:type="dxa" w:w="3120"/>
          </w:tcPr>
          <w:p>
            <w:r>
              <w:t>50 bp</w:t>
            </w:r>
          </w:p>
        </w:tc>
        <w:tc>
          <w:tcPr>
            <w:tcW w:type="dxa" w:w="3120"/>
          </w:tcPr>
          <w:p>
            <w:r>
              <w:t>DADA2 quality filtering</w:t>
            </w:r>
          </w:p>
        </w:tc>
      </w:tr>
      <w:tr>
        <w:tc>
          <w:tcPr>
            <w:tcW w:type="dxa" w:w="3120"/>
          </w:tcPr>
          <w:p>
            <w:r>
              <w:t xml:space="preserve">mergePairs </w:t>
            </w:r>
            <w:r>
              <w:rPr>
                <w:rFonts w:ascii="Consolas" w:hAnsi="Consolas"/>
                <w:sz w:val="20"/>
              </w:rPr>
              <w:t>minOverlap</w:t>
            </w:r>
          </w:p>
        </w:tc>
        <w:tc>
          <w:tcPr>
            <w:tcW w:type="dxa" w:w="3120"/>
          </w:tcPr>
          <w:p>
            <w:r>
              <w:t>12 bp</w:t>
            </w:r>
          </w:p>
        </w:tc>
        <w:tc>
          <w:tcPr>
            <w:tcW w:type="dxa" w:w="3120"/>
          </w:tcPr>
          <w:p>
            <w:r>
              <w:t>DADA2 read merging</w:t>
            </w:r>
          </w:p>
        </w:tc>
      </w:tr>
      <w:tr>
        <w:tc>
          <w:tcPr>
            <w:tcW w:type="dxa" w:w="3120"/>
          </w:tcPr>
          <w:p>
            <w:r>
              <w:t xml:space="preserve">mergePairs </w:t>
            </w:r>
            <w:r>
              <w:rPr>
                <w:rFonts w:ascii="Consolas" w:hAnsi="Consolas"/>
                <w:sz w:val="20"/>
              </w:rPr>
              <w:t>maxMismatch</w:t>
            </w:r>
          </w:p>
        </w:tc>
        <w:tc>
          <w:tcPr>
            <w:tcW w:type="dxa" w:w="3120"/>
          </w:tcPr>
          <w:p>
            <w:r>
              <w:t>0</w:t>
            </w:r>
          </w:p>
        </w:tc>
        <w:tc>
          <w:tcPr>
            <w:tcW w:type="dxa" w:w="3120"/>
          </w:tcPr>
          <w:p>
            <w:r>
              <w:t>DADA2 read merging</w:t>
            </w:r>
          </w:p>
        </w:tc>
      </w:tr>
      <w:tr>
        <w:tc>
          <w:tcPr>
            <w:tcW w:type="dxa" w:w="3120"/>
          </w:tcPr>
          <w:p>
            <w:r>
              <w:t>Minimum ASV length</w:t>
            </w:r>
          </w:p>
        </w:tc>
        <w:tc>
          <w:tcPr>
            <w:tcW w:type="dxa" w:w="3120"/>
          </w:tcPr>
          <w:p>
            <w:r>
              <w:t>100 bp</w:t>
            </w:r>
          </w:p>
        </w:tc>
        <w:tc>
          <w:tcPr>
            <w:tcW w:type="dxa" w:w="3120"/>
          </w:tcPr>
          <w:p>
            <w:r>
              <w:t>Post-merge ASV filtering</w:t>
            </w:r>
          </w:p>
        </w:tc>
      </w:tr>
      <w:tr>
        <w:tc>
          <w:tcPr>
            <w:tcW w:type="dxa" w:w="3120"/>
          </w:tcPr>
          <w:p>
            <w:r>
              <w:t>Taxonomy bootstrap confidence</w:t>
            </w:r>
          </w:p>
        </w:tc>
        <w:tc>
          <w:tcPr>
            <w:tcW w:type="dxa" w:w="3120"/>
          </w:tcPr>
          <w:p>
            <w:r>
              <w:t>50% (</w:t>
            </w:r>
            <w:r>
              <w:rPr>
                <w:rFonts w:ascii="Consolas" w:hAnsi="Consolas"/>
                <w:sz w:val="20"/>
              </w:rPr>
              <w:t>minBoot</w:t>
            </w:r>
            <w:r>
              <w:t>)</w:t>
            </w:r>
          </w:p>
        </w:tc>
        <w:tc>
          <w:tcPr>
            <w:tcW w:type="dxa" w:w="3120"/>
          </w:tcPr>
          <w:p>
            <w:r>
              <w:t>Taxonomic classification</w:t>
            </w:r>
          </w:p>
        </w:tc>
      </w:tr>
      <w:tr>
        <w:tc>
          <w:tcPr>
            <w:tcW w:type="dxa" w:w="3120"/>
          </w:tcPr>
          <w:p>
            <w:r>
              <w:t>Contaminant taxa excluded</w:t>
            </w:r>
          </w:p>
        </w:tc>
        <w:tc>
          <w:tcPr>
            <w:tcW w:type="dxa" w:w="3120"/>
          </w:tcPr>
          <w:p>
            <w:r>
              <w:t>Mitochondria, Chloroplast (any rank)</w:t>
            </w:r>
          </w:p>
        </w:tc>
        <w:tc>
          <w:tcPr>
            <w:tcW w:type="dxa" w:w="3120"/>
          </w:tcPr>
          <w:p>
            <w:r>
              <w:t>All compiled/exported tables</w:t>
            </w:r>
          </w:p>
        </w:tc>
      </w:tr>
      <w:tr>
        <w:tc>
          <w:tcPr>
            <w:tcW w:type="dxa" w:w="3120"/>
          </w:tcPr>
          <w:p>
            <w:r>
              <w:t>Minimum reads for diversity inclusion</w:t>
            </w:r>
          </w:p>
        </w:tc>
        <w:tc>
          <w:tcPr>
            <w:tcW w:type="dxa" w:w="3120"/>
          </w:tcPr>
          <w:p>
            <w:r>
              <w:t>1,000 (post-contaminant-exclusion)</w:t>
            </w:r>
          </w:p>
        </w:tc>
        <w:tc>
          <w:tcPr>
            <w:tcW w:type="dxa" w:w="3120"/>
          </w:tcPr>
          <w:p>
            <w:r>
              <w:t>Alpha/beta diversity</w:t>
            </w:r>
          </w:p>
        </w:tc>
      </w:tr>
      <w:tr>
        <w:tc>
          <w:tcPr>
            <w:tcW w:type="dxa" w:w="3120"/>
          </w:tcPr>
          <w:p>
            <w:r>
              <w:t>Minimum samples for a region's diversity analysis</w:t>
            </w:r>
          </w:p>
        </w:tc>
        <w:tc>
          <w:tcPr>
            <w:tcW w:type="dxa" w:w="3120"/>
          </w:tcPr>
          <w:p>
            <w:r>
              <w:t>2</w:t>
            </w:r>
          </w:p>
        </w:tc>
        <w:tc>
          <w:tcPr>
            <w:tcW w:type="dxa" w:w="3120"/>
          </w:tcPr>
          <w:p>
            <w:r>
              <w:t>Alpha/beta diversity</w:t>
            </w:r>
          </w:p>
        </w:tc>
      </w:tr>
      <w:tr>
        <w:tc>
          <w:tcPr>
            <w:tcW w:type="dxa" w:w="3120"/>
          </w:tcPr>
          <w:p>
            <w:r>
              <w:t>Rarefaction</w:t>
            </w:r>
          </w:p>
        </w:tc>
        <w:tc>
          <w:tcPr>
            <w:tcW w:type="dxa" w:w="3120"/>
          </w:tcPr>
          <w:p>
            <w:r>
              <w:t>single draw to lowest surviving depth, seed 100</w:t>
            </w:r>
          </w:p>
        </w:tc>
        <w:tc>
          <w:tcPr>
            <w:tcW w:type="dxa" w:w="3120"/>
          </w:tcPr>
          <w:p>
            <w:r>
              <w:t>Alpha/beta diversity</w:t>
            </w:r>
          </w:p>
        </w:tc>
      </w:tr>
      <w:tr>
        <w:tc>
          <w:tcPr>
            <w:tcW w:type="dxa" w:w="3120"/>
          </w:tcPr>
          <w:p>
            <w:r>
              <w:t>PERMANOVA permutations</w:t>
            </w:r>
          </w:p>
        </w:tc>
        <w:tc>
          <w:tcPr>
            <w:tcW w:type="dxa" w:w="3120"/>
          </w:tcPr>
          <w:p>
            <w:r>
              <w:t>999</w:t>
            </w:r>
          </w:p>
        </w:tc>
        <w:tc>
          <w:tcPr>
            <w:tcW w:type="dxa" w:w="3120"/>
          </w:tcPr>
          <w:p>
            <w:r>
              <w:t>Beta diversity group testing</w:t>
            </w:r>
          </w:p>
        </w:tc>
      </w:tr>
      <w:tr>
        <w:tc>
          <w:tcPr>
            <w:tcW w:type="dxa" w:w="3120"/>
          </w:tcPr>
          <w:p>
            <w:r>
              <w:t>Minimum group size for PERMANOVA</w:t>
            </w:r>
          </w:p>
        </w:tc>
        <w:tc>
          <w:tcPr>
            <w:tcW w:type="dxa" w:w="3120"/>
          </w:tcPr>
          <w:p>
            <w:r>
              <w:t>2 samples</w:t>
            </w:r>
          </w:p>
        </w:tc>
        <w:tc>
          <w:tcPr>
            <w:tcW w:type="dxa" w:w="3120"/>
          </w:tcPr>
          <w:p>
            <w:r>
              <w:t>Beta diversity group testing</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