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Results</w:t>
      </w:r>
    </w:p>
    <w:p w:rsidR="00000000" w:rsidDel="00000000" w:rsidP="00000000" w:rsidRDefault="00000000" w:rsidRPr="00000000" w14:paraId="00000002">
      <w:pPr>
        <w:spacing w:line="360" w:lineRule="auto"/>
        <w:jc w:val="both"/>
        <w:rPr>
          <w:rFonts w:ascii="Times New Roman" w:cs="Times New Roman" w:eastAsia="Times New Roman" w:hAnsi="Times New Roman"/>
        </w:rPr>
      </w:pPr>
      <w:bookmarkStart w:colFirst="0" w:colLast="0" w:name="_heading=h.l1r3wsb85uwk" w:id="0"/>
      <w:bookmarkEnd w:id="0"/>
      <w:r w:rsidDel="00000000" w:rsidR="00000000" w:rsidRPr="00000000">
        <w:rPr>
          <w:rFonts w:ascii="Times New Roman" w:cs="Times New Roman" w:eastAsia="Times New Roman" w:hAnsi="Times New Roman"/>
          <w:rtl w:val="0"/>
        </w:rPr>
        <w:t xml:space="preserve">The study examined the incidence of HIV viral rebound in 932 fisherfolk aged 15 years or older who were receiving antiretroviral therapy and had viral suppression of less than 1000 copies/ml as of January 2019. The sociodemographic, clinical, and health system factors associated with viral rebound were investigated.</w:t>
      </w:r>
    </w:p>
    <w:p w:rsidR="00000000" w:rsidDel="00000000" w:rsidP="00000000" w:rsidRDefault="00000000" w:rsidRPr="00000000" w14:paraId="0000000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Socio-demographic characteristics of study participants</w:t>
      </w:r>
    </w:p>
    <w:p w:rsidR="00000000" w:rsidDel="00000000" w:rsidP="00000000" w:rsidRDefault="00000000" w:rsidRPr="00000000" w14:paraId="00000004">
      <w:pPr>
        <w:spacing w:line="360" w:lineRule="auto"/>
        <w:jc w:val="both"/>
        <w:rPr>
          <w:rFonts w:ascii="Times New Roman" w:cs="Times New Roman" w:eastAsia="Times New Roman" w:hAnsi="Times New Roman"/>
        </w:rPr>
      </w:pPr>
      <w:bookmarkStart w:colFirst="0" w:colLast="0" w:name="_heading=h.ks4hodpef34j" w:id="1"/>
      <w:bookmarkEnd w:id="1"/>
      <w:sdt>
        <w:sdtPr>
          <w:id w:val="926507411"/>
          <w:tag w:val="goog_rdk_0"/>
        </w:sdtPr>
        <w:sdtContent>
          <w:commentRangeStart w:id="0"/>
        </w:sdtContent>
      </w:sdt>
      <w:r w:rsidDel="00000000" w:rsidR="00000000" w:rsidRPr="00000000">
        <w:rPr>
          <w:rFonts w:ascii="Times New Roman" w:cs="Times New Roman" w:eastAsia="Times New Roman" w:hAnsi="Times New Roman"/>
          <w:rtl w:val="0"/>
        </w:rPr>
        <w:t xml:space="preserve">More than half of the participants were females, 572 (61.4%) and aged between 25 and 44 years, 485 (52%). The majority of participants were living in rural areas 655 (70.3%) and reported to be married 527 (56.5%), (Table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nrfxqsz0nnv" w:id="2"/>
      <w:bookmarkEnd w:id="2"/>
      <w:sdt>
        <w:sdtPr>
          <w:id w:val="1583637719"/>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Distributions of characteristics of study participants</w:t>
      </w:r>
      <w:commentRangeEnd w:id="1"/>
      <w:r w:rsidDel="00000000" w:rsidR="00000000" w:rsidRPr="00000000">
        <w:commentReference w:id="1"/>
      </w:r>
      <w:r w:rsidDel="00000000" w:rsidR="00000000" w:rsidRPr="00000000">
        <w:rPr>
          <w:rtl w:val="0"/>
        </w:rPr>
      </w:r>
    </w:p>
    <w:tbl>
      <w:tblPr>
        <w:tblStyle w:val="Table1"/>
        <w:tblW w:w="902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3"/>
        <w:gridCol w:w="3591"/>
        <w:gridCol w:w="2646"/>
        <w:tblGridChange w:id="0">
          <w:tblGrid>
            <w:gridCol w:w="2783"/>
            <w:gridCol w:w="3591"/>
            <w:gridCol w:w="2646"/>
          </w:tblGrid>
        </w:tblGridChange>
      </w:tblGrid>
      <w:tr>
        <w:trPr>
          <w:cantSplit w:val="0"/>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rpconcip16q"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w:t>
            </w:r>
          </w:p>
        </w:tc>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participants (n=932)</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572</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w:t>
            </w:r>
          </w:p>
        </w:tc>
      </w:tr>
      <w:tr>
        <w:trPr>
          <w:cantSplit w:val="0"/>
          <w:tblHeader w:val="0"/>
        </w:trPr>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w:t>
            </w:r>
          </w:p>
        </w:tc>
      </w:tr>
      <w:tr>
        <w:trPr>
          <w:cantSplit w:val="0"/>
          <w:tblHeader w:val="0"/>
        </w:trPr>
        <w:tc>
          <w:tcP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Residence</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Rural</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655</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70.3</w:t>
            </w:r>
          </w:p>
        </w:tc>
      </w:tr>
      <w:tr>
        <w:trPr>
          <w:cantSplit w:val="0"/>
          <w:tblHeader w:val="0"/>
        </w:trPr>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29.7</w:t>
            </w:r>
          </w:p>
        </w:tc>
      </w:tr>
      <w:tr>
        <w:trPr>
          <w:cantSplit w:val="0"/>
          <w:tblHeader w:val="0"/>
        </w:trPr>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groups (years) </w:t>
            </w:r>
          </w:p>
        </w:tc>
        <w:tc>
          <w:tcP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15-24</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25-44</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485</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52.0</w:t>
            </w:r>
          </w:p>
        </w:tc>
      </w:tr>
      <w:tr>
        <w:trPr>
          <w:cantSplit w:val="0"/>
          <w:tblHeader w:val="0"/>
        </w:trPr>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45-64</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387</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w:t>
            </w:r>
          </w:p>
        </w:tc>
      </w:tr>
      <w:tr>
        <w:trPr>
          <w:cantSplit w:val="0"/>
          <w:tblHeader w:val="0"/>
        </w:trPr>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blHeader w:val="0"/>
        </w:trPr>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w:t>
            </w:r>
          </w:p>
        </w:tc>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527</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56.5</w:t>
            </w:r>
          </w:p>
        </w:tc>
      </w:tr>
      <w:tr>
        <w:trPr>
          <w:cantSplit w:val="0"/>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w:t>
            </w:r>
          </w:p>
        </w:tc>
      </w:tr>
      <w:tr>
        <w:trPr>
          <w:cantSplit w:val="0"/>
          <w:tblHeader w:val="0"/>
        </w:trPr>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Widowed</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p>
        </w:tc>
      </w:tr>
      <w:tr>
        <w:trPr>
          <w:cantSplit w:val="0"/>
          <w:tblHeader w:val="0"/>
        </w:trPr>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Divorced/separated</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r>
      <w:tr>
        <w:trPr>
          <w:cantSplit w:val="0"/>
          <w:tblHeader w:val="0"/>
        </w:trPr>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status recorded</w:t>
            </w:r>
          </w:p>
        </w:tc>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blHeader w:val="0"/>
        </w:trPr>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Category</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clients</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752</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80.7</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Unstable clients</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19.3</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Adherence</w:t>
            </w:r>
          </w:p>
        </w:tc>
        <w:tc>
          <w:tcP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918</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98.5</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w:t>
            </w:r>
          </w:p>
        </w:tc>
        <w:tc>
          <w:tcP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Regimen</w:t>
            </w:r>
          </w:p>
        </w:tc>
        <w:tc>
          <w:tcP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DTG-based regimen</w:t>
            </w:r>
          </w:p>
        </w:tc>
        <w:tc>
          <w:tcP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379</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40.7</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Non-DTG-based regimen</w:t>
            </w:r>
          </w:p>
        </w:tc>
        <w:tc>
          <w:tcP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553</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59.3</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Low-level viremia at baseline (cp/ml)</w:t>
            </w:r>
          </w:p>
        </w:tc>
        <w:tc>
          <w:tcP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388198464"/>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≤50 </w:t>
                </w:r>
              </w:sdtContent>
            </w:sdt>
          </w:p>
        </w:tc>
        <w:tc>
          <w:tcP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806</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86.5</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 999</w:t>
            </w:r>
          </w:p>
        </w:tc>
        <w:tc>
          <w:tcP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126</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13.5</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on ART (years)</w:t>
            </w:r>
          </w:p>
        </w:tc>
        <w:tc>
          <w:tcP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 </w:t>
            </w:r>
          </w:p>
        </w:tc>
        <w:tc>
          <w:tcP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256</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27.5</w:t>
            </w: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489</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&gt;8</w:t>
            </w:r>
          </w:p>
        </w:tc>
        <w:tc>
          <w:tcP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187</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20.1</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Dispensing</w:t>
            </w:r>
          </w:p>
        </w:tc>
        <w:tc>
          <w:tcP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414691680"/>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≤30 days ART dispensing</w:t>
                </w:r>
              </w:sdtContent>
            </w:sdt>
          </w:p>
        </w:tc>
        <w:tc>
          <w:tcP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190</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20.4</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&gt;30 days ART dispensing</w:t>
            </w:r>
          </w:p>
        </w:tc>
        <w:tc>
          <w:tcP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742</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79.6</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Clinical stage</w:t>
            </w:r>
          </w:p>
        </w:tc>
        <w:tc>
          <w:tcP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609</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65.3</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249</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 to Health Facility</w:t>
            </w:r>
          </w:p>
        </w:tc>
        <w:tc>
          <w:tcP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 km</w:t>
            </w:r>
          </w:p>
        </w:tc>
        <w:tc>
          <w:tcP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769</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82.5</w:t>
            </w: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&gt;10 km</w:t>
            </w:r>
          </w:p>
        </w:tc>
        <w:tc>
          <w:tcP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163</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17.5</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Refill model</w:t>
            </w:r>
          </w:p>
        </w:tc>
        <w:tc>
          <w:tcP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Community-based ART refill</w:t>
            </w:r>
          </w:p>
        </w:tc>
        <w:tc>
          <w:tcP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751</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80.6</w:t>
            </w: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Facility-based ART refill</w:t>
            </w:r>
          </w:p>
        </w:tc>
        <w:tc>
          <w:tcP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181</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19.4</w:t>
            </w: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id w:val="1783903021"/>
                <w:tag w:val="goog_rdk_4"/>
              </w:sdtPr>
              <w:sdtContent>
                <w:commentRangeStart w:id="2"/>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HIV Care appointment</w:t>
            </w:r>
            <w:commentRangeEnd w:id="2"/>
            <w:r w:rsidDel="00000000" w:rsidR="00000000" w:rsidRPr="00000000">
              <w:commentReference w:id="2"/>
            </w:r>
            <w:r w:rsidDel="00000000" w:rsidR="00000000" w:rsidRPr="00000000">
              <w:rPr>
                <w:rtl w:val="0"/>
              </w:rPr>
            </w:r>
          </w:p>
        </w:tc>
        <w:tc>
          <w:tcP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clinic visit</w:t>
            </w:r>
          </w:p>
        </w:tc>
        <w:tc>
          <w:tcP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Unscheduled clinic visit</w:t>
            </w:r>
          </w:p>
        </w:tc>
        <w:tc>
          <w:tcP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F">
      <w:pPr>
        <w:pStyle w:val="Heading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Incidence of HIV Viral rebound</w:t>
      </w:r>
    </w:p>
    <w:p w:rsidR="00000000" w:rsidDel="00000000" w:rsidP="00000000" w:rsidRDefault="00000000" w:rsidRPr="00000000" w14:paraId="000000A4">
      <w:pPr>
        <w:spacing w:line="360" w:lineRule="auto"/>
        <w:jc w:val="both"/>
        <w:rPr>
          <w:rFonts w:ascii="Times New Roman" w:cs="Times New Roman" w:eastAsia="Times New Roman" w:hAnsi="Times New Roman"/>
        </w:rPr>
      </w:pPr>
      <w:bookmarkStart w:colFirst="0" w:colLast="0" w:name="_heading=h.uzbigqq2c79b" w:id="4"/>
      <w:bookmarkEnd w:id="4"/>
      <w:sdt>
        <w:sdtPr>
          <w:id w:val="177912782"/>
          <w:tag w:val="goog_rdk_5"/>
        </w:sdtPr>
        <w:sdtContent>
          <w:commentRangeStart w:id="3"/>
        </w:sdtContent>
      </w:sdt>
      <w:r w:rsidDel="00000000" w:rsidR="00000000" w:rsidRPr="00000000">
        <w:rPr>
          <w:rFonts w:ascii="Times New Roman" w:cs="Times New Roman" w:eastAsia="Times New Roman" w:hAnsi="Times New Roman"/>
          <w:rtl w:val="0"/>
        </w:rPr>
        <w:t xml:space="preserve">The overall incidence rate of viral rebound was 1.06 per 1000 person-months with 43391 total accumulated person-months of follow-up. The incidence rates were higher among males, clients aged 15–24 years, those living in rural areas, and single individuals (Table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jor3r4dwa0rs" w:id="5"/>
      <w:bookmarkEnd w:id="5"/>
      <w:sdt>
        <w:sdtPr>
          <w:id w:val="-1405994356"/>
          <w:tag w:val="goog_rdk_6"/>
        </w:sdtPr>
        <w:sdtContent>
          <w:commentRangeStart w:id="4"/>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Distributions of incidence rates of HIV viral rebounds by socio-demographic characteristics</w:t>
      </w:r>
      <w:commentRangeEnd w:id="4"/>
      <w:r w:rsidDel="00000000" w:rsidR="00000000" w:rsidRPr="00000000">
        <w:commentReference w:id="4"/>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1"/>
        <w:gridCol w:w="1844"/>
        <w:gridCol w:w="2216"/>
        <w:gridCol w:w="2799"/>
        <w:tblGridChange w:id="0">
          <w:tblGrid>
            <w:gridCol w:w="2491"/>
            <w:gridCol w:w="1844"/>
            <w:gridCol w:w="2216"/>
            <w:gridCol w:w="2799"/>
          </w:tblGrid>
        </w:tblGridChange>
      </w:tblGrid>
      <w:tr>
        <w:trPr>
          <w:cantSplit w:val="0"/>
          <w:trHeight w:val="113"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Person-time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rebound</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Incidence rates per 1000 person-months (95% CI)</w:t>
            </w:r>
          </w:p>
        </w:tc>
      </w:tr>
      <w:tr>
        <w:trPr>
          <w:cantSplit w:val="0"/>
          <w:trHeight w:val="113" w:hRule="atLeast"/>
          <w:tblHeader w:val="0"/>
        </w:trPr>
        <w:tc>
          <w:tcP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33786.63</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sz w:val="24"/>
                <w:szCs w:val="24"/>
                <w:rtl w:val="0"/>
              </w:rPr>
              <w:t xml:space="preserve">0.996-1.816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20807</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r w:rsidDel="00000000" w:rsidR="00000000" w:rsidRPr="00000000">
              <w:rPr>
                <w:rFonts w:ascii="Times New Roman" w:cs="Times New Roman" w:eastAsia="Times New Roman" w:hAnsi="Times New Roman"/>
                <w:sz w:val="24"/>
                <w:szCs w:val="24"/>
                <w:rtl w:val="0"/>
              </w:rPr>
              <w:t xml:space="preserve">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2980</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1.00-2.47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Residency</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Rural</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23751</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Town </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0034</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68-2.09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groups (years)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15-24</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001</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618-8.76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25-44</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15653</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931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2.20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13621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0.62-1.82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165</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3.74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19223</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5855</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3.58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Widowed</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2924</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113" w:hRule="atLeast"/>
          <w:tblHeader w:val="0"/>
        </w:trPr>
        <w:tc>
          <w:tcPr>
            <w:vAlign w:val="bottom"/>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Divorced/separated</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3680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(0.4</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3" w:hRule="atLeast"/>
          <w:tblHeader w:val="0"/>
        </w:trPr>
        <w:tc>
          <w:tcPr>
            <w:vAlign w:val="bottom"/>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Category</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clients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27602</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0.76(0.47-1.16)</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Unstable clients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6185</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4.07(2.62-5.97)</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Adherence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33254</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1.35(0.99-1.81)</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532</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1.88(0.05-10.5)</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Regimen</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DTG-based regimen</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13841</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1.08(0.61-1.79)</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Non-DTG-based regimen</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19945</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1.55(1.06-2.21)</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Low-level viremia at baseline (cp/ml)</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520022103"/>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≤50 </w:t>
                </w:r>
              </w:sdtContent>
            </w:sdt>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29296</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1.37(0.98-1.86)</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 999</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4490</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1.34(0.49-2.91)</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on ART (years)</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 </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17758</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1.30(0.82-1.94)</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9202</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1.63(0.91-2.69)</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&gt;8</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6827</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1.17(0.51-2.31)</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Dispensing</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392628460"/>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≤30 days ART dispensing</w:t>
                </w:r>
              </w:sdtContent>
            </w:sdt>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6631</w:t>
            </w: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3.32(2.08-5.02)</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&gt;30 days ART dispensing</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27156</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0.88(0.57-1.32)</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Clinical stage</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912</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0(0-4.44)</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1736</w:t>
            </w: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2.30(0.63-5.90)</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22044</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1.41(0.96-2.00)</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9094</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1.21(0.60-2.16</w:t>
            </w:r>
            <w:r w:rsidDel="00000000" w:rsidR="00000000" w:rsidRPr="00000000">
              <w:rPr>
                <w:rtl w:val="0"/>
              </w:rPr>
            </w:r>
          </w:p>
        </w:tc>
      </w:tr>
      <w:tr>
        <w:trPr>
          <w:cantSplit w:val="0"/>
          <w:trHeight w:val="113" w:hRule="atLeast"/>
          <w:tblHeader w:val="0"/>
        </w:trPr>
        <w:tc>
          <w:tcPr>
            <w:vAlign w:val="bottom"/>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 to Health Facility</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 km</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27861</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1.18(0.82-1.66)</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&gt;10 km</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5926</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2.19(1.17-3.75)</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Refill model</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Community-based ART refill</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6871</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0.29(0.04-1.05)</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Facility-based ART refill</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26916</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1.63(1.19-2.19)</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id w:val="726315398"/>
                <w:tag w:val="goog_rdk_9"/>
              </w:sdtPr>
              <w:sdtContent>
                <w:commentRangeStart w:id="5"/>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HIV Care appointment</w:t>
            </w:r>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Scheduled clinic visit</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27514</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1.31(0.92-1.81)</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Unscheduled clinic visit</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6273</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1.59(0.76-2.93)</w:t>
            </w:r>
            <w:r w:rsidDel="00000000" w:rsidR="00000000" w:rsidRPr="00000000">
              <w:rPr>
                <w:rtl w:val="0"/>
              </w:rPr>
            </w:r>
          </w:p>
        </w:tc>
      </w:tr>
    </w:tbl>
    <w:p w:rsidR="00000000" w:rsidDel="00000000" w:rsidP="00000000" w:rsidRDefault="00000000" w:rsidRPr="00000000" w14:paraId="0000017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Factors associated with HIV Viral rebound following initial viral suppression</w:t>
      </w:r>
    </w:p>
    <w:p w:rsidR="00000000" w:rsidDel="00000000" w:rsidP="00000000" w:rsidRDefault="00000000" w:rsidRPr="00000000" w14:paraId="000001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multivariable analysis, being an unstable client (aHR 4.61 (95% CI 1.95-10.90; p=0.001) and living more than 10 km from a health facility (aHR,2.59 (95% CI 1.30-5.18; p=0.007) were independently associated with HIV Viral rebound.</w:t>
      </w:r>
    </w:p>
    <w:p w:rsidR="00000000" w:rsidDel="00000000" w:rsidP="00000000" w:rsidRDefault="00000000" w:rsidRPr="00000000" w14:paraId="000001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ages older than 24 years, being stable on ART, having ART dispensing of less or more than 30 days, living near health facilities, facility patient volume, ART refill models, and being on any HIV care appointments category were not significantly associated with a viral rebound (Table 3).</w:t>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y002vtyhxwa"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Multivariable analysis of factors associated with HIV viral rebound</w:t>
      </w:r>
    </w:p>
    <w:tbl>
      <w:tblPr>
        <w:tblStyle w:val="Table3"/>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9"/>
        <w:gridCol w:w="1189"/>
        <w:gridCol w:w="1930"/>
        <w:gridCol w:w="1040"/>
        <w:gridCol w:w="2078"/>
        <w:gridCol w:w="1034"/>
        <w:tblGridChange w:id="0">
          <w:tblGrid>
            <w:gridCol w:w="2079"/>
            <w:gridCol w:w="1189"/>
            <w:gridCol w:w="1930"/>
            <w:gridCol w:w="1040"/>
            <w:gridCol w:w="2078"/>
            <w:gridCol w:w="10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Viral rebound, 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Crude hazard ratio (95% CI)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hazard ratio (95% CI)</w:t>
            </w:r>
          </w:p>
        </w:tc>
        <w:tc>
          <w:tcPr>
            <w:tcBorders>
              <w:left w:color="000000" w:space="0" w:sz="4" w:val="single"/>
            </w:tcBorders>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 group (years)</w:t>
            </w:r>
            <w:r w:rsidDel="00000000" w:rsidR="00000000" w:rsidRPr="00000000">
              <w:rPr>
                <w:rtl w:val="0"/>
              </w:rPr>
            </w:r>
          </w:p>
        </w:tc>
        <w:tc>
          <w:tcPr>
            <w:tcBorders>
              <w:top w:color="000000" w:space="0" w:sz="4" w:val="single"/>
            </w:tcBorders>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8">
            <w:pPr>
              <w:ind w:lef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 </w:t>
            </w:r>
          </w:p>
        </w:tc>
        <w:tc>
          <w:tcPr/>
          <w:p w:rsidR="00000000" w:rsidDel="00000000" w:rsidP="00000000" w:rsidRDefault="00000000" w:rsidRPr="00000000" w14:paraId="000001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 (6.5)</w:t>
            </w:r>
            <w:r w:rsidDel="00000000" w:rsidR="00000000" w:rsidRPr="00000000">
              <w:rPr>
                <w:rtl w:val="0"/>
              </w:rPr>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8E">
            <w:pPr>
              <w:ind w:lef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25-44</w:t>
            </w:r>
          </w:p>
        </w:tc>
        <w:tc>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(54.4)</w:t>
            </w:r>
          </w:p>
        </w:tc>
        <w:tc>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 (0.14-1.53)</w:t>
            </w:r>
          </w:p>
        </w:tc>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w:t>
            </w:r>
          </w:p>
        </w:tc>
        <w:tc>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0.36(0.11-1.23)</w:t>
            </w:r>
          </w:p>
        </w:tc>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p w:rsidR="00000000" w:rsidDel="00000000" w:rsidP="00000000" w:rsidRDefault="00000000" w:rsidRPr="00000000" w14:paraId="00000194">
            <w:pPr>
              <w:ind w:lef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45-64</w:t>
            </w:r>
          </w:p>
        </w:tc>
        <w:tc>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(34.8)</w:t>
            </w:r>
          </w:p>
        </w:tc>
        <w:tc>
          <w:tcPr>
            <w:shd w:fill="auto" w:val="cle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 (0.11-1.31)</w:t>
            </w:r>
          </w:p>
        </w:tc>
        <w:tc>
          <w:tcPr>
            <w:shd w:fill="auto" w:val="clear"/>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126</w:t>
            </w:r>
          </w:p>
        </w:tc>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 (0.13-1.59)</w:t>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blHeader w:val="0"/>
        </w:trPr>
        <w:tc>
          <w:tcPr/>
          <w:p w:rsidR="00000000" w:rsidDel="00000000" w:rsidP="00000000" w:rsidRDefault="00000000" w:rsidRPr="00000000" w14:paraId="0000019A">
            <w:pPr>
              <w:ind w:lef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w:t>
            </w:r>
          </w:p>
        </w:tc>
        <w:tc>
          <w:tcPr/>
          <w:p w:rsidR="00000000" w:rsidDel="00000000" w:rsidP="00000000" w:rsidRDefault="00000000" w:rsidRPr="00000000" w14:paraId="0000019B">
            <w:pPr>
              <w:rPr>
                <w:rFonts w:ascii="Times New Roman" w:cs="Times New Roman" w:eastAsia="Times New Roman" w:hAnsi="Times New Roman"/>
                <w:sz w:val="24"/>
                <w:szCs w:val="24"/>
              </w:rPr>
            </w:pPr>
            <w:sdt>
              <w:sdtPr>
                <w:id w:val="-424256289"/>
                <w:tag w:val="goog_rdk_10"/>
              </w:sdtPr>
              <w:sdtContent>
                <w:commentRangeStart w:id="6"/>
              </w:sdtContent>
            </w:sdt>
            <w:r w:rsidDel="00000000" w:rsidR="00000000" w:rsidRPr="00000000">
              <w:rPr>
                <w:rFonts w:ascii="Times New Roman" w:cs="Times New Roman" w:eastAsia="Times New Roman" w:hAnsi="Times New Roman"/>
                <w:sz w:val="24"/>
                <w:szCs w:val="24"/>
                <w:rtl w:val="0"/>
              </w:rPr>
              <w:t xml:space="preserve">2 (4.3)</w:t>
            </w:r>
            <w:commentRangeEnd w:id="6"/>
            <w:r w:rsidDel="00000000" w:rsidR="00000000" w:rsidRPr="00000000">
              <w:commentReference w:id="6"/>
            </w:r>
            <w:r w:rsidDel="00000000" w:rsidR="00000000" w:rsidRPr="00000000">
              <w:rPr>
                <w:rtl w:val="0"/>
              </w:rPr>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 (0.08-3.01)</w:t>
            </w:r>
          </w:p>
        </w:tc>
        <w:tc>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0.449</w:t>
            </w:r>
          </w:p>
        </w:tc>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 (0.07-2.81</w:t>
            </w:r>
          </w:p>
        </w:tc>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blHeader w:val="0"/>
        </w:trPr>
        <w:tc>
          <w:tcPr/>
          <w:p w:rsidR="00000000" w:rsidDel="00000000" w:rsidP="00000000" w:rsidRDefault="00000000" w:rsidRPr="00000000" w14:paraId="000001A0">
            <w:pPr>
              <w:ind w:lef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w:t>
            </w:r>
          </w:p>
        </w:tc>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(6.52)</w:t>
            </w:r>
          </w:p>
        </w:tc>
        <w:tc>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category</w:t>
            </w:r>
          </w:p>
        </w:tc>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Stable</w:t>
            </w: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(45.7)</w:t>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Unstable</w:t>
            </w:r>
            <w:r w:rsidDel="00000000" w:rsidR="00000000" w:rsidRPr="00000000">
              <w:rPr>
                <w:rtl w:val="0"/>
              </w:rPr>
            </w:r>
          </w:p>
        </w:tc>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(54.3)</w:t>
            </w:r>
          </w:p>
        </w:tc>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 (2.71-8.76)</w:t>
            </w:r>
          </w:p>
        </w:tc>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 (2.16-12.5)</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Dispensing</w:t>
            </w:r>
          </w:p>
        </w:tc>
        <w:tc>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E">
            <w:pPr>
              <w:rPr>
                <w:rFonts w:ascii="Times New Roman" w:cs="Times New Roman" w:eastAsia="Times New Roman" w:hAnsi="Times New Roman"/>
                <w:sz w:val="24"/>
                <w:szCs w:val="24"/>
              </w:rPr>
            </w:pPr>
            <w:sdt>
              <w:sdtPr>
                <w:id w:val="-304323757"/>
                <w:tag w:val="goog_rdk_11"/>
              </w:sdtPr>
              <w:sdtContent>
                <w:r w:rsidDel="00000000" w:rsidR="00000000" w:rsidRPr="00000000">
                  <w:rPr>
                    <w:rFonts w:ascii="Gungsuh" w:cs="Gungsuh" w:eastAsia="Gungsuh" w:hAnsi="Gungsuh"/>
                    <w:sz w:val="24"/>
                    <w:szCs w:val="24"/>
                    <w:rtl w:val="0"/>
                  </w:rPr>
                  <w:t xml:space="preserve">≤30 days ART dispensing</w:t>
                </w:r>
              </w:sdtContent>
            </w:sdt>
          </w:p>
        </w:tc>
        <w:tc>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(47.8)</w:t>
            </w:r>
          </w:p>
        </w:tc>
        <w:tc>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&gt;30 days ART dispensing</w:t>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(52.2)</w:t>
            </w:r>
          </w:p>
        </w:tc>
        <w:tc>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 (0.17-0.54)</w:t>
            </w:r>
          </w:p>
        </w:tc>
        <w:tc>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 (0.36-2.02)</w:t>
            </w:r>
          </w:p>
        </w:tc>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vAlign w:val="bottom"/>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Distance to Health Facility</w:t>
            </w:r>
            <w:r w:rsidDel="00000000" w:rsidR="00000000" w:rsidRPr="00000000">
              <w:rPr>
                <w:rtl w:val="0"/>
              </w:rPr>
            </w:r>
          </w:p>
        </w:tc>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km</w:t>
            </w:r>
          </w:p>
        </w:tc>
        <w:tc>
          <w:tcPr>
            <w:vAlign w:val="bottom"/>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(71.7)</w:t>
            </w:r>
          </w:p>
        </w:tc>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w:t>
            </w:r>
          </w:p>
        </w:tc>
        <w:tc>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 km</w:t>
            </w:r>
          </w:p>
        </w:tc>
        <w:tc>
          <w:tcPr>
            <w:vAlign w:val="bottom"/>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(28.3)</w:t>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(0.92-3.34)</w:t>
            </w:r>
          </w:p>
        </w:tc>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w:t>
            </w:r>
          </w:p>
        </w:tc>
        <w:tc>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(1.09-4.43)</w:t>
            </w:r>
          </w:p>
        </w:tc>
        <w:tc>
          <w:tcPr/>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0.027*</w:t>
            </w:r>
          </w:p>
        </w:tc>
      </w:tr>
    </w:tbl>
    <w:p w:rsidR="00000000" w:rsidDel="00000000" w:rsidP="00000000" w:rsidRDefault="00000000" w:rsidRPr="00000000" w14:paraId="000001D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(Continued)</w:t>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9"/>
        <w:gridCol w:w="1213"/>
        <w:gridCol w:w="1961"/>
        <w:gridCol w:w="757"/>
        <w:gridCol w:w="1960"/>
        <w:gridCol w:w="846"/>
        <w:tblGridChange w:id="0">
          <w:tblGrid>
            <w:gridCol w:w="2189"/>
            <w:gridCol w:w="1213"/>
            <w:gridCol w:w="1961"/>
            <w:gridCol w:w="757"/>
            <w:gridCol w:w="1960"/>
            <w:gridCol w:w="846"/>
          </w:tblGrid>
        </w:tblGridChange>
      </w:tblGrid>
      <w:tr>
        <w:trPr>
          <w:cantSplit w:val="0"/>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Variable</w:t>
            </w: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Viral rebound, n=46 (%)</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Crude hazard ratio (95% CI)</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p-value</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Adjusted hazard ratio (95% CI)</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p-value</w:t>
            </w:r>
          </w:p>
        </w:tc>
      </w:tr>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ART Refill model</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Community-based ART refill</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(4.4)</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Facility-based ART refill</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44 (95.6)</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0.19(0.05-0.77)</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0.021</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0.34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0.08-1.48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0.174</w:t>
            </w:r>
          </w:p>
        </w:tc>
      </w:tr>
      <w:tr>
        <w:trPr>
          <w:cantSplit w:val="0"/>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vertAlign w:val="baseline"/>
              </w:rPr>
            </w:pPr>
            <w:sdt>
              <w:sdtPr>
                <w:id w:val="-687306049"/>
                <w:tag w:val="goog_rdk_12"/>
              </w:sdtPr>
              <w:sdtContent>
                <w:commentRangeStart w:id="7"/>
              </w:sdtContent>
            </w:sdt>
            <w:r w:rsidDel="00000000" w:rsidR="00000000" w:rsidRPr="00000000">
              <w:rPr>
                <w:rFonts w:ascii="Aptos" w:cs="Aptos" w:eastAsia="Aptos" w:hAnsi="Aptos"/>
                <w:b w:val="1"/>
                <w:i w:val="0"/>
                <w:smallCaps w:val="0"/>
                <w:strike w:val="0"/>
                <w:color w:val="000000"/>
                <w:sz w:val="22"/>
                <w:szCs w:val="22"/>
                <w:u w:val="none"/>
                <w:vertAlign w:val="baseline"/>
                <w:rtl w:val="0"/>
              </w:rPr>
              <w:t xml:space="preserve">HIV Care appointment</w:t>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sdt>
              <w:sdtPr>
                <w:id w:val="1418877006"/>
                <w:tag w:val="goog_rdk_13"/>
              </w:sdtPr>
              <w:sdtContent>
                <w:commentRangeStart w:id="8"/>
              </w:sdtContent>
            </w:sd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Scheduled clinic visit</w:t>
            </w:r>
            <w:commentRangeEnd w:id="8"/>
            <w:r w:rsidDel="00000000" w:rsidR="00000000" w:rsidRPr="00000000">
              <w:commentReference w:id="8"/>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36 (78.26)</w:t>
            </w:r>
            <w:r w:rsidDel="00000000" w:rsidR="00000000" w:rsidRPr="00000000">
              <w:rPr>
                <w:rtl w:val="0"/>
              </w:rPr>
            </w:r>
          </w:p>
        </w:tc>
        <w:tc>
          <w:tcPr/>
          <w:p w:rsidR="00000000" w:rsidDel="00000000" w:rsidP="00000000" w:rsidRDefault="00000000" w:rsidRPr="00000000" w14:paraId="00000201">
            <w:pP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Ref</w:t>
            </w: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sdt>
              <w:sdtPr>
                <w:id w:val="-525187428"/>
                <w:tag w:val="goog_rdk_14"/>
              </w:sdtPr>
              <w:sdtContent>
                <w:commentRangeStart w:id="9"/>
              </w:sdtContent>
            </w:sd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Unscheduled clinic visit</w:t>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10 (21.73)</w:t>
            </w: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1.13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0.56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2.29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0.732</w:t>
            </w: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0.53 (0.24-1.17)</w:t>
            </w: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0.12</w:t>
            </w:r>
            <w:r w:rsidDel="00000000" w:rsidR="00000000" w:rsidRPr="00000000">
              <w:rPr>
                <w:rtl w:val="0"/>
              </w:rPr>
            </w:r>
          </w:p>
        </w:tc>
      </w:tr>
    </w:tbl>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ito, Kelvin" w:id="2" w:date="2025-07-17T16:40: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categories have been merged. See the below last table of multivariable analysis.</w:t>
      </w:r>
    </w:p>
  </w:comment>
  <w:comment w:author="Tito, Kelvin" w:id="9" w:date="2025-07-17T16:35: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Unscheduled clinic visit is merged with the traced back to make a total of 10</w:t>
      </w:r>
    </w:p>
  </w:comment>
  <w:comment w:author="Elias Bukundi" w:id="7" w:date="2025-07-13T16:14: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merge</w:t>
      </w:r>
    </w:p>
  </w:comment>
  <w:comment w:author="Tito, Kelvin" w:id="8" w:date="2025-07-17T16:31: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clinic visit is merged with Community ART, and treatment supporter drug refill to make a total of 36.</w:t>
      </w:r>
    </w:p>
  </w:comment>
  <w:comment w:author="Tito, Kelvin" w:id="3" w:date="2025-07-17T16:27: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reviewed</w:t>
      </w:r>
    </w:p>
  </w:comment>
  <w:comment w:author="Tito, Kelvin" w:id="5" w:date="2025-07-17T16:40: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categories have been merged. See the below last table of multivariable analysis.</w:t>
      </w:r>
    </w:p>
  </w:comment>
  <w:comment w:author="Tito, Kelvin" w:id="0" w:date="2025-07-17T16:17: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reviewed</w:t>
      </w:r>
    </w:p>
  </w:comment>
  <w:comment w:author="Elias Bukundi" w:id="6" w:date="2025-07-13T16:10: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45-64 and 65_</w:t>
      </w:r>
    </w:p>
  </w:comment>
  <w:comment w:author="Elias Bukundi" w:id="4" w:date="2025-07-13T15:59: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incidence rate by socio-demographic and clinical characteristics</w:t>
      </w:r>
    </w:p>
  </w:comment>
  <w:comment w:author="Elias Bukundi" w:id="1" w:date="2025-07-13T15:57: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better clinical characteristics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116CF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16CF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16CF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16CF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16CF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16CF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16CF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16CF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16CF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16CF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16CF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16CF6"/>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16CF6"/>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16CF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16CF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16CF6"/>
    <w:rPr>
      <w:i w:val="1"/>
      <w:iCs w:val="1"/>
      <w:color w:val="404040" w:themeColor="text1" w:themeTint="0000BF"/>
    </w:rPr>
  </w:style>
  <w:style w:type="paragraph" w:styleId="ListParagraph">
    <w:name w:val="List Paragraph"/>
    <w:basedOn w:val="Normal"/>
    <w:uiPriority w:val="34"/>
    <w:qFormat w:val="1"/>
    <w:rsid w:val="00116CF6"/>
    <w:pPr>
      <w:ind w:left="720"/>
      <w:contextualSpacing w:val="1"/>
    </w:pPr>
  </w:style>
  <w:style w:type="character" w:styleId="IntenseEmphasis">
    <w:name w:val="Intense Emphasis"/>
    <w:basedOn w:val="DefaultParagraphFont"/>
    <w:uiPriority w:val="21"/>
    <w:qFormat w:val="1"/>
    <w:rsid w:val="00116CF6"/>
    <w:rPr>
      <w:i w:val="1"/>
      <w:iCs w:val="1"/>
      <w:color w:val="0f4761" w:themeColor="accent1" w:themeShade="0000BF"/>
    </w:rPr>
  </w:style>
  <w:style w:type="paragraph" w:styleId="IntenseQuote">
    <w:name w:val="Intense Quote"/>
    <w:basedOn w:val="Normal"/>
    <w:next w:val="Normal"/>
    <w:link w:val="IntenseQuoteChar"/>
    <w:uiPriority w:val="30"/>
    <w:qFormat w:val="1"/>
    <w:rsid w:val="00116CF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16CF6"/>
    <w:rPr>
      <w:i w:val="1"/>
      <w:iCs w:val="1"/>
      <w:color w:val="0f4761" w:themeColor="accent1" w:themeShade="0000BF"/>
    </w:rPr>
  </w:style>
  <w:style w:type="character" w:styleId="IntenseReference">
    <w:name w:val="Intense Reference"/>
    <w:basedOn w:val="DefaultParagraphFont"/>
    <w:uiPriority w:val="32"/>
    <w:qFormat w:val="1"/>
    <w:rsid w:val="00116CF6"/>
    <w:rPr>
      <w:b w:val="1"/>
      <w:bCs w:val="1"/>
      <w:smallCaps w:val="1"/>
      <w:color w:val="0f4761" w:themeColor="accent1" w:themeShade="0000BF"/>
      <w:spacing w:val="5"/>
    </w:rPr>
  </w:style>
  <w:style w:type="table" w:styleId="TableGrid">
    <w:name w:val="Table Grid"/>
    <w:basedOn w:val="TableNormal"/>
    <w:uiPriority w:val="39"/>
    <w:rsid w:val="00881E06"/>
    <w:pPr>
      <w:spacing w:after="0" w:line="240" w:lineRule="auto"/>
    </w:pPr>
    <w:rPr>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81E06"/>
    <w:pPr>
      <w:spacing w:after="200" w:line="240" w:lineRule="auto"/>
    </w:pPr>
    <w:rPr>
      <w:i w:val="1"/>
      <w:iCs w:val="1"/>
      <w:color w:val="0e2841" w:themeColor="text2"/>
      <w:kern w:val="0"/>
      <w:sz w:val="18"/>
      <w:szCs w:val="18"/>
    </w:rPr>
  </w:style>
  <w:style w:type="character" w:styleId="CommentReference">
    <w:name w:val="annotation reference"/>
    <w:basedOn w:val="DefaultParagraphFont"/>
    <w:uiPriority w:val="99"/>
    <w:semiHidden w:val="1"/>
    <w:unhideWhenUsed w:val="1"/>
    <w:rsid w:val="00881E06"/>
    <w:rPr>
      <w:sz w:val="16"/>
      <w:szCs w:val="16"/>
    </w:rPr>
  </w:style>
  <w:style w:type="paragraph" w:styleId="CommentText">
    <w:name w:val="annotation text"/>
    <w:basedOn w:val="Normal"/>
    <w:link w:val="CommentTextChar"/>
    <w:uiPriority w:val="99"/>
    <w:unhideWhenUsed w:val="1"/>
    <w:rsid w:val="00881E06"/>
    <w:pPr>
      <w:spacing w:line="240" w:lineRule="auto"/>
    </w:pPr>
    <w:rPr>
      <w:sz w:val="20"/>
      <w:szCs w:val="20"/>
    </w:rPr>
  </w:style>
  <w:style w:type="character" w:styleId="CommentTextChar" w:customStyle="1">
    <w:name w:val="Comment Text Char"/>
    <w:basedOn w:val="DefaultParagraphFont"/>
    <w:link w:val="CommentText"/>
    <w:uiPriority w:val="99"/>
    <w:rsid w:val="00881E06"/>
    <w:rPr>
      <w:sz w:val="20"/>
      <w:szCs w:val="20"/>
    </w:rPr>
  </w:style>
  <w:style w:type="paragraph" w:styleId="NoSpacing">
    <w:name w:val="No Spacing"/>
    <w:uiPriority w:val="1"/>
    <w:qFormat w:val="1"/>
    <w:rsid w:val="00881E06"/>
    <w:pPr>
      <w:spacing w:after="0" w:line="240" w:lineRule="auto"/>
    </w:pPr>
    <w:rPr>
      <w:sz w:val="22"/>
      <w:szCs w:val="22"/>
    </w:rPr>
  </w:style>
  <w:style w:type="paragraph" w:styleId="CommentSubject">
    <w:name w:val="annotation subject"/>
    <w:basedOn w:val="CommentText"/>
    <w:next w:val="CommentText"/>
    <w:link w:val="CommentSubjectChar"/>
    <w:uiPriority w:val="99"/>
    <w:semiHidden w:val="1"/>
    <w:unhideWhenUsed w:val="1"/>
    <w:rsid w:val="00F91003"/>
    <w:rPr>
      <w:b w:val="1"/>
      <w:bCs w:val="1"/>
    </w:rPr>
  </w:style>
  <w:style w:type="character" w:styleId="CommentSubjectChar" w:customStyle="1">
    <w:name w:val="Comment Subject Char"/>
    <w:basedOn w:val="CommentTextChar"/>
    <w:link w:val="CommentSubject"/>
    <w:uiPriority w:val="99"/>
    <w:semiHidden w:val="1"/>
    <w:rsid w:val="00F91003"/>
    <w:rPr>
      <w:b w:val="1"/>
      <w:bCs w:val="1"/>
      <w:sz w:val="20"/>
      <w:szCs w:val="20"/>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ESrprcFvMaAzsqQziUGHfZRKuw==">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2025-07-17T12:23:00Z</dcterms:created>
  <dc:creator>Tito, Kelvin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a8407e6d-d064-4766-b87a-be5dd18c33cb</vt:lpwstr>
  </property>
</Properties>
</file>