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44"/>
          <w:szCs w:val="44"/>
        </w:rPr>
        <w:t xml:space="preserve"/>
      </w:r>
    </w:p>
    <w:p>
      <w:pPr>
        <w:spacing w:after="60" w:before="0"/>
        <w:jc w:val="center"/>
      </w:pPr>
      <w:r>
        <w:rPr>
          <w:rFonts w:ascii="Arial" w:cs="Arial" w:eastAsia="Arial" w:hAnsi="Arial"/>
          <w:b/>
          <w:bCs/>
          <w:caps/>
          <w:color w:val="888888"/>
          <w:sz w:val="20"/>
          <w:szCs w:val="20"/>
        </w:rPr>
        <w:t xml:space="preserve">NATIONAL UNIVERSITY OF SCIENCE AND TECHNOLOGY</w:t>
      </w:r>
    </w:p>
    <w:p>
      <w:pPr>
        <w:spacing w:after="240" w:before="0"/>
        <w:jc w:val="center"/>
      </w:pPr>
      <w:r>
        <w:rPr>
          <w:rFonts w:ascii="Arial" w:cs="Arial" w:eastAsia="Arial" w:hAnsi="Arial"/>
          <w:color w:val="888888"/>
          <w:sz w:val="20"/>
          <w:szCs w:val="20"/>
        </w:rPr>
        <w:t xml:space="preserve">Information Technology Department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5C8B" w:val="clear"/>
            <w:tcMar>
              <w:top w:type="dxa" w:w="400"/>
              <w:left w:type="dxa" w:w="560"/>
              <w:bottom w:type="dxa" w:w="400"/>
              <w:right w:type="dxa" w:w="560"/>
            </w:tcMar>
          </w:tcPr>
          <w:p>
            <w:pPr>
              <w:jc w:val="center"/>
            </w:pPr>
            <w:r>
              <w:rPr>
                <w:rFonts w:ascii="Arial" w:cs="Arial" w:eastAsia="Arial" w:hAnsi="Arial"/>
                <w:b/>
                <w:bCs/>
                <w:color w:val="FFFFFF"/>
                <w:sz w:val="44"/>
                <w:szCs w:val="44"/>
              </w:rPr>
              <w:t xml:space="preserve">Microsoft Azure for Students</w:t>
            </w:r>
          </w:p>
          <w:p>
            <w:pPr>
              <w:spacing w:before="120"/>
              <w:jc w:val="center"/>
            </w:pPr>
            <w:r>
              <w:rPr>
                <w:rFonts w:ascii="Arial" w:cs="Arial" w:eastAsia="Arial" w:hAnsi="Arial"/>
                <w:b w:val="false"/>
                <w:bCs w:val="false"/>
                <w:color w:val="C9DEF0"/>
                <w:sz w:val="26"/>
                <w:szCs w:val="26"/>
              </w:rPr>
              <w:t xml:space="preserve">Executive Program Brief</w:t>
            </w:r>
          </w:p>
          <w:p>
            <w:pPr>
              <w:spacing w:before="80"/>
              <w:jc w:val="center"/>
            </w:pPr>
            <w:r>
              <w:rPr>
                <w:rFonts w:ascii="Arial" w:cs="Arial" w:eastAsia="Arial" w:hAnsi="Arial"/>
                <w:i/>
                <w:iCs/>
                <w:color w:val="A0C4DE"/>
                <w:sz w:val="20"/>
                <w:szCs w:val="20"/>
              </w:rPr>
              <w:t xml:space="preserve">Empowering the Next Generation of Technology Professionals</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2E75B6"/>
                <w:sz w:val="18"/>
                <w:szCs w:val="18"/>
              </w:rPr>
              <w:t xml:space="preserve">Addressed To</w:t>
            </w:r>
          </w:p>
          <w:p>
            <w:r>
              <w:rPr>
                <w:rFonts w:ascii="Arial" w:cs="Arial" w:eastAsia="Arial" w:hAnsi="Arial"/>
                <w:color w:val="1A1A1A"/>
                <w:sz w:val="20"/>
                <w:szCs w:val="20"/>
              </w:rPr>
              <w:t xml:space="preserve">Dean, College of Engineering</w:t>
            </w:r>
          </w:p>
          <w:p>
            <w:r>
              <w:rPr>
                <w:rFonts w:ascii="Arial" w:cs="Arial" w:eastAsia="Arial" w:hAnsi="Arial"/>
                <w:color w:val="1A1A1A"/>
                <w:sz w:val="20"/>
                <w:szCs w:val="20"/>
              </w:rPr>
              <w:t xml:space="preserve">Dean, College of Advanced Technology</w:t>
            </w:r>
          </w:p>
          <w:p>
            <w:r>
              <w:rPr>
                <w:rFonts w:ascii="Arial" w:cs="Arial" w:eastAsia="Arial" w:hAnsi="Arial"/>
                <w:color w:val="1A1A1A"/>
                <w:sz w:val="20"/>
                <w:szCs w:val="20"/>
              </w:rPr>
              <w:t xml:space="preserve">Executives, College of Advanced Technology</w:t>
            </w:r>
          </w:p>
          <w:p>
            <w:r>
              <w:rPr>
                <w:rFonts w:ascii="Arial" w:cs="Arial" w:eastAsia="Arial" w:hAnsi="Arial"/>
                <w:color w:val="1A1A1A"/>
                <w:sz w:val="20"/>
                <w:szCs w:val="20"/>
              </w:rPr>
              <w:t xml:space="preserve">Dept. Head, Electronics &amp; Computer Engineering</w:t>
            </w:r>
          </w:p>
        </w:tc>
        <w:tc>
          <w:tcPr>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2E75B6"/>
                <w:sz w:val="18"/>
                <w:szCs w:val="18"/>
              </w:rPr>
              <w:t xml:space="preserve">Document Details</w:t>
            </w:r>
          </w:p>
          <w:p>
            <w:r>
              <w:rPr>
                <w:rFonts w:ascii="Arial" w:cs="Arial" w:eastAsia="Arial" w:hAnsi="Arial"/>
                <w:color w:val="1A1A1A"/>
                <w:sz w:val="20"/>
                <w:szCs w:val="20"/>
              </w:rPr>
              <w:t xml:space="preserve">From: IT Department, NUST</w:t>
            </w:r>
          </w:p>
          <w:p>
            <w:r>
              <w:rPr>
                <w:rFonts w:ascii="Arial" w:cs="Arial" w:eastAsia="Arial" w:hAnsi="Arial"/>
                <w:color w:val="1A1A1A"/>
                <w:sz w:val="20"/>
                <w:szCs w:val="20"/>
              </w:rPr>
              <w:t xml:space="preserve">Classification: Internal — For Review</w:t>
            </w:r>
          </w:p>
          <w:p>
            <w:r>
              <w:rPr>
                <w:rFonts w:ascii="Arial" w:cs="Arial" w:eastAsia="Arial" w:hAnsi="Arial"/>
                <w:color w:val="1A1A1A"/>
                <w:sz w:val="20"/>
                <w:szCs w:val="20"/>
              </w:rPr>
              <w:t xml:space="preserve">Subject: Azure for Students Enrollment</w:t>
            </w:r>
          </w:p>
          <w:p>
            <w:r>
              <w:rPr>
                <w:rFonts w:ascii="Arial" w:cs="Arial" w:eastAsia="Arial" w:hAnsi="Arial"/>
                <w:color w:val="1A1A1A"/>
                <w:sz w:val="20"/>
                <w:szCs w:val="20"/>
              </w:rPr>
              <w:t xml:space="preserve">Date: April 2026</w:t>
            </w:r>
          </w:p>
        </w:tc>
      </w:tr>
    </w:tbl>
    <w:p>
      <w:r>
        <w:rPr>
          <w:sz w:val="22"/>
          <w:szCs w:val="22"/>
        </w:rPr>
        <w:t xml:space="preserve"/>
      </w:r>
    </w:p>
    <w:p>
      <w:pPr>
        <w:pStyle w:val="Heading1"/>
        <w:pBdr>
          <w:bottom w:val="single" w:color="2E75B6" w:sz="8" w:space="4"/>
        </w:pBdr>
        <w:spacing w:after="120" w:before="360"/>
      </w:pPr>
      <w:r>
        <w:rPr>
          <w:rFonts w:ascii="Arial" w:cs="Arial" w:eastAsia="Arial" w:hAnsi="Arial"/>
          <w:b/>
          <w:bCs/>
          <w:color w:val="1F5C8B"/>
          <w:sz w:val="28"/>
          <w:szCs w:val="28"/>
        </w:rPr>
        <w:t xml:space="preserve">Executive Summary</w:t>
      </w:r>
    </w:p>
    <w:p>
      <w:pPr>
        <w:spacing w:after="60" w:before="60"/>
      </w:pPr>
      <w:r>
        <w:rPr>
          <w:rFonts w:ascii="Arial" w:cs="Arial" w:eastAsia="Arial" w:hAnsi="Arial"/>
          <w:color w:val="1A1A1A"/>
          <w:sz w:val="22"/>
          <w:szCs w:val="22"/>
        </w:rPr>
        <w:t xml:space="preserve">Microsoft Azure for Students is a free cloud computing program offered by Microsoft, designed specifically for enrolled students at accredited higher education institutions. This program provides students with direct access to industry-leading cloud services, development tools, and professional-grade infrastructure — at no cost to the student or the institution.</w:t>
      </w:r>
    </w:p>
    <w:p>
      <w:r>
        <w:rPr>
          <w:sz w:val="22"/>
          <w:szCs w:val="22"/>
        </w:rPr>
        <w:t xml:space="preserve"/>
      </w:r>
    </w:p>
    <w:p>
      <w:pPr>
        <w:spacing w:after="60" w:before="60"/>
      </w:pPr>
      <w:r>
        <w:rPr>
          <w:rFonts w:ascii="Arial" w:cs="Arial" w:eastAsia="Arial" w:hAnsi="Arial"/>
          <w:color w:val="1A1A1A"/>
          <w:sz w:val="22"/>
          <w:szCs w:val="22"/>
        </w:rPr>
        <w:t xml:space="preserve">The National University of Science and Technology (NUST) has a unique opportunity to formally enroll eligible students under this program, enabling hands-on experience with enterprise cloud technologies that directly align with industry expectations and national digital transformation goals. This brief outlines the program's core features, institutional benefits, and the direct value it delivers to NUST students — particularly those enrolled in engineering and technology disciplines.</w:t>
      </w:r>
    </w:p>
    <w:p>
      <w:r>
        <w:rPr>
          <w:sz w:val="22"/>
          <w:szCs w:val="22"/>
        </w:rPr>
        <w:t xml:space="preserve"/>
      </w:r>
    </w:p>
    <w:p>
      <w:pPr>
        <w:pStyle w:val="Heading1"/>
        <w:pBdr>
          <w:bottom w:val="single" w:color="2E75B6" w:sz="8" w:space="4"/>
        </w:pBdr>
        <w:spacing w:after="120" w:before="360"/>
      </w:pPr>
      <w:r>
        <w:rPr>
          <w:rFonts w:ascii="Arial" w:cs="Arial" w:eastAsia="Arial" w:hAnsi="Arial"/>
          <w:b/>
          <w:bCs/>
          <w:color w:val="1F5C8B"/>
          <w:sz w:val="28"/>
          <w:szCs w:val="28"/>
        </w:rPr>
        <w:t xml:space="preserve">What Is Microsoft Azure for Students?</w:t>
      </w:r>
    </w:p>
    <w:p>
      <w:pPr>
        <w:spacing w:after="60" w:before="60"/>
      </w:pPr>
      <w:r>
        <w:rPr>
          <w:rFonts w:ascii="Arial" w:cs="Arial" w:eastAsia="Arial" w:hAnsi="Arial"/>
          <w:color w:val="1A1A1A"/>
          <w:sz w:val="22"/>
          <w:szCs w:val="22"/>
        </w:rPr>
        <w:t xml:space="preserve">Azure for Students is a Microsoft initiative that grants verified university students free access to Azure cloud services without the need for a credit card. The program is part of Microsoft's broader commitment to cloud education and is available through the Microsoft Education Hub. Eligibility is verified via the student's institutional email address — in NUST's case, any active student with a valid @nu.edu.om account qualifies instantly.</w:t>
      </w:r>
    </w:p>
    <w:p>
      <w:r>
        <w:rPr>
          <w:sz w:val="22"/>
          <w:szCs w:val="22"/>
        </w:rPr>
        <w:t xml:space="preserve"/>
      </w:r>
    </w:p>
    <w:p>
      <w:pPr>
        <w:spacing w:after="60" w:before="60"/>
      </w:pPr>
      <w:r>
        <w:rPr>
          <w:rFonts w:ascii="Arial" w:cs="Arial" w:eastAsia="Arial" w:hAnsi="Arial"/>
          <w:color w:val="1A1A1A"/>
          <w:sz w:val="22"/>
          <w:szCs w:val="22"/>
        </w:rPr>
        <w:t xml:space="preserve">The program provides an annual subscription that auto-renews as long as the student remains enrolled. It is distinct from standard Azure free trials and carries significantly more resources suited for academic and project-based learning.</w:t>
      </w:r>
    </w:p>
    <w:p>
      <w:r>
        <w:rPr>
          <w:sz w:val="22"/>
          <w:szCs w:val="22"/>
        </w:rPr>
        <w:t xml:space="preserve"/>
      </w:r>
    </w:p>
    <w:p>
      <w:pPr>
        <w:pStyle w:val="Heading1"/>
        <w:pBdr>
          <w:bottom w:val="single" w:color="2E75B6" w:sz="8" w:space="4"/>
        </w:pBdr>
        <w:spacing w:after="120" w:before="360"/>
      </w:pPr>
      <w:r>
        <w:rPr>
          <w:rFonts w:ascii="Arial" w:cs="Arial" w:eastAsia="Arial" w:hAnsi="Arial"/>
          <w:b/>
          <w:bCs/>
          <w:color w:val="1F5C8B"/>
          <w:sz w:val="28"/>
          <w:szCs w:val="28"/>
        </w:rPr>
        <w:t xml:space="preserve">Program Features &amp; Resource Allocations</w:t>
      </w:r>
    </w:p>
    <w:p>
      <w:pPr>
        <w:spacing w:after="60" w:before="60"/>
      </w:pPr>
      <w:r>
        <w:rPr>
          <w:rFonts w:ascii="Arial" w:cs="Arial" w:eastAsia="Arial" w:hAnsi="Arial"/>
          <w:color w:val="1A1A1A"/>
          <w:sz w:val="22"/>
          <w:szCs w:val="22"/>
        </w:rPr>
        <w:t xml:space="preserve">The following table summarizes the key resources included with each Azure for Students subscription, along with the immediate academic applications relevant to NUST programs: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B8D4EA" w:sz="1"/>
              <w:left w:val="single" w:color="B8D4EA" w:sz="1"/>
              <w:bottom w:val="single" w:color="B8D4EA" w:sz="1"/>
              <w:right w:val="single" w:color="B8D4EA" w:sz="1"/>
            </w:tcBorders>
            <w:shd w:fill="1F5C8B" w:val="clear"/>
            <w:tcMar>
              <w:top w:type="dxa" w:w="100"/>
              <w:left w:type="dxa" w:w="140"/>
              <w:bottom w:type="dxa" w:w="100"/>
              <w:right w:type="dxa" w:w="140"/>
            </w:tcMar>
          </w:tcPr>
          <w:p>
            <w:r>
              <w:rPr>
                <w:rFonts w:ascii="Arial" w:cs="Arial" w:eastAsia="Arial" w:hAnsi="Arial"/>
                <w:b/>
                <w:bCs/>
                <w:color w:val="FFFFFF"/>
                <w:sz w:val="22"/>
                <w:szCs w:val="22"/>
              </w:rPr>
              <w:t xml:space="preserve">Feature / Resource</w:t>
            </w:r>
          </w:p>
        </w:tc>
        <w:tc>
          <w:tcPr>
            <w:tcW w:type="dxa" w:w="2500"/>
            <w:tcBorders>
              <w:top w:val="single" w:color="B8D4EA" w:sz="1"/>
              <w:left w:val="single" w:color="B8D4EA" w:sz="1"/>
              <w:bottom w:val="single" w:color="B8D4EA" w:sz="1"/>
              <w:right w:val="single" w:color="B8D4EA" w:sz="1"/>
            </w:tcBorders>
            <w:shd w:fill="1F5C8B" w:val="clear"/>
            <w:tcMar>
              <w:top w:type="dxa" w:w="100"/>
              <w:left w:type="dxa" w:w="140"/>
              <w:bottom w:type="dxa" w:w="100"/>
              <w:right w:type="dxa" w:w="140"/>
            </w:tcMar>
          </w:tcPr>
          <w:p>
            <w:r>
              <w:rPr>
                <w:rFonts w:ascii="Arial" w:cs="Arial" w:eastAsia="Arial" w:hAnsi="Arial"/>
                <w:b/>
                <w:bCs/>
                <w:color w:val="FFFFFF"/>
                <w:sz w:val="22"/>
                <w:szCs w:val="22"/>
              </w:rPr>
              <w:t xml:space="preserve">Allocation</w:t>
            </w:r>
          </w:p>
        </w:tc>
        <w:tc>
          <w:tcPr>
            <w:tcW w:type="dxa" w:w="3860"/>
            <w:tcBorders>
              <w:top w:val="single" w:color="B8D4EA" w:sz="1"/>
              <w:left w:val="single" w:color="B8D4EA" w:sz="1"/>
              <w:bottom w:val="single" w:color="B8D4EA" w:sz="1"/>
              <w:right w:val="single" w:color="B8D4EA" w:sz="1"/>
            </w:tcBorders>
            <w:shd w:fill="1F5C8B" w:val="clear"/>
            <w:tcMar>
              <w:top w:type="dxa" w:w="100"/>
              <w:left w:type="dxa" w:w="140"/>
              <w:bottom w:type="dxa" w:w="100"/>
              <w:right w:type="dxa" w:w="140"/>
            </w:tcMar>
          </w:tcPr>
          <w:p>
            <w:r>
              <w:rPr>
                <w:rFonts w:ascii="Arial" w:cs="Arial" w:eastAsia="Arial" w:hAnsi="Arial"/>
                <w:b/>
                <w:bCs/>
                <w:color w:val="FFFFFF"/>
                <w:sz w:val="22"/>
                <w:szCs w:val="22"/>
              </w:rPr>
              <w:t xml:space="preserve">Academic Use Case</w:t>
            </w:r>
          </w:p>
        </w:tc>
      </w:tr>
      <w:tr>
        <w:tc>
          <w:tcPr>
            <w:tcW w:type="dxa" w:w="3000"/>
            <w:tcBorders>
              <w:top w:val="single" w:color="B8D4EA" w:sz="1"/>
              <w:left w:val="single" w:color="B8D4EA" w:sz="1"/>
              <w:bottom w:val="single" w:color="B8D4EA" w:sz="1"/>
              <w:right w:val="single" w:color="B8D4EA" w:sz="1"/>
            </w:tcBorders>
            <w:shd w:fill="FFFFFF" w:val="clear"/>
            <w:tcMar>
              <w:top w:type="dxa" w:w="80"/>
              <w:left w:type="dxa" w:w="140"/>
              <w:bottom w:type="dxa" w:w="80"/>
              <w:right w:type="dxa" w:w="140"/>
            </w:tcMar>
          </w:tcPr>
          <w:p>
            <w:r>
              <w:rPr>
                <w:rFonts w:ascii="Arial" w:cs="Arial" w:eastAsia="Arial" w:hAnsi="Arial"/>
                <w:b/>
                <w:bCs/>
                <w:color w:val="1F5C8B"/>
                <w:sz w:val="20"/>
                <w:szCs w:val="20"/>
              </w:rPr>
              <w:t xml:space="preserve">Free Credit (USD $100)</w:t>
            </w:r>
          </w:p>
        </w:tc>
        <w:tc>
          <w:tcPr>
            <w:tcW w:type="dxa" w:w="2500"/>
            <w:tcBorders>
              <w:top w:val="single" w:color="B8D4EA" w:sz="1"/>
              <w:left w:val="single" w:color="B8D4EA" w:sz="1"/>
              <w:bottom w:val="single" w:color="B8D4EA" w:sz="1"/>
              <w:right w:val="single" w:color="B8D4EA"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$100 per year</w:t>
            </w:r>
          </w:p>
        </w:tc>
        <w:tc>
          <w:tcPr>
            <w:tcW w:type="dxa" w:w="3860"/>
            <w:tcBorders>
              <w:top w:val="single" w:color="B8D4EA" w:sz="1"/>
              <w:left w:val="single" w:color="B8D4EA" w:sz="1"/>
              <w:bottom w:val="single" w:color="B8D4EA" w:sz="1"/>
              <w:right w:val="single" w:color="B8D4EA"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Deploy VMs, test applications, run experiments without institutional budget impact</w:t>
            </w:r>
          </w:p>
        </w:tc>
      </w:tr>
      <w:tr>
        <w:tc>
          <w:tcPr>
            <w:tcW w:type="dxa" w:w="3000"/>
            <w:tcBorders>
              <w:top w:val="single" w:color="B8D4EA" w:sz="1"/>
              <w:left w:val="single" w:color="B8D4EA" w:sz="1"/>
              <w:bottom w:val="single" w:color="B8D4EA" w:sz="1"/>
              <w:right w:val="single" w:color="B8D4EA" w:sz="1"/>
            </w:tcBorders>
            <w:shd w:fill="E8F4FD" w:val="clear"/>
            <w:tcMar>
              <w:top w:type="dxa" w:w="80"/>
              <w:left w:type="dxa" w:w="140"/>
              <w:bottom w:type="dxa" w:w="80"/>
              <w:right w:type="dxa" w:w="140"/>
            </w:tcMar>
          </w:tcPr>
          <w:p>
            <w:r>
              <w:rPr>
                <w:rFonts w:ascii="Arial" w:cs="Arial" w:eastAsia="Arial" w:hAnsi="Arial"/>
                <w:b/>
                <w:bCs/>
                <w:color w:val="1F5C8B"/>
                <w:sz w:val="20"/>
                <w:szCs w:val="20"/>
              </w:rPr>
              <w:t xml:space="preserve">Azure Virtual Machines</w:t>
            </w:r>
          </w:p>
        </w:tc>
        <w:tc>
          <w:tcPr>
            <w:tcW w:type="dxa" w:w="2500"/>
            <w:tcBorders>
              <w:top w:val="single" w:color="B8D4EA" w:sz="1"/>
              <w:left w:val="single" w:color="B8D4EA" w:sz="1"/>
              <w:bottom w:val="single" w:color="B8D4EA" w:sz="1"/>
              <w:right w:val="single" w:color="B8D4EA" w:sz="1"/>
            </w:tcBorders>
            <w:shd w:fill="E8F4FD" w:val="clear"/>
            <w:tcMar>
              <w:top w:type="dxa" w:w="80"/>
              <w:left w:type="dxa" w:w="140"/>
              <w:bottom w:type="dxa" w:w="80"/>
              <w:right w:type="dxa" w:w="140"/>
            </w:tcMar>
          </w:tcPr>
          <w:p>
            <w:r>
              <w:rPr>
                <w:rFonts w:ascii="Arial" w:cs="Arial" w:eastAsia="Arial" w:hAnsi="Arial"/>
                <w:color w:val="1A1A1A"/>
                <w:sz w:val="20"/>
                <w:szCs w:val="20"/>
              </w:rPr>
              <w:t xml:space="preserve">Up to 750 hrs/month (B1s)</w:t>
            </w:r>
          </w:p>
        </w:tc>
        <w:tc>
          <w:tcPr>
            <w:tcW w:type="dxa" w:w="3860"/>
            <w:tcBorders>
              <w:top w:val="single" w:color="B8D4EA" w:sz="1"/>
              <w:left w:val="single" w:color="B8D4EA" w:sz="1"/>
              <w:bottom w:val="single" w:color="B8D4EA" w:sz="1"/>
              <w:right w:val="single" w:color="B8D4EA" w:sz="1"/>
            </w:tcBorders>
            <w:shd w:fill="E8F4FD" w:val="clear"/>
            <w:tcMar>
              <w:top w:type="dxa" w:w="80"/>
              <w:left w:type="dxa" w:w="140"/>
              <w:bottom w:type="dxa" w:w="80"/>
              <w:right w:type="dxa" w:w="140"/>
            </w:tcMar>
          </w:tcPr>
          <w:p>
            <w:r>
              <w:rPr>
                <w:rFonts w:ascii="Arial" w:cs="Arial" w:eastAsia="Arial" w:hAnsi="Arial"/>
                <w:color w:val="1A1A1A"/>
                <w:sz w:val="20"/>
                <w:szCs w:val="20"/>
              </w:rPr>
              <w:t xml:space="preserve">Host web servers, lab environments, Linux/Windows servers for coursework</w:t>
            </w:r>
          </w:p>
        </w:tc>
      </w:tr>
      <w:tr>
        <w:tc>
          <w:tcPr>
            <w:tcW w:type="dxa" w:w="3000"/>
            <w:tcBorders>
              <w:top w:val="single" w:color="B8D4EA" w:sz="1"/>
              <w:left w:val="single" w:color="B8D4EA" w:sz="1"/>
              <w:bottom w:val="single" w:color="B8D4EA" w:sz="1"/>
              <w:right w:val="single" w:color="B8D4EA" w:sz="1"/>
            </w:tcBorders>
            <w:shd w:fill="FFFFFF" w:val="clear"/>
            <w:tcMar>
              <w:top w:type="dxa" w:w="80"/>
              <w:left w:type="dxa" w:w="140"/>
              <w:bottom w:type="dxa" w:w="80"/>
              <w:right w:type="dxa" w:w="140"/>
            </w:tcMar>
          </w:tcPr>
          <w:p>
            <w:r>
              <w:rPr>
                <w:rFonts w:ascii="Arial" w:cs="Arial" w:eastAsia="Arial" w:hAnsi="Arial"/>
                <w:b/>
                <w:bCs/>
                <w:color w:val="1F5C8B"/>
                <w:sz w:val="20"/>
                <w:szCs w:val="20"/>
              </w:rPr>
              <w:t xml:space="preserve">Azure App Service</w:t>
            </w:r>
          </w:p>
        </w:tc>
        <w:tc>
          <w:tcPr>
            <w:tcW w:type="dxa" w:w="2500"/>
            <w:tcBorders>
              <w:top w:val="single" w:color="B8D4EA" w:sz="1"/>
              <w:left w:val="single" w:color="B8D4EA" w:sz="1"/>
              <w:bottom w:val="single" w:color="B8D4EA" w:sz="1"/>
              <w:right w:val="single" w:color="B8D4EA"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Free tier (F1)</w:t>
            </w:r>
          </w:p>
        </w:tc>
        <w:tc>
          <w:tcPr>
            <w:tcW w:type="dxa" w:w="3860"/>
            <w:tcBorders>
              <w:top w:val="single" w:color="B8D4EA" w:sz="1"/>
              <w:left w:val="single" w:color="B8D4EA" w:sz="1"/>
              <w:bottom w:val="single" w:color="B8D4EA" w:sz="1"/>
              <w:right w:val="single" w:color="B8D4EA"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Deploy student web projects and APIs with full CI/CD pipeline support</w:t>
            </w:r>
          </w:p>
        </w:tc>
      </w:tr>
      <w:tr>
        <w:tc>
          <w:tcPr>
            <w:tcW w:type="dxa" w:w="3000"/>
            <w:tcBorders>
              <w:top w:val="single" w:color="B8D4EA" w:sz="1"/>
              <w:left w:val="single" w:color="B8D4EA" w:sz="1"/>
              <w:bottom w:val="single" w:color="B8D4EA" w:sz="1"/>
              <w:right w:val="single" w:color="B8D4EA" w:sz="1"/>
            </w:tcBorders>
            <w:shd w:fill="E8F4FD" w:val="clear"/>
            <w:tcMar>
              <w:top w:type="dxa" w:w="80"/>
              <w:left w:type="dxa" w:w="140"/>
              <w:bottom w:type="dxa" w:w="80"/>
              <w:right w:type="dxa" w:w="140"/>
            </w:tcMar>
          </w:tcPr>
          <w:p>
            <w:r>
              <w:rPr>
                <w:rFonts w:ascii="Arial" w:cs="Arial" w:eastAsia="Arial" w:hAnsi="Arial"/>
                <w:b/>
                <w:bCs/>
                <w:color w:val="1F5C8B"/>
                <w:sz w:val="20"/>
                <w:szCs w:val="20"/>
              </w:rPr>
              <w:t xml:space="preserve">Azure SQL Database</w:t>
            </w:r>
          </w:p>
        </w:tc>
        <w:tc>
          <w:tcPr>
            <w:tcW w:type="dxa" w:w="2500"/>
            <w:tcBorders>
              <w:top w:val="single" w:color="B8D4EA" w:sz="1"/>
              <w:left w:val="single" w:color="B8D4EA" w:sz="1"/>
              <w:bottom w:val="single" w:color="B8D4EA" w:sz="1"/>
              <w:right w:val="single" w:color="B8D4EA" w:sz="1"/>
            </w:tcBorders>
            <w:shd w:fill="E8F4FD" w:val="clear"/>
            <w:tcMar>
              <w:top w:type="dxa" w:w="80"/>
              <w:left w:type="dxa" w:w="140"/>
              <w:bottom w:type="dxa" w:w="80"/>
              <w:right w:type="dxa" w:w="140"/>
            </w:tcMar>
          </w:tcPr>
          <w:p>
            <w:r>
              <w:rPr>
                <w:rFonts w:ascii="Arial" w:cs="Arial" w:eastAsia="Arial" w:hAnsi="Arial"/>
                <w:color w:val="1A1A1A"/>
                <w:sz w:val="20"/>
                <w:szCs w:val="20"/>
              </w:rPr>
              <w:t xml:space="preserve">250 GB included</w:t>
            </w:r>
          </w:p>
        </w:tc>
        <w:tc>
          <w:tcPr>
            <w:tcW w:type="dxa" w:w="3860"/>
            <w:tcBorders>
              <w:top w:val="single" w:color="B8D4EA" w:sz="1"/>
              <w:left w:val="single" w:color="B8D4EA" w:sz="1"/>
              <w:bottom w:val="single" w:color="B8D4EA" w:sz="1"/>
              <w:right w:val="single" w:color="B8D4EA" w:sz="1"/>
            </w:tcBorders>
            <w:shd w:fill="E8F4FD" w:val="clear"/>
            <w:tcMar>
              <w:top w:type="dxa" w:w="80"/>
              <w:left w:type="dxa" w:w="140"/>
              <w:bottom w:type="dxa" w:w="80"/>
              <w:right w:type="dxa" w:w="140"/>
            </w:tcMar>
          </w:tcPr>
          <w:p>
            <w:r>
              <w:rPr>
                <w:rFonts w:ascii="Arial" w:cs="Arial" w:eastAsia="Arial" w:hAnsi="Arial"/>
                <w:color w:val="1A1A1A"/>
                <w:sz w:val="20"/>
                <w:szCs w:val="20"/>
              </w:rPr>
              <w:t xml:space="preserve">Database design courses, project backends, data science applications</w:t>
            </w:r>
          </w:p>
        </w:tc>
      </w:tr>
      <w:tr>
        <w:tc>
          <w:tcPr>
            <w:tcW w:type="dxa" w:w="3000"/>
            <w:tcBorders>
              <w:top w:val="single" w:color="B8D4EA" w:sz="1"/>
              <w:left w:val="single" w:color="B8D4EA" w:sz="1"/>
              <w:bottom w:val="single" w:color="B8D4EA" w:sz="1"/>
              <w:right w:val="single" w:color="B8D4EA" w:sz="1"/>
            </w:tcBorders>
            <w:shd w:fill="FFFFFF" w:val="clear"/>
            <w:tcMar>
              <w:top w:type="dxa" w:w="80"/>
              <w:left w:type="dxa" w:w="140"/>
              <w:bottom w:type="dxa" w:w="80"/>
              <w:right w:type="dxa" w:w="140"/>
            </w:tcMar>
          </w:tcPr>
          <w:p>
            <w:r>
              <w:rPr>
                <w:rFonts w:ascii="Arial" w:cs="Arial" w:eastAsia="Arial" w:hAnsi="Arial"/>
                <w:b/>
                <w:bCs/>
                <w:color w:val="1F5C8B"/>
                <w:sz w:val="20"/>
                <w:szCs w:val="20"/>
              </w:rPr>
              <w:t xml:space="preserve">Azure Blob Storage</w:t>
            </w:r>
          </w:p>
        </w:tc>
        <w:tc>
          <w:tcPr>
            <w:tcW w:type="dxa" w:w="2500"/>
            <w:tcBorders>
              <w:top w:val="single" w:color="B8D4EA" w:sz="1"/>
              <w:left w:val="single" w:color="B8D4EA" w:sz="1"/>
              <w:bottom w:val="single" w:color="B8D4EA" w:sz="1"/>
              <w:right w:val="single" w:color="B8D4EA"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 GB included</w:t>
            </w:r>
          </w:p>
        </w:tc>
        <w:tc>
          <w:tcPr>
            <w:tcW w:type="dxa" w:w="3860"/>
            <w:tcBorders>
              <w:top w:val="single" w:color="B8D4EA" w:sz="1"/>
              <w:left w:val="single" w:color="B8D4EA" w:sz="1"/>
              <w:bottom w:val="single" w:color="B8D4EA" w:sz="1"/>
              <w:right w:val="single" w:color="B8D4EA"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Store datasets, project files, IoT sensor data, and multimedia content</w:t>
            </w:r>
          </w:p>
        </w:tc>
      </w:tr>
      <w:tr>
        <w:tc>
          <w:tcPr>
            <w:tcW w:type="dxa" w:w="3000"/>
            <w:tcBorders>
              <w:top w:val="single" w:color="B8D4EA" w:sz="1"/>
              <w:left w:val="single" w:color="B8D4EA" w:sz="1"/>
              <w:bottom w:val="single" w:color="B8D4EA" w:sz="1"/>
              <w:right w:val="single" w:color="B8D4EA" w:sz="1"/>
            </w:tcBorders>
            <w:shd w:fill="E8F4FD" w:val="clear"/>
            <w:tcMar>
              <w:top w:type="dxa" w:w="80"/>
              <w:left w:type="dxa" w:w="140"/>
              <w:bottom w:type="dxa" w:w="80"/>
              <w:right w:type="dxa" w:w="140"/>
            </w:tcMar>
          </w:tcPr>
          <w:p>
            <w:r>
              <w:rPr>
                <w:rFonts w:ascii="Arial" w:cs="Arial" w:eastAsia="Arial" w:hAnsi="Arial"/>
                <w:b/>
                <w:bCs/>
                <w:color w:val="1F5C8B"/>
                <w:sz w:val="20"/>
                <w:szCs w:val="20"/>
              </w:rPr>
              <w:t xml:space="preserve">Azure Cognitive Services</w:t>
            </w:r>
          </w:p>
        </w:tc>
        <w:tc>
          <w:tcPr>
            <w:tcW w:type="dxa" w:w="2500"/>
            <w:tcBorders>
              <w:top w:val="single" w:color="B8D4EA" w:sz="1"/>
              <w:left w:val="single" w:color="B8D4EA" w:sz="1"/>
              <w:bottom w:val="single" w:color="B8D4EA" w:sz="1"/>
              <w:right w:val="single" w:color="B8D4EA" w:sz="1"/>
            </w:tcBorders>
            <w:shd w:fill="E8F4FD" w:val="clear"/>
            <w:tcMar>
              <w:top w:type="dxa" w:w="80"/>
              <w:left w:type="dxa" w:w="140"/>
              <w:bottom w:type="dxa" w:w="80"/>
              <w:right w:type="dxa" w:w="140"/>
            </w:tcMar>
          </w:tcPr>
          <w:p>
            <w:r>
              <w:rPr>
                <w:rFonts w:ascii="Arial" w:cs="Arial" w:eastAsia="Arial" w:hAnsi="Arial"/>
                <w:color w:val="1A1A1A"/>
                <w:sz w:val="20"/>
                <w:szCs w:val="20"/>
              </w:rPr>
              <w:t xml:space="preserve">Limited free tiers</w:t>
            </w:r>
          </w:p>
        </w:tc>
        <w:tc>
          <w:tcPr>
            <w:tcW w:type="dxa" w:w="3860"/>
            <w:tcBorders>
              <w:top w:val="single" w:color="B8D4EA" w:sz="1"/>
              <w:left w:val="single" w:color="B8D4EA" w:sz="1"/>
              <w:bottom w:val="single" w:color="B8D4EA" w:sz="1"/>
              <w:right w:val="single" w:color="B8D4EA" w:sz="1"/>
            </w:tcBorders>
            <w:shd w:fill="E8F4FD" w:val="clear"/>
            <w:tcMar>
              <w:top w:type="dxa" w:w="80"/>
              <w:left w:type="dxa" w:w="140"/>
              <w:bottom w:type="dxa" w:w="80"/>
              <w:right w:type="dxa" w:w="140"/>
            </w:tcMar>
          </w:tcPr>
          <w:p>
            <w:r>
              <w:rPr>
                <w:rFonts w:ascii="Arial" w:cs="Arial" w:eastAsia="Arial" w:hAnsi="Arial"/>
                <w:color w:val="1A1A1A"/>
                <w:sz w:val="20"/>
                <w:szCs w:val="20"/>
              </w:rPr>
              <w:t xml:space="preserve">AI/ML coursework: image recognition, NLP, speech-to-text projects</w:t>
            </w:r>
          </w:p>
        </w:tc>
      </w:tr>
      <w:tr>
        <w:tc>
          <w:tcPr>
            <w:tcW w:type="dxa" w:w="3000"/>
            <w:tcBorders>
              <w:top w:val="single" w:color="B8D4EA" w:sz="1"/>
              <w:left w:val="single" w:color="B8D4EA" w:sz="1"/>
              <w:bottom w:val="single" w:color="B8D4EA" w:sz="1"/>
              <w:right w:val="single" w:color="B8D4EA" w:sz="1"/>
            </w:tcBorders>
            <w:shd w:fill="FFFFFF" w:val="clear"/>
            <w:tcMar>
              <w:top w:type="dxa" w:w="80"/>
              <w:left w:type="dxa" w:w="140"/>
              <w:bottom w:type="dxa" w:w="80"/>
              <w:right w:type="dxa" w:w="140"/>
            </w:tcMar>
          </w:tcPr>
          <w:p>
            <w:r>
              <w:rPr>
                <w:rFonts w:ascii="Arial" w:cs="Arial" w:eastAsia="Arial" w:hAnsi="Arial"/>
                <w:b/>
                <w:bCs/>
                <w:color w:val="1F5C8B"/>
                <w:sz w:val="20"/>
                <w:szCs w:val="20"/>
              </w:rPr>
              <w:t xml:space="preserve">Azure DevOps</w:t>
            </w:r>
          </w:p>
        </w:tc>
        <w:tc>
          <w:tcPr>
            <w:tcW w:type="dxa" w:w="2500"/>
            <w:tcBorders>
              <w:top w:val="single" w:color="B8D4EA" w:sz="1"/>
              <w:left w:val="single" w:color="B8D4EA" w:sz="1"/>
              <w:bottom w:val="single" w:color="B8D4EA" w:sz="1"/>
              <w:right w:val="single" w:color="B8D4EA"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Unlimited (free)</w:t>
            </w:r>
          </w:p>
        </w:tc>
        <w:tc>
          <w:tcPr>
            <w:tcW w:type="dxa" w:w="3860"/>
            <w:tcBorders>
              <w:top w:val="single" w:color="B8D4EA" w:sz="1"/>
              <w:left w:val="single" w:color="B8D4EA" w:sz="1"/>
              <w:bottom w:val="single" w:color="B8D4EA" w:sz="1"/>
              <w:right w:val="single" w:color="B8D4EA"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Software engineering projects with version control, CI/CD, and Kanban boards</w:t>
            </w:r>
          </w:p>
        </w:tc>
      </w:tr>
      <w:tr>
        <w:tc>
          <w:tcPr>
            <w:tcW w:type="dxa" w:w="3000"/>
            <w:tcBorders>
              <w:top w:val="single" w:color="B8D4EA" w:sz="1"/>
              <w:left w:val="single" w:color="B8D4EA" w:sz="1"/>
              <w:bottom w:val="single" w:color="B8D4EA" w:sz="1"/>
              <w:right w:val="single" w:color="B8D4EA" w:sz="1"/>
            </w:tcBorders>
            <w:shd w:fill="E8F4FD" w:val="clear"/>
            <w:tcMar>
              <w:top w:type="dxa" w:w="80"/>
              <w:left w:type="dxa" w:w="140"/>
              <w:bottom w:type="dxa" w:w="80"/>
              <w:right w:type="dxa" w:w="140"/>
            </w:tcMar>
          </w:tcPr>
          <w:p>
            <w:r>
              <w:rPr>
                <w:rFonts w:ascii="Arial" w:cs="Arial" w:eastAsia="Arial" w:hAnsi="Arial"/>
                <w:b/>
                <w:bCs/>
                <w:color w:val="1F5C8B"/>
                <w:sz w:val="20"/>
                <w:szCs w:val="20"/>
              </w:rPr>
              <w:t xml:space="preserve">GitHub Student Pack</w:t>
            </w:r>
          </w:p>
        </w:tc>
        <w:tc>
          <w:tcPr>
            <w:tcW w:type="dxa" w:w="2500"/>
            <w:tcBorders>
              <w:top w:val="single" w:color="B8D4EA" w:sz="1"/>
              <w:left w:val="single" w:color="B8D4EA" w:sz="1"/>
              <w:bottom w:val="single" w:color="B8D4EA" w:sz="1"/>
              <w:right w:val="single" w:color="B8D4EA" w:sz="1"/>
            </w:tcBorders>
            <w:shd w:fill="E8F4FD" w:val="clear"/>
            <w:tcMar>
              <w:top w:type="dxa" w:w="80"/>
              <w:left w:type="dxa" w:w="140"/>
              <w:bottom w:type="dxa" w:w="80"/>
              <w:right w:type="dxa" w:w="140"/>
            </w:tcMar>
          </w:tcPr>
          <w:p>
            <w:r>
              <w:rPr>
                <w:rFonts w:ascii="Arial" w:cs="Arial" w:eastAsia="Arial" w:hAnsi="Arial"/>
                <w:color w:val="1A1A1A"/>
                <w:sz w:val="20"/>
                <w:szCs w:val="20"/>
              </w:rPr>
              <w:t xml:space="preserve">Included</w:t>
            </w:r>
          </w:p>
        </w:tc>
        <w:tc>
          <w:tcPr>
            <w:tcW w:type="dxa" w:w="3860"/>
            <w:tcBorders>
              <w:top w:val="single" w:color="B8D4EA" w:sz="1"/>
              <w:left w:val="single" w:color="B8D4EA" w:sz="1"/>
              <w:bottom w:val="single" w:color="B8D4EA" w:sz="1"/>
              <w:right w:val="single" w:color="B8D4EA" w:sz="1"/>
            </w:tcBorders>
            <w:shd w:fill="E8F4FD" w:val="clear"/>
            <w:tcMar>
              <w:top w:type="dxa" w:w="80"/>
              <w:left w:type="dxa" w:w="140"/>
              <w:bottom w:type="dxa" w:w="80"/>
              <w:right w:type="dxa" w:w="140"/>
            </w:tcMar>
          </w:tcPr>
          <w:p>
            <w:r>
              <w:rPr>
                <w:rFonts w:ascii="Arial" w:cs="Arial" w:eastAsia="Arial" w:hAnsi="Arial"/>
                <w:color w:val="1A1A1A"/>
                <w:sz w:val="20"/>
                <w:szCs w:val="20"/>
              </w:rPr>
              <w:t xml:space="preserve">Access to 100+ developer tools including GitHub Copilot, JetBrains IDEs</w:t>
            </w:r>
          </w:p>
        </w:tc>
      </w:tr>
      <w:tr>
        <w:tc>
          <w:tcPr>
            <w:tcW w:type="dxa" w:w="3000"/>
            <w:tcBorders>
              <w:top w:val="single" w:color="B8D4EA" w:sz="1"/>
              <w:left w:val="single" w:color="B8D4EA" w:sz="1"/>
              <w:bottom w:val="single" w:color="B8D4EA" w:sz="1"/>
              <w:right w:val="single" w:color="B8D4EA" w:sz="1"/>
            </w:tcBorders>
            <w:shd w:fill="FFFFFF" w:val="clear"/>
            <w:tcMar>
              <w:top w:type="dxa" w:w="80"/>
              <w:left w:type="dxa" w:w="140"/>
              <w:bottom w:type="dxa" w:w="80"/>
              <w:right w:type="dxa" w:w="140"/>
            </w:tcMar>
          </w:tcPr>
          <w:p>
            <w:r>
              <w:rPr>
                <w:rFonts w:ascii="Arial" w:cs="Arial" w:eastAsia="Arial" w:hAnsi="Arial"/>
                <w:b/>
                <w:bCs/>
                <w:color w:val="1F5C8B"/>
                <w:sz w:val="20"/>
                <w:szCs w:val="20"/>
              </w:rPr>
              <w:t xml:space="preserve">Azure AI &amp; ML Studio</w:t>
            </w:r>
          </w:p>
        </w:tc>
        <w:tc>
          <w:tcPr>
            <w:tcW w:type="dxa" w:w="2500"/>
            <w:tcBorders>
              <w:top w:val="single" w:color="B8D4EA" w:sz="1"/>
              <w:left w:val="single" w:color="B8D4EA" w:sz="1"/>
              <w:bottom w:val="single" w:color="B8D4EA" w:sz="1"/>
              <w:right w:val="single" w:color="B8D4EA"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Free compute hours</w:t>
            </w:r>
          </w:p>
        </w:tc>
        <w:tc>
          <w:tcPr>
            <w:tcW w:type="dxa" w:w="3860"/>
            <w:tcBorders>
              <w:top w:val="single" w:color="B8D4EA" w:sz="1"/>
              <w:left w:val="single" w:color="B8D4EA" w:sz="1"/>
              <w:bottom w:val="single" w:color="B8D4EA" w:sz="1"/>
              <w:right w:val="single" w:color="B8D4EA"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Train and deploy machine learning models for final year projects and research</w:t>
            </w:r>
          </w:p>
        </w:tc>
      </w:tr>
      <w:tr>
        <w:tc>
          <w:tcPr>
            <w:tcW w:type="dxa" w:w="3000"/>
            <w:tcBorders>
              <w:top w:val="single" w:color="B8D4EA" w:sz="1"/>
              <w:left w:val="single" w:color="B8D4EA" w:sz="1"/>
              <w:bottom w:val="single" w:color="B8D4EA" w:sz="1"/>
              <w:right w:val="single" w:color="B8D4EA" w:sz="1"/>
            </w:tcBorders>
            <w:shd w:fill="E8F4FD" w:val="clear"/>
            <w:tcMar>
              <w:top w:type="dxa" w:w="80"/>
              <w:left w:type="dxa" w:w="140"/>
              <w:bottom w:type="dxa" w:w="80"/>
              <w:right w:type="dxa" w:w="140"/>
            </w:tcMar>
          </w:tcPr>
          <w:p>
            <w:r>
              <w:rPr>
                <w:rFonts w:ascii="Arial" w:cs="Arial" w:eastAsia="Arial" w:hAnsi="Arial"/>
                <w:b/>
                <w:bCs/>
                <w:color w:val="1F5C8B"/>
                <w:sz w:val="20"/>
                <w:szCs w:val="20"/>
              </w:rPr>
              <w:t xml:space="preserve">Azure IoT Hub</w:t>
            </w:r>
          </w:p>
        </w:tc>
        <w:tc>
          <w:tcPr>
            <w:tcW w:type="dxa" w:w="2500"/>
            <w:tcBorders>
              <w:top w:val="single" w:color="B8D4EA" w:sz="1"/>
              <w:left w:val="single" w:color="B8D4EA" w:sz="1"/>
              <w:bottom w:val="single" w:color="B8D4EA" w:sz="1"/>
              <w:right w:val="single" w:color="B8D4EA" w:sz="1"/>
            </w:tcBorders>
            <w:shd w:fill="E8F4FD" w:val="clear"/>
            <w:tcMar>
              <w:top w:type="dxa" w:w="80"/>
              <w:left w:type="dxa" w:w="140"/>
              <w:bottom w:type="dxa" w:w="80"/>
              <w:right w:type="dxa" w:w="140"/>
            </w:tcMar>
          </w:tcPr>
          <w:p>
            <w:r>
              <w:rPr>
                <w:rFonts w:ascii="Arial" w:cs="Arial" w:eastAsia="Arial" w:hAnsi="Arial"/>
                <w:color w:val="1A1A1A"/>
                <w:sz w:val="20"/>
                <w:szCs w:val="20"/>
              </w:rPr>
              <w:t xml:space="preserve">8,000 msgs/day free</w:t>
            </w:r>
          </w:p>
        </w:tc>
        <w:tc>
          <w:tcPr>
            <w:tcW w:type="dxa" w:w="3860"/>
            <w:tcBorders>
              <w:top w:val="single" w:color="B8D4EA" w:sz="1"/>
              <w:left w:val="single" w:color="B8D4EA" w:sz="1"/>
              <w:bottom w:val="single" w:color="B8D4EA" w:sz="1"/>
              <w:right w:val="single" w:color="B8D4EA" w:sz="1"/>
            </w:tcBorders>
            <w:shd w:fill="E8F4FD" w:val="clear"/>
            <w:tcMar>
              <w:top w:type="dxa" w:w="80"/>
              <w:left w:type="dxa" w:w="140"/>
              <w:bottom w:type="dxa" w:w="80"/>
              <w:right w:type="dxa" w:w="140"/>
            </w:tcMar>
          </w:tcPr>
          <w:p>
            <w:r>
              <w:rPr>
                <w:rFonts w:ascii="Arial" w:cs="Arial" w:eastAsia="Arial" w:hAnsi="Arial"/>
                <w:color w:val="1A1A1A"/>
                <w:sz w:val="20"/>
                <w:szCs w:val="20"/>
              </w:rPr>
              <w:t xml:space="preserve">Embedded systems, IoT capstone projects, sensor integration labs</w:t>
            </w:r>
          </w:p>
        </w:tc>
      </w:tr>
      <w:tr>
        <w:tc>
          <w:tcPr>
            <w:tcW w:type="dxa" w:w="3000"/>
            <w:tcBorders>
              <w:top w:val="single" w:color="B8D4EA" w:sz="1"/>
              <w:left w:val="single" w:color="B8D4EA" w:sz="1"/>
              <w:bottom w:val="single" w:color="B8D4EA" w:sz="1"/>
              <w:right w:val="single" w:color="B8D4EA" w:sz="1"/>
            </w:tcBorders>
            <w:shd w:fill="FFFFFF" w:val="clear"/>
            <w:tcMar>
              <w:top w:type="dxa" w:w="80"/>
              <w:left w:type="dxa" w:w="140"/>
              <w:bottom w:type="dxa" w:w="80"/>
              <w:right w:type="dxa" w:w="140"/>
            </w:tcMar>
          </w:tcPr>
          <w:p>
            <w:r>
              <w:rPr>
                <w:rFonts w:ascii="Arial" w:cs="Arial" w:eastAsia="Arial" w:hAnsi="Arial"/>
                <w:b/>
                <w:bCs/>
                <w:color w:val="1F5C8B"/>
                <w:sz w:val="20"/>
                <w:szCs w:val="20"/>
              </w:rPr>
              <w:t xml:space="preserve">Microsoft Learn</w:t>
            </w:r>
          </w:p>
        </w:tc>
        <w:tc>
          <w:tcPr>
            <w:tcW w:type="dxa" w:w="2500"/>
            <w:tcBorders>
              <w:top w:val="single" w:color="B8D4EA" w:sz="1"/>
              <w:left w:val="single" w:color="B8D4EA" w:sz="1"/>
              <w:bottom w:val="single" w:color="B8D4EA" w:sz="1"/>
              <w:right w:val="single" w:color="B8D4EA"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Full access</w:t>
            </w:r>
          </w:p>
        </w:tc>
        <w:tc>
          <w:tcPr>
            <w:tcW w:type="dxa" w:w="3860"/>
            <w:tcBorders>
              <w:top w:val="single" w:color="B8D4EA" w:sz="1"/>
              <w:left w:val="single" w:color="B8D4EA" w:sz="1"/>
              <w:bottom w:val="single" w:color="B8D4EA" w:sz="1"/>
              <w:right w:val="single" w:color="B8D4EA"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Self-paced learning with certifications aligned to Azure fundamentals and beyond</w:t>
            </w:r>
          </w:p>
        </w:tc>
      </w:tr>
      <w:tr>
        <w:tc>
          <w:tcPr>
            <w:tcW w:type="dxa" w:w="3000"/>
            <w:tcBorders>
              <w:top w:val="single" w:color="B8D4EA" w:sz="1"/>
              <w:left w:val="single" w:color="B8D4EA" w:sz="1"/>
              <w:bottom w:val="single" w:color="B8D4EA" w:sz="1"/>
              <w:right w:val="single" w:color="B8D4EA" w:sz="1"/>
            </w:tcBorders>
            <w:shd w:fill="E8F4FD" w:val="clear"/>
            <w:tcMar>
              <w:top w:type="dxa" w:w="80"/>
              <w:left w:type="dxa" w:w="140"/>
              <w:bottom w:type="dxa" w:w="80"/>
              <w:right w:type="dxa" w:w="140"/>
            </w:tcMar>
          </w:tcPr>
          <w:p>
            <w:r>
              <w:rPr>
                <w:rFonts w:ascii="Arial" w:cs="Arial" w:eastAsia="Arial" w:hAnsi="Arial"/>
                <w:b/>
                <w:bCs/>
                <w:color w:val="1F5C8B"/>
                <w:sz w:val="20"/>
                <w:szCs w:val="20"/>
              </w:rPr>
              <w:t xml:space="preserve">Visual Studio Code + Dev Tools</w:t>
            </w:r>
          </w:p>
        </w:tc>
        <w:tc>
          <w:tcPr>
            <w:tcW w:type="dxa" w:w="2500"/>
            <w:tcBorders>
              <w:top w:val="single" w:color="B8D4EA" w:sz="1"/>
              <w:left w:val="single" w:color="B8D4EA" w:sz="1"/>
              <w:bottom w:val="single" w:color="B8D4EA" w:sz="1"/>
              <w:right w:val="single" w:color="B8D4EA" w:sz="1"/>
            </w:tcBorders>
            <w:shd w:fill="E8F4FD" w:val="clear"/>
            <w:tcMar>
              <w:top w:type="dxa" w:w="80"/>
              <w:left w:type="dxa" w:w="140"/>
              <w:bottom w:type="dxa" w:w="80"/>
              <w:right w:type="dxa" w:w="140"/>
            </w:tcMar>
          </w:tcPr>
          <w:p>
            <w:r>
              <w:rPr>
                <w:rFonts w:ascii="Arial" w:cs="Arial" w:eastAsia="Arial" w:hAnsi="Arial"/>
                <w:color w:val="1A1A1A"/>
                <w:sz w:val="20"/>
                <w:szCs w:val="20"/>
              </w:rPr>
              <w:t xml:space="preserve">Full access</w:t>
            </w:r>
          </w:p>
        </w:tc>
        <w:tc>
          <w:tcPr>
            <w:tcW w:type="dxa" w:w="3860"/>
            <w:tcBorders>
              <w:top w:val="single" w:color="B8D4EA" w:sz="1"/>
              <w:left w:val="single" w:color="B8D4EA" w:sz="1"/>
              <w:bottom w:val="single" w:color="B8D4EA" w:sz="1"/>
              <w:right w:val="single" w:color="B8D4EA" w:sz="1"/>
            </w:tcBorders>
            <w:shd w:fill="E8F4FD" w:val="clear"/>
            <w:tcMar>
              <w:top w:type="dxa" w:w="80"/>
              <w:left w:type="dxa" w:w="140"/>
              <w:bottom w:type="dxa" w:w="80"/>
              <w:right w:type="dxa" w:w="140"/>
            </w:tcMar>
          </w:tcPr>
          <w:p>
            <w:r>
              <w:rPr>
                <w:rFonts w:ascii="Arial" w:cs="Arial" w:eastAsia="Arial" w:hAnsi="Arial"/>
                <w:color w:val="1A1A1A"/>
                <w:sz w:val="20"/>
                <w:szCs w:val="20"/>
              </w:rPr>
              <w:t xml:space="preserve">Professional development environment used across all coding disciplines</w:t>
            </w:r>
          </w:p>
        </w:tc>
      </w:tr>
    </w:tbl>
    <w:p>
      <w:r>
        <w:rPr>
          <w:sz w:val="22"/>
          <w:szCs w:val="22"/>
        </w:rPr>
        <w:t xml:space="preserve"/>
      </w:r>
    </w:p>
    <w:p>
      <w:pPr>
        <w:pStyle w:val="Heading1"/>
        <w:pBdr>
          <w:bottom w:val="single" w:color="2E75B6" w:sz="8" w:space="4"/>
        </w:pBdr>
        <w:spacing w:after="120" w:before="360"/>
      </w:pPr>
      <w:r>
        <w:rPr>
          <w:rFonts w:ascii="Arial" w:cs="Arial" w:eastAsia="Arial" w:hAnsi="Arial"/>
          <w:b/>
          <w:bCs/>
          <w:color w:val="1F5C8B"/>
          <w:sz w:val="28"/>
          <w:szCs w:val="28"/>
        </w:rPr>
        <w:t xml:space="preserve">Strategic Benefits to NUST as an Institution</w:t>
      </w:r>
    </w:p>
    <w:p>
      <w:pPr>
        <w:spacing w:after="60" w:before="60"/>
      </w:pPr>
      <w:r>
        <w:rPr>
          <w:rFonts w:ascii="Arial" w:cs="Arial" w:eastAsia="Arial" w:hAnsi="Arial"/>
          <w:color w:val="1A1A1A"/>
          <w:sz w:val="22"/>
          <w:szCs w:val="22"/>
        </w:rPr>
        <w:t xml:space="preserve">Enrolling NUST students in the Azure for Students program delivers measurable value at the institutional level across four key dimensions:</w:t>
      </w:r>
    </w:p>
    <w:p>
      <w:r>
        <w:rPr>
          <w:sz w:val="22"/>
          <w:szCs w:val="22"/>
        </w:rPr>
        <w:t xml:space="preserve"/>
      </w:r>
    </w:p>
    <w:p>
      <w:pPr>
        <w:pStyle w:val="Heading2"/>
        <w:spacing w:after="80" w:before="240"/>
      </w:pPr>
      <w:r>
        <w:rPr>
          <w:rFonts w:ascii="Arial" w:cs="Arial" w:eastAsia="Arial" w:hAnsi="Arial"/>
          <w:b/>
          <w:bCs/>
          <w:color w:val="2E75B6"/>
          <w:sz w:val="24"/>
          <w:szCs w:val="24"/>
        </w:rPr>
        <w:t xml:space="preserve">1. Curriculum Enhancement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60"/>
            </w:tcMar>
          </w:tcPr>
          <w:p>
            <w:r>
              <w:rPr>
                <w:rFonts w:ascii="Arial" w:cs="Arial" w:eastAsia="Arial" w:hAnsi="Arial"/>
                <w:b/>
                <w:bCs/>
                <w:color w:val="2E75B6"/>
                <w:sz w:val="22"/>
                <w:szCs w:val="22"/>
              </w:rPr>
              <w:t xml:space="preserve">✓</w:t>
            </w:r>
          </w:p>
        </w:tc>
        <w:tc>
          <w:tcPr>
            <w:tcW w:type="dxa" w:w="876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color w:val="1A1A1A"/>
                <w:sz w:val="22"/>
                <w:szCs w:val="22"/>
              </w:rPr>
              <w:t xml:space="preserve">Enables faculty to design cloud-native lab assignments without requiring physical server infrastructure or additional software licensing costs.</w:t>
            </w:r>
          </w:p>
        </w:tc>
      </w:tr>
      <w:tr>
        <w:tc>
          <w:tcPr>
            <w:tcW w:type="dxa" w:w="6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60"/>
            </w:tcMar>
          </w:tcPr>
          <w:p>
            <w:r>
              <w:rPr>
                <w:rFonts w:ascii="Arial" w:cs="Arial" w:eastAsia="Arial" w:hAnsi="Arial"/>
                <w:b/>
                <w:bCs/>
                <w:color w:val="2E75B6"/>
                <w:sz w:val="22"/>
                <w:szCs w:val="22"/>
              </w:rPr>
              <w:t xml:space="preserve">✓</w:t>
            </w:r>
          </w:p>
        </w:tc>
        <w:tc>
          <w:tcPr>
            <w:tcW w:type="dxa" w:w="876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color w:val="1A1A1A"/>
                <w:sz w:val="22"/>
                <w:szCs w:val="22"/>
              </w:rPr>
              <w:t xml:space="preserve">Supports hands-on coursework in networking, operating systems, database management, software engineering, and artificial intelligence.</w:t>
            </w:r>
          </w:p>
        </w:tc>
      </w:tr>
      <w:tr>
        <w:tc>
          <w:tcPr>
            <w:tcW w:type="dxa" w:w="6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60"/>
            </w:tcMar>
          </w:tcPr>
          <w:p>
            <w:r>
              <w:rPr>
                <w:rFonts w:ascii="Arial" w:cs="Arial" w:eastAsia="Arial" w:hAnsi="Arial"/>
                <w:b/>
                <w:bCs/>
                <w:color w:val="2E75B6"/>
                <w:sz w:val="22"/>
                <w:szCs w:val="22"/>
              </w:rPr>
              <w:t xml:space="preserve">✓</w:t>
            </w:r>
          </w:p>
        </w:tc>
        <w:tc>
          <w:tcPr>
            <w:tcW w:type="dxa" w:w="876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color w:val="1A1A1A"/>
                <w:sz w:val="22"/>
                <w:szCs w:val="22"/>
              </w:rPr>
              <w:t xml:space="preserve">Brings NUST's teaching methodology in line with industry-standard cloud practices, increasing the relevance and competitiveness of its academic programs.</w:t>
            </w:r>
          </w:p>
        </w:tc>
      </w:tr>
      <w:tr>
        <w:tc>
          <w:tcPr>
            <w:tcW w:type="dxa" w:w="6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60"/>
            </w:tcMar>
          </w:tcPr>
          <w:p>
            <w:r>
              <w:rPr>
                <w:rFonts w:ascii="Arial" w:cs="Arial" w:eastAsia="Arial" w:hAnsi="Arial"/>
                <w:b/>
                <w:bCs/>
                <w:color w:val="2E75B6"/>
                <w:sz w:val="22"/>
                <w:szCs w:val="22"/>
              </w:rPr>
              <w:t xml:space="preserve">✓</w:t>
            </w:r>
          </w:p>
        </w:tc>
        <w:tc>
          <w:tcPr>
            <w:tcW w:type="dxa" w:w="876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color w:val="1A1A1A"/>
                <w:sz w:val="22"/>
                <w:szCs w:val="22"/>
              </w:rPr>
              <w:t xml:space="preserve">Reduces dependency on physical lab infrastructure for computing-intensive courses.</w:t>
            </w:r>
          </w:p>
        </w:tc>
      </w:tr>
    </w:tbl>
    <w:p>
      <w:r>
        <w:rPr>
          <w:sz w:val="22"/>
          <w:szCs w:val="22"/>
        </w:rPr>
        <w:t xml:space="preserve"/>
      </w:r>
    </w:p>
    <w:p>
      <w:pPr>
        <w:pStyle w:val="Heading2"/>
        <w:spacing w:after="80" w:before="240"/>
      </w:pPr>
      <w:r>
        <w:rPr>
          <w:rFonts w:ascii="Arial" w:cs="Arial" w:eastAsia="Arial" w:hAnsi="Arial"/>
          <w:b/>
          <w:bCs/>
          <w:color w:val="2E75B6"/>
          <w:sz w:val="24"/>
          <w:szCs w:val="24"/>
        </w:rPr>
        <w:t xml:space="preserve">2. Student Employability &amp; Career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60"/>
            </w:tcMar>
          </w:tcPr>
          <w:p>
            <w:r>
              <w:rPr>
                <w:rFonts w:ascii="Arial" w:cs="Arial" w:eastAsia="Arial" w:hAnsi="Arial"/>
                <w:b/>
                <w:bCs/>
                <w:color w:val="2E75B6"/>
                <w:sz w:val="22"/>
                <w:szCs w:val="22"/>
              </w:rPr>
              <w:t xml:space="preserve">✓</w:t>
            </w:r>
          </w:p>
        </w:tc>
        <w:tc>
          <w:tcPr>
            <w:tcW w:type="dxa" w:w="876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color w:val="1A1A1A"/>
                <w:sz w:val="22"/>
                <w:szCs w:val="22"/>
              </w:rPr>
              <w:t xml:space="preserve">Students graduate with verifiable, hands-on cloud experience — a requirement increasingly listed in engineering and IT job descriptions across Oman and the GCC.</w:t>
            </w:r>
          </w:p>
        </w:tc>
      </w:tr>
      <w:tr>
        <w:tc>
          <w:tcPr>
            <w:tcW w:type="dxa" w:w="6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60"/>
            </w:tcMar>
          </w:tcPr>
          <w:p>
            <w:r>
              <w:rPr>
                <w:rFonts w:ascii="Arial" w:cs="Arial" w:eastAsia="Arial" w:hAnsi="Arial"/>
                <w:b/>
                <w:bCs/>
                <w:color w:val="2E75B6"/>
                <w:sz w:val="22"/>
                <w:szCs w:val="22"/>
              </w:rPr>
              <w:t xml:space="preserve">✓</w:t>
            </w:r>
          </w:p>
        </w:tc>
        <w:tc>
          <w:tcPr>
            <w:tcW w:type="dxa" w:w="876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color w:val="1A1A1A"/>
                <w:sz w:val="22"/>
                <w:szCs w:val="22"/>
              </w:rPr>
              <w:t xml:space="preserve">Azure certifications (Fundamentals AZ-900, Developer AZ-204, Administrator AZ-104) become achievable during the study period, adding recognized credentials to student portfolios.</w:t>
            </w:r>
          </w:p>
        </w:tc>
      </w:tr>
      <w:tr>
        <w:tc>
          <w:tcPr>
            <w:tcW w:type="dxa" w:w="6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60"/>
            </w:tcMar>
          </w:tcPr>
          <w:p>
            <w:r>
              <w:rPr>
                <w:rFonts w:ascii="Arial" w:cs="Arial" w:eastAsia="Arial" w:hAnsi="Arial"/>
                <w:b/>
                <w:bCs/>
                <w:color w:val="2E75B6"/>
                <w:sz w:val="22"/>
                <w:szCs w:val="22"/>
              </w:rPr>
              <w:t xml:space="preserve">✓</w:t>
            </w:r>
          </w:p>
        </w:tc>
        <w:tc>
          <w:tcPr>
            <w:tcW w:type="dxa" w:w="876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color w:val="1A1A1A"/>
                <w:sz w:val="22"/>
                <w:szCs w:val="22"/>
              </w:rPr>
              <w:t xml:space="preserve">Exposure to Azure aligns with Oman's national digital transformation strategy (Oman Vision 2040) and the growing demand for cloud-skilled professionals in government and private sector organizations.</w:t>
            </w:r>
          </w:p>
        </w:tc>
      </w:tr>
      <w:tr>
        <w:tc>
          <w:tcPr>
            <w:tcW w:type="dxa" w:w="6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60"/>
            </w:tcMar>
          </w:tcPr>
          <w:p>
            <w:r>
              <w:rPr>
                <w:rFonts w:ascii="Arial" w:cs="Arial" w:eastAsia="Arial" w:hAnsi="Arial"/>
                <w:b/>
                <w:bCs/>
                <w:color w:val="2E75B6"/>
                <w:sz w:val="22"/>
                <w:szCs w:val="22"/>
              </w:rPr>
              <w:t xml:space="preserve">✓</w:t>
            </w:r>
          </w:p>
        </w:tc>
        <w:tc>
          <w:tcPr>
            <w:tcW w:type="dxa" w:w="876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color w:val="1A1A1A"/>
                <w:sz w:val="22"/>
                <w:szCs w:val="22"/>
              </w:rPr>
              <w:t xml:space="preserve">Students can build full project portfolios on Azure that are demonstrable during job interviews and internship applications.</w:t>
            </w:r>
          </w:p>
        </w:tc>
      </w:tr>
    </w:tbl>
    <w:p>
      <w:r>
        <w:rPr>
          <w:sz w:val="22"/>
          <w:szCs w:val="22"/>
        </w:rPr>
        <w:t xml:space="preserve"/>
      </w:r>
    </w:p>
    <w:p>
      <w:pPr>
        <w:pStyle w:val="Heading2"/>
        <w:spacing w:after="80" w:before="240"/>
      </w:pPr>
      <w:r>
        <w:rPr>
          <w:rFonts w:ascii="Arial" w:cs="Arial" w:eastAsia="Arial" w:hAnsi="Arial"/>
          <w:b/>
          <w:bCs/>
          <w:color w:val="2E75B6"/>
          <w:sz w:val="24"/>
          <w:szCs w:val="24"/>
        </w:rPr>
        <w:t xml:space="preserve">3. Research &amp; Final Year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60"/>
            </w:tcMar>
          </w:tcPr>
          <w:p>
            <w:r>
              <w:rPr>
                <w:rFonts w:ascii="Arial" w:cs="Arial" w:eastAsia="Arial" w:hAnsi="Arial"/>
                <w:b/>
                <w:bCs/>
                <w:color w:val="2E75B6"/>
                <w:sz w:val="22"/>
                <w:szCs w:val="22"/>
              </w:rPr>
              <w:t xml:space="preserve">✓</w:t>
            </w:r>
          </w:p>
        </w:tc>
        <w:tc>
          <w:tcPr>
            <w:tcW w:type="dxa" w:w="876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color w:val="1A1A1A"/>
                <w:sz w:val="22"/>
                <w:szCs w:val="22"/>
              </w:rPr>
              <w:t xml:space="preserve">Final year project students gain access to scalable computing resources that would otherwise require significant hardware investment — enabling more ambitious, research-grade projects.</w:t>
            </w:r>
          </w:p>
        </w:tc>
      </w:tr>
      <w:tr>
        <w:tc>
          <w:tcPr>
            <w:tcW w:type="dxa" w:w="6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60"/>
            </w:tcMar>
          </w:tcPr>
          <w:p>
            <w:r>
              <w:rPr>
                <w:rFonts w:ascii="Arial" w:cs="Arial" w:eastAsia="Arial" w:hAnsi="Arial"/>
                <w:b/>
                <w:bCs/>
                <w:color w:val="2E75B6"/>
                <w:sz w:val="22"/>
                <w:szCs w:val="22"/>
              </w:rPr>
              <w:t xml:space="preserve">✓</w:t>
            </w:r>
          </w:p>
        </w:tc>
        <w:tc>
          <w:tcPr>
            <w:tcW w:type="dxa" w:w="876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color w:val="1A1A1A"/>
                <w:sz w:val="22"/>
                <w:szCs w:val="22"/>
              </w:rPr>
              <w:t xml:space="preserve">Faculty researchers can leverage student Azure accounts to prototype solutions, analyze data, and deploy proof-of-concept applications at no direct cost.</w:t>
            </w:r>
          </w:p>
        </w:tc>
      </w:tr>
      <w:tr>
        <w:tc>
          <w:tcPr>
            <w:tcW w:type="dxa" w:w="6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60"/>
            </w:tcMar>
          </w:tcPr>
          <w:p>
            <w:r>
              <w:rPr>
                <w:rFonts w:ascii="Arial" w:cs="Arial" w:eastAsia="Arial" w:hAnsi="Arial"/>
                <w:b/>
                <w:bCs/>
                <w:color w:val="2E75B6"/>
                <w:sz w:val="22"/>
                <w:szCs w:val="22"/>
              </w:rPr>
              <w:t xml:space="preserve">✓</w:t>
            </w:r>
          </w:p>
        </w:tc>
        <w:tc>
          <w:tcPr>
            <w:tcW w:type="dxa" w:w="876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color w:val="1A1A1A"/>
                <w:sz w:val="22"/>
                <w:szCs w:val="22"/>
              </w:rPr>
              <w:t xml:space="preserve">Azure's AI and Machine Learning tools enable data science, computer vision, and NLP research to be conducted without dedicated GPU hardware.</w:t>
            </w:r>
          </w:p>
        </w:tc>
      </w:tr>
      <w:tr>
        <w:tc>
          <w:tcPr>
            <w:tcW w:type="dxa" w:w="6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60"/>
            </w:tcMar>
          </w:tcPr>
          <w:p>
            <w:r>
              <w:rPr>
                <w:rFonts w:ascii="Arial" w:cs="Arial" w:eastAsia="Arial" w:hAnsi="Arial"/>
                <w:b/>
                <w:bCs/>
                <w:color w:val="2E75B6"/>
                <w:sz w:val="22"/>
                <w:szCs w:val="22"/>
              </w:rPr>
              <w:t xml:space="preserve">✓</w:t>
            </w:r>
          </w:p>
        </w:tc>
        <w:tc>
          <w:tcPr>
            <w:tcW w:type="dxa" w:w="876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color w:val="1A1A1A"/>
                <w:sz w:val="22"/>
                <w:szCs w:val="22"/>
              </w:rPr>
              <w:t xml:space="preserve">IoT and embedded systems projects can be extended to the cloud for real-world simulation and monitoring.</w:t>
            </w:r>
          </w:p>
        </w:tc>
      </w:tr>
    </w:tbl>
    <w:p>
      <w:r>
        <w:rPr>
          <w:sz w:val="22"/>
          <w:szCs w:val="22"/>
        </w:rPr>
        <w:t xml:space="preserve"/>
      </w:r>
    </w:p>
    <w:p>
      <w:pPr>
        <w:pStyle w:val="Heading2"/>
        <w:spacing w:after="80" w:before="240"/>
      </w:pPr>
      <w:r>
        <w:rPr>
          <w:rFonts w:ascii="Arial" w:cs="Arial" w:eastAsia="Arial" w:hAnsi="Arial"/>
          <w:b/>
          <w:bCs/>
          <w:color w:val="2E75B6"/>
          <w:sz w:val="24"/>
          <w:szCs w:val="24"/>
        </w:rPr>
        <w:t xml:space="preserve">4. Institutional Reputation &amp; Microsoft Partnership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60"/>
            </w:tcMar>
          </w:tcPr>
          <w:p>
            <w:r>
              <w:rPr>
                <w:rFonts w:ascii="Arial" w:cs="Arial" w:eastAsia="Arial" w:hAnsi="Arial"/>
                <w:b/>
                <w:bCs/>
                <w:color w:val="2E75B6"/>
                <w:sz w:val="22"/>
                <w:szCs w:val="22"/>
              </w:rPr>
              <w:t xml:space="preserve">✓</w:t>
            </w:r>
          </w:p>
        </w:tc>
        <w:tc>
          <w:tcPr>
            <w:tcW w:type="dxa" w:w="876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color w:val="1A1A1A"/>
                <w:sz w:val="22"/>
                <w:szCs w:val="22"/>
              </w:rPr>
              <w:t xml:space="preserve">Institutions that actively promote Microsoft cloud programs are recognized within the Microsoft Learn for Educators (MSLE) and Microsoft Imagine Academy ecosystems.</w:t>
            </w:r>
          </w:p>
        </w:tc>
      </w:tr>
      <w:tr>
        <w:tc>
          <w:tcPr>
            <w:tcW w:type="dxa" w:w="6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60"/>
            </w:tcMar>
          </w:tcPr>
          <w:p>
            <w:r>
              <w:rPr>
                <w:rFonts w:ascii="Arial" w:cs="Arial" w:eastAsia="Arial" w:hAnsi="Arial"/>
                <w:b/>
                <w:bCs/>
                <w:color w:val="2E75B6"/>
                <w:sz w:val="22"/>
                <w:szCs w:val="22"/>
              </w:rPr>
              <w:t xml:space="preserve">✓</w:t>
            </w:r>
          </w:p>
        </w:tc>
        <w:tc>
          <w:tcPr>
            <w:tcW w:type="dxa" w:w="876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color w:val="1A1A1A"/>
                <w:sz w:val="22"/>
                <w:szCs w:val="22"/>
              </w:rPr>
              <w:t xml:space="preserve">NUST's association with Microsoft Azure strengthens its positioning when recruiting faculty, attracting research grants, and applying for institutional accreditations.</w:t>
            </w:r>
          </w:p>
        </w:tc>
      </w:tr>
      <w:tr>
        <w:tc>
          <w:tcPr>
            <w:tcW w:type="dxa" w:w="6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60"/>
            </w:tcMar>
          </w:tcPr>
          <w:p>
            <w:r>
              <w:rPr>
                <w:rFonts w:ascii="Arial" w:cs="Arial" w:eastAsia="Arial" w:hAnsi="Arial"/>
                <w:b/>
                <w:bCs/>
                <w:color w:val="2E75B6"/>
                <w:sz w:val="22"/>
                <w:szCs w:val="22"/>
              </w:rPr>
              <w:t xml:space="preserve">✓</w:t>
            </w:r>
          </w:p>
        </w:tc>
        <w:tc>
          <w:tcPr>
            <w:tcW w:type="dxa" w:w="876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color w:val="1A1A1A"/>
                <w:sz w:val="22"/>
                <w:szCs w:val="22"/>
              </w:rPr>
              <w:t xml:space="preserve">Demonstrates NUST's commitment to equipping students with 21st-century digital competencies — an increasingly important criterion for program evaluations and rankings.</w:t>
            </w:r>
          </w:p>
        </w:tc>
      </w:tr>
    </w:tbl>
    <w:p>
      <w:r>
        <w:rPr>
          <w:sz w:val="22"/>
          <w:szCs w:val="22"/>
        </w:rPr>
        <w:t xml:space="preserve"/>
      </w:r>
    </w:p>
    <w:p>
      <w:r>
        <w:br w:type="page"/>
      </w:r>
    </w:p>
    <w:p>
      <w:pPr>
        <w:pStyle w:val="Heading1"/>
        <w:pBdr>
          <w:bottom w:val="single" w:color="2E75B6" w:sz="8" w:space="4"/>
        </w:pBdr>
        <w:spacing w:after="120" w:before="360"/>
      </w:pPr>
      <w:r>
        <w:rPr>
          <w:rFonts w:ascii="Arial" w:cs="Arial" w:eastAsia="Arial" w:hAnsi="Arial"/>
          <w:b/>
          <w:bCs/>
          <w:color w:val="1F5C8B"/>
          <w:sz w:val="28"/>
          <w:szCs w:val="28"/>
        </w:rPr>
        <w:t xml:space="preserve">What Does a NUST Student Receive?</w:t>
      </w:r>
    </w:p>
    <w:p>
      <w:pPr>
        <w:spacing w:after="60" w:before="60"/>
      </w:pPr>
      <w:r>
        <w:rPr>
          <w:rFonts w:ascii="Arial" w:cs="Arial" w:eastAsia="Arial" w:hAnsi="Arial"/>
          <w:color w:val="1A1A1A"/>
          <w:sz w:val="22"/>
          <w:szCs w:val="22"/>
        </w:rPr>
        <w:t xml:space="preserve">Every enrolled NUST student who activates their Azure for Students subscription using their institutional email receives the following — at absolutely no personal cost: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8D4EA" w:sz="1"/>
              <w:left w:val="single" w:color="B8D4EA" w:sz="1"/>
              <w:bottom w:val="single" w:color="B8D4EA" w:sz="1"/>
              <w:right w:val="single" w:color="B8D4EA" w:sz="1"/>
            </w:tcBorders>
            <w:shd w:fill="1F5C8B" w:val="clear"/>
            <w:tcMar>
              <w:top w:type="dxa" w:w="120"/>
              <w:left w:type="dxa" w:w="200"/>
              <w:bottom w:type="dxa" w:w="120"/>
              <w:right w:type="dxa" w:w="200"/>
            </w:tcMar>
          </w:tcPr>
          <w:p>
            <w:r>
              <w:rPr>
                <w:rFonts w:ascii="Arial" w:cs="Arial" w:eastAsia="Arial" w:hAnsi="Arial"/>
                <w:b/>
                <w:bCs/>
                <w:color w:val="FFFFFF"/>
                <w:sz w:val="22"/>
                <w:szCs w:val="22"/>
              </w:rPr>
              <w:t xml:space="preserve">Immediate Benefits</w:t>
            </w:r>
          </w:p>
        </w:tc>
        <w:tc>
          <w:tcPr>
            <w:tcW w:type="dxa" w:w="4680"/>
            <w:tcBorders>
              <w:top w:val="single" w:color="B8D4EA" w:sz="1"/>
              <w:left w:val="single" w:color="B8D4EA" w:sz="1"/>
              <w:bottom w:val="single" w:color="B8D4EA" w:sz="1"/>
              <w:right w:val="single" w:color="B8D4EA" w:sz="1"/>
            </w:tcBorders>
            <w:shd w:fill="1F5C8B" w:val="clear"/>
            <w:tcMar>
              <w:top w:type="dxa" w:w="120"/>
              <w:left w:type="dxa" w:w="200"/>
              <w:bottom w:type="dxa" w:w="120"/>
              <w:right w:type="dxa" w:w="200"/>
            </w:tcMar>
          </w:tcPr>
          <w:p>
            <w:r>
              <w:rPr>
                <w:rFonts w:ascii="Arial" w:cs="Arial" w:eastAsia="Arial" w:hAnsi="Arial"/>
                <w:b/>
                <w:bCs/>
                <w:color w:val="FFFFFF"/>
                <w:sz w:val="22"/>
                <w:szCs w:val="22"/>
              </w:rPr>
              <w:t xml:space="preserve">Long-Term Benefits</w:t>
            </w:r>
          </w:p>
        </w:tc>
      </w:tr>
      <w:tr>
        <w:tc>
          <w:tcPr>
            <w:tcW w:type="dxa" w:w="4680"/>
            <w:tcBorders>
              <w:top w:val="single" w:color="B8D4EA" w:sz="1"/>
              <w:left w:val="single" w:color="B8D4EA" w:sz="1"/>
              <w:bottom w:val="single" w:color="B8D4EA" w:sz="1"/>
              <w:right w:val="single" w:color="B8D4EA" w:sz="1"/>
            </w:tcBorders>
            <w:shd w:fill="FFFFFF" w:val="clear"/>
            <w:tcMar>
              <w:top w:type="dxa" w:w="100"/>
              <w:left w:type="dxa" w:w="200"/>
              <w:bottom w:type="dxa" w:w="100"/>
              <w:right w:type="dxa" w:w="200"/>
            </w:tcMar>
          </w:tcPr>
          <w:p>
            <w:pPr>
              <w:pStyle w:val="ListParagraph"/>
              <w:numPr>
                <w:ilvl w:val="0"/>
                <w:numId w:val="2"/>
              </w:numPr>
            </w:pPr>
            <w:r>
              <w:rPr>
                <w:rFonts w:ascii="Arial" w:cs="Arial" w:eastAsia="Arial" w:hAnsi="Arial"/>
                <w:color w:val="1A1A1A"/>
                <w:sz w:val="20"/>
                <w:szCs w:val="20"/>
              </w:rPr>
              <w:t xml:space="preserve">USD $100 Azure credit for cloud experimentation</w:t>
            </w:r>
          </w:p>
          <w:p>
            <w:pPr>
              <w:pStyle w:val="ListParagraph"/>
              <w:numPr>
                <w:ilvl w:val="0"/>
                <w:numId w:val="2"/>
              </w:numPr>
            </w:pPr>
            <w:r>
              <w:rPr>
                <w:rFonts w:ascii="Arial" w:cs="Arial" w:eastAsia="Arial" w:hAnsi="Arial"/>
                <w:color w:val="1A1A1A"/>
                <w:sz w:val="20"/>
                <w:szCs w:val="20"/>
              </w:rPr>
              <w:t xml:space="preserve">Free access to 25+ Azure services</w:t>
            </w:r>
          </w:p>
          <w:p>
            <w:pPr>
              <w:pStyle w:val="ListParagraph"/>
              <w:numPr>
                <w:ilvl w:val="0"/>
                <w:numId w:val="2"/>
              </w:numPr>
            </w:pPr>
            <w:r>
              <w:rPr>
                <w:rFonts w:ascii="Arial" w:cs="Arial" w:eastAsia="Arial" w:hAnsi="Arial"/>
                <w:color w:val="1A1A1A"/>
                <w:sz w:val="20"/>
                <w:szCs w:val="20"/>
              </w:rPr>
              <w:t xml:space="preserve">Virtual machines for hosting and development</w:t>
            </w:r>
          </w:p>
          <w:p>
            <w:pPr>
              <w:pStyle w:val="ListParagraph"/>
              <w:numPr>
                <w:ilvl w:val="0"/>
                <w:numId w:val="2"/>
              </w:numPr>
            </w:pPr>
            <w:r>
              <w:rPr>
                <w:rFonts w:ascii="Arial" w:cs="Arial" w:eastAsia="Arial" w:hAnsi="Arial"/>
                <w:color w:val="1A1A1A"/>
                <w:sz w:val="20"/>
                <w:szCs w:val="20"/>
              </w:rPr>
              <w:t xml:space="preserve">Cloud storage for project data and backups</w:t>
            </w:r>
          </w:p>
          <w:p>
            <w:pPr>
              <w:pStyle w:val="ListParagraph"/>
              <w:numPr>
                <w:ilvl w:val="0"/>
                <w:numId w:val="2"/>
              </w:numPr>
            </w:pPr>
            <w:r>
              <w:rPr>
                <w:rFonts w:ascii="Arial" w:cs="Arial" w:eastAsia="Arial" w:hAnsi="Arial"/>
                <w:color w:val="1A1A1A"/>
                <w:sz w:val="20"/>
                <w:szCs w:val="20"/>
              </w:rPr>
              <w:t xml:space="preserve">GitHub Student Developer Pack (100+ tools)</w:t>
            </w:r>
          </w:p>
          <w:p>
            <w:pPr>
              <w:pStyle w:val="ListParagraph"/>
              <w:numPr>
                <w:ilvl w:val="0"/>
                <w:numId w:val="2"/>
              </w:numPr>
            </w:pPr>
            <w:r>
              <w:rPr>
                <w:rFonts w:ascii="Arial" w:cs="Arial" w:eastAsia="Arial" w:hAnsi="Arial"/>
                <w:color w:val="1A1A1A"/>
                <w:sz w:val="20"/>
                <w:szCs w:val="20"/>
              </w:rPr>
              <w:t xml:space="preserve">Microsoft Learn full training library access</w:t>
            </w:r>
          </w:p>
        </w:tc>
        <w:tc>
          <w:tcPr>
            <w:tcW w:type="dxa" w:w="4680"/>
            <w:tcBorders>
              <w:top w:val="single" w:color="B8D4EA" w:sz="1"/>
              <w:left w:val="single" w:color="B8D4EA" w:sz="1"/>
              <w:bottom w:val="single" w:color="B8D4EA" w:sz="1"/>
              <w:right w:val="single" w:color="B8D4EA" w:sz="1"/>
            </w:tcBorders>
            <w:shd w:fill="FFFFFF" w:val="clear"/>
            <w:tcMar>
              <w:top w:type="dxa" w:w="100"/>
              <w:left w:type="dxa" w:w="200"/>
              <w:bottom w:type="dxa" w:w="100"/>
              <w:right w:type="dxa" w:w="200"/>
            </w:tcMar>
          </w:tcPr>
          <w:p>
            <w:pPr>
              <w:pStyle w:val="ListParagraph"/>
              <w:numPr>
                <w:ilvl w:val="0"/>
                <w:numId w:val="2"/>
              </w:numPr>
            </w:pPr>
            <w:r>
              <w:rPr>
                <w:rFonts w:ascii="Arial" w:cs="Arial" w:eastAsia="Arial" w:hAnsi="Arial"/>
                <w:color w:val="1A1A1A"/>
                <w:sz w:val="20"/>
                <w:szCs w:val="20"/>
              </w:rPr>
              <w:t xml:space="preserve">Azure certifications included in learning path</w:t>
            </w:r>
          </w:p>
          <w:p>
            <w:pPr>
              <w:pStyle w:val="ListParagraph"/>
              <w:numPr>
                <w:ilvl w:val="0"/>
                <w:numId w:val="2"/>
              </w:numPr>
            </w:pPr>
            <w:r>
              <w:rPr>
                <w:rFonts w:ascii="Arial" w:cs="Arial" w:eastAsia="Arial" w:hAnsi="Arial"/>
                <w:color w:val="1A1A1A"/>
                <w:sz w:val="20"/>
                <w:szCs w:val="20"/>
              </w:rPr>
              <w:t xml:space="preserve">Verifiable cloud project portfolio for employers</w:t>
            </w:r>
          </w:p>
          <w:p>
            <w:pPr>
              <w:pStyle w:val="ListParagraph"/>
              <w:numPr>
                <w:ilvl w:val="0"/>
                <w:numId w:val="2"/>
              </w:numPr>
            </w:pPr>
            <w:r>
              <w:rPr>
                <w:rFonts w:ascii="Arial" w:cs="Arial" w:eastAsia="Arial" w:hAnsi="Arial"/>
                <w:color w:val="1A1A1A"/>
                <w:sz w:val="20"/>
                <w:szCs w:val="20"/>
              </w:rPr>
              <w:t xml:space="preserve">Industry-standard DevOps and CI/CD pipeline skills</w:t>
            </w:r>
          </w:p>
          <w:p>
            <w:pPr>
              <w:pStyle w:val="ListParagraph"/>
              <w:numPr>
                <w:ilvl w:val="0"/>
                <w:numId w:val="2"/>
              </w:numPr>
            </w:pPr>
            <w:r>
              <w:rPr>
                <w:rFonts w:ascii="Arial" w:cs="Arial" w:eastAsia="Arial" w:hAnsi="Arial"/>
                <w:color w:val="1A1A1A"/>
                <w:sz w:val="20"/>
                <w:szCs w:val="20"/>
              </w:rPr>
              <w:t xml:space="preserve">AI and machine learning project capabilities</w:t>
            </w:r>
          </w:p>
          <w:p>
            <w:pPr>
              <w:pStyle w:val="ListParagraph"/>
              <w:numPr>
                <w:ilvl w:val="0"/>
                <w:numId w:val="2"/>
              </w:numPr>
            </w:pPr>
            <w:r>
              <w:rPr>
                <w:rFonts w:ascii="Arial" w:cs="Arial" w:eastAsia="Arial" w:hAnsi="Arial"/>
                <w:color w:val="1A1A1A"/>
                <w:sz w:val="20"/>
                <w:szCs w:val="20"/>
              </w:rPr>
              <w:t xml:space="preserve">Subscription renews annually while enrolled</w:t>
            </w:r>
          </w:p>
          <w:p>
            <w:pPr>
              <w:pStyle w:val="ListParagraph"/>
              <w:numPr>
                <w:ilvl w:val="0"/>
                <w:numId w:val="2"/>
              </w:numPr>
            </w:pPr>
            <w:r>
              <w:rPr>
                <w:rFonts w:ascii="Arial" w:cs="Arial" w:eastAsia="Arial" w:hAnsi="Arial"/>
                <w:color w:val="1A1A1A"/>
                <w:sz w:val="20"/>
                <w:szCs w:val="20"/>
              </w:rPr>
              <w:t xml:space="preserve">Competitive advantage in GCC job market</w:t>
            </w:r>
          </w:p>
        </w:tc>
      </w:tr>
    </w:tbl>
    <w:p>
      <w:r>
        <w:rPr>
          <w:sz w:val="22"/>
          <w:szCs w:val="22"/>
        </w:rPr>
        <w:t xml:space="preserve"/>
      </w:r>
    </w:p>
    <w:p>
      <w:pPr>
        <w:pStyle w:val="Heading2"/>
        <w:spacing w:after="80" w:before="240"/>
      </w:pPr>
      <w:r>
        <w:rPr>
          <w:rFonts w:ascii="Arial" w:cs="Arial" w:eastAsia="Arial" w:hAnsi="Arial"/>
          <w:b/>
          <w:bCs/>
          <w:color w:val="2E75B6"/>
          <w:sz w:val="24"/>
          <w:szCs w:val="24"/>
        </w:rPr>
        <w:t xml:space="preserve">Student Activation Process</w:t>
      </w:r>
    </w:p>
    <w:p>
      <w:pPr>
        <w:spacing w:after="60" w:before="60"/>
      </w:pPr>
      <w:r>
        <w:rPr>
          <w:rFonts w:ascii="Arial" w:cs="Arial" w:eastAsia="Arial" w:hAnsi="Arial"/>
          <w:color w:val="1A1A1A"/>
          <w:sz w:val="22"/>
          <w:szCs w:val="22"/>
        </w:rPr>
        <w:t xml:space="preserve">Activation is simple and does not require any involvement from IT administration beyond initial communication:</w:t>
      </w:r>
    </w:p>
    <w:p>
      <w:r>
        <w:rPr>
          <w:sz w:val="22"/>
          <w:szCs w:val="22"/>
        </w:rPr>
        <w:t xml:space="preserve"/>
      </w:r>
    </w:p>
    <w:p>
      <w:pPr>
        <w:pStyle w:val="ListParagraph"/>
        <w:numPr>
          <w:ilvl w:val="0"/>
          <w:numId w:val="2"/>
        </w:numPr>
        <w:spacing w:after="40" w:before="40"/>
      </w:pPr>
      <w:r>
        <w:rPr>
          <w:rFonts w:ascii="Arial" w:cs="Arial" w:eastAsia="Arial" w:hAnsi="Arial"/>
          <w:color w:val="1A1A1A"/>
          <w:sz w:val="22"/>
          <w:szCs w:val="22"/>
        </w:rPr>
        <w:t xml:space="preserve">Student navigates to </w:t>
      </w:r>
      <w:r>
        <w:rPr>
          <w:rFonts w:ascii="Arial" w:cs="Arial" w:eastAsia="Arial" w:hAnsi="Arial"/>
          <w:b/>
          <w:bCs/>
          <w:color w:val="2E75B6"/>
          <w:sz w:val="22"/>
          <w:szCs w:val="22"/>
        </w:rPr>
        <w:t xml:space="preserve">azure.microsoft.com/free/students</w:t>
      </w:r>
      <w:r>
        <w:rPr>
          <w:rFonts w:ascii="Arial" w:cs="Arial" w:eastAsia="Arial" w:hAnsi="Arial"/>
          <w:color w:val="1A1A1A"/>
          <w:sz w:val="22"/>
          <w:szCs w:val="22"/>
        </w:rPr>
        <w:t xml:space="preserve"> and clicks 'Start Free'</w:t>
      </w:r>
    </w:p>
    <w:p>
      <w:pPr>
        <w:pStyle w:val="ListParagraph"/>
        <w:numPr>
          <w:ilvl w:val="0"/>
          <w:numId w:val="2"/>
        </w:numPr>
        <w:spacing w:after="40" w:before="40"/>
      </w:pPr>
      <w:r>
        <w:rPr>
          <w:rFonts w:ascii="Arial" w:cs="Arial" w:eastAsia="Arial" w:hAnsi="Arial"/>
          <w:color w:val="1A1A1A"/>
          <w:sz w:val="22"/>
          <w:szCs w:val="22"/>
        </w:rPr>
        <w:t xml:space="preserve">Signs in with their NUST Microsoft 365 account (username@nu.edu.om)</w:t>
      </w:r>
    </w:p>
    <w:p>
      <w:pPr>
        <w:pStyle w:val="ListParagraph"/>
        <w:numPr>
          <w:ilvl w:val="0"/>
          <w:numId w:val="2"/>
        </w:numPr>
        <w:spacing w:after="40" w:before="40"/>
      </w:pPr>
      <w:r>
        <w:rPr>
          <w:rFonts w:ascii="Arial" w:cs="Arial" w:eastAsia="Arial" w:hAnsi="Arial"/>
          <w:color w:val="1A1A1A"/>
          <w:sz w:val="22"/>
          <w:szCs w:val="22"/>
        </w:rPr>
        <w:t xml:space="preserve">Microsoft verifies student eligibility via the institutional email domain</w:t>
      </w:r>
    </w:p>
    <w:p>
      <w:pPr>
        <w:pStyle w:val="ListParagraph"/>
        <w:numPr>
          <w:ilvl w:val="0"/>
          <w:numId w:val="2"/>
        </w:numPr>
        <w:spacing w:after="40" w:before="40"/>
      </w:pPr>
      <w:r>
        <w:rPr>
          <w:rFonts w:ascii="Arial" w:cs="Arial" w:eastAsia="Arial" w:hAnsi="Arial"/>
          <w:color w:val="1A1A1A"/>
          <w:sz w:val="22"/>
          <w:szCs w:val="22"/>
        </w:rPr>
        <w:t xml:space="preserve">Student completes profile setup — no credit card required</w:t>
      </w:r>
    </w:p>
    <w:p>
      <w:pPr>
        <w:pStyle w:val="ListParagraph"/>
        <w:numPr>
          <w:ilvl w:val="0"/>
          <w:numId w:val="2"/>
        </w:numPr>
        <w:spacing w:after="40" w:before="40"/>
      </w:pPr>
      <w:r>
        <w:rPr>
          <w:rFonts w:ascii="Arial" w:cs="Arial" w:eastAsia="Arial" w:hAnsi="Arial"/>
          <w:color w:val="1A1A1A"/>
          <w:sz w:val="22"/>
          <w:szCs w:val="22"/>
        </w:rPr>
        <w:t xml:space="preserve">Azure portal becomes immediately accessible with $100 credit loaded</w:t>
      </w:r>
    </w:p>
    <w:p>
      <w:r>
        <w:rPr>
          <w:sz w:val="22"/>
          <w:szCs w:val="22"/>
        </w:rPr>
        <w:t xml:space="preserve"/>
      </w:r>
    </w:p>
    <w:p>
      <w:pPr>
        <w:pStyle w:val="Heading1"/>
        <w:pBdr>
          <w:bottom w:val="single" w:color="2E75B6" w:sz="8" w:space="4"/>
        </w:pBdr>
        <w:spacing w:after="120" w:before="360"/>
      </w:pPr>
      <w:r>
        <w:rPr>
          <w:rFonts w:ascii="Arial" w:cs="Arial" w:eastAsia="Arial" w:hAnsi="Arial"/>
          <w:b/>
          <w:bCs/>
          <w:color w:val="1F5C8B"/>
          <w:sz w:val="28"/>
          <w:szCs w:val="28"/>
        </w:rPr>
        <w:t xml:space="preserve">Recommended Actions for Leadership Consideration</w:t>
      </w:r>
    </w:p>
    <w:p>
      <w:pPr>
        <w:spacing w:after="60" w:before="60"/>
      </w:pPr>
      <w:r>
        <w:rPr>
          <w:rFonts w:ascii="Arial" w:cs="Arial" w:eastAsia="Arial" w:hAnsi="Arial"/>
          <w:color w:val="1A1A1A"/>
          <w:sz w:val="22"/>
          <w:szCs w:val="22"/>
        </w:rPr>
        <w:t xml:space="preserve">To maximize the value of this program for NUST students, the IT Department recommends the following actions for consideration by academic and executive leadership:</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60"/>
            </w:tcMar>
          </w:tcPr>
          <w:p>
            <w:r>
              <w:rPr>
                <w:rFonts w:ascii="Arial" w:cs="Arial" w:eastAsia="Arial" w:hAnsi="Arial"/>
                <w:b/>
                <w:bCs/>
                <w:color w:val="2E75B6"/>
                <w:sz w:val="22"/>
                <w:szCs w:val="22"/>
              </w:rPr>
              <w:t xml:space="preserve">✓</w:t>
            </w:r>
          </w:p>
        </w:tc>
        <w:tc>
          <w:tcPr>
            <w:tcW w:type="dxa" w:w="876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color w:val="1A1A1A"/>
                <w:sz w:val="22"/>
                <w:szCs w:val="22"/>
              </w:rPr>
              <w:t xml:space="preserve">Issue a formal institutional communication to all students in engineering and technology programs, informing them of their Azure for Students eligibility and activation steps.</w:t>
            </w:r>
          </w:p>
        </w:tc>
      </w:tr>
      <w:tr>
        <w:tc>
          <w:tcPr>
            <w:tcW w:type="dxa" w:w="6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60"/>
            </w:tcMar>
          </w:tcPr>
          <w:p>
            <w:r>
              <w:rPr>
                <w:rFonts w:ascii="Arial" w:cs="Arial" w:eastAsia="Arial" w:hAnsi="Arial"/>
                <w:b/>
                <w:bCs/>
                <w:color w:val="2E75B6"/>
                <w:sz w:val="22"/>
                <w:szCs w:val="22"/>
              </w:rPr>
              <w:t xml:space="preserve">✓</w:t>
            </w:r>
          </w:p>
        </w:tc>
        <w:tc>
          <w:tcPr>
            <w:tcW w:type="dxa" w:w="876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color w:val="1A1A1A"/>
                <w:sz w:val="22"/>
                <w:szCs w:val="22"/>
              </w:rPr>
              <w:t xml:space="preserve">Coordinate with department heads to identify courses in the Engineering and Computer Science curricula that can formally incorporate Azure-based lab assignments and projects.</w:t>
            </w:r>
          </w:p>
        </w:tc>
      </w:tr>
      <w:tr>
        <w:tc>
          <w:tcPr>
            <w:tcW w:type="dxa" w:w="6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60"/>
            </w:tcMar>
          </w:tcPr>
          <w:p>
            <w:r>
              <w:rPr>
                <w:rFonts w:ascii="Arial" w:cs="Arial" w:eastAsia="Arial" w:hAnsi="Arial"/>
                <w:b/>
                <w:bCs/>
                <w:color w:val="2E75B6"/>
                <w:sz w:val="22"/>
                <w:szCs w:val="22"/>
              </w:rPr>
              <w:t xml:space="preserve">✓</w:t>
            </w:r>
          </w:p>
        </w:tc>
        <w:tc>
          <w:tcPr>
            <w:tcW w:type="dxa" w:w="876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color w:val="1A1A1A"/>
                <w:sz w:val="22"/>
                <w:szCs w:val="22"/>
              </w:rPr>
              <w:t xml:space="preserve">Explore Microsoft Learn for Educators (MSLE) enrollment to provide faculty with training resources and structured course modules aligned to Azure for Students.</w:t>
            </w:r>
          </w:p>
        </w:tc>
      </w:tr>
      <w:tr>
        <w:tc>
          <w:tcPr>
            <w:tcW w:type="dxa" w:w="6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60"/>
            </w:tcMar>
          </w:tcPr>
          <w:p>
            <w:r>
              <w:rPr>
                <w:rFonts w:ascii="Arial" w:cs="Arial" w:eastAsia="Arial" w:hAnsi="Arial"/>
                <w:b/>
                <w:bCs/>
                <w:color w:val="2E75B6"/>
                <w:sz w:val="22"/>
                <w:szCs w:val="22"/>
              </w:rPr>
              <w:t xml:space="preserve">✓</w:t>
            </w:r>
          </w:p>
        </w:tc>
        <w:tc>
          <w:tcPr>
            <w:tcW w:type="dxa" w:w="876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color w:val="1A1A1A"/>
                <w:sz w:val="22"/>
                <w:szCs w:val="22"/>
              </w:rPr>
              <w:t xml:space="preserve">Designate a point of contact within the IT Department to support students encountering activation issues or requiring guidance on Azure service usage.</w:t>
            </w:r>
          </w:p>
        </w:tc>
      </w:tr>
      <w:tr>
        <w:tc>
          <w:tcPr>
            <w:tcW w:type="dxa" w:w="6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60"/>
            </w:tcMar>
          </w:tcPr>
          <w:p>
            <w:r>
              <w:rPr>
                <w:rFonts w:ascii="Arial" w:cs="Arial" w:eastAsia="Arial" w:hAnsi="Arial"/>
                <w:b/>
                <w:bCs/>
                <w:color w:val="2E75B6"/>
                <w:sz w:val="22"/>
                <w:szCs w:val="22"/>
              </w:rPr>
              <w:t xml:space="preserve">✓</w:t>
            </w:r>
          </w:p>
        </w:tc>
        <w:tc>
          <w:tcPr>
            <w:tcW w:type="dxa" w:w="876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color w:val="1A1A1A"/>
                <w:sz w:val="22"/>
                <w:szCs w:val="22"/>
              </w:rPr>
              <w:t xml:space="preserve">Consider establishing an Azure Student Innovation Challenge or annual cloud project competition to encourage deeper student engagement with the platform.</w:t>
            </w:r>
          </w:p>
        </w:tc>
      </w:tr>
      <w:tr>
        <w:tc>
          <w:tcPr>
            <w:tcW w:type="dxa" w:w="6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60"/>
            </w:tcMar>
          </w:tcPr>
          <w:p>
            <w:r>
              <w:rPr>
                <w:rFonts w:ascii="Arial" w:cs="Arial" w:eastAsia="Arial" w:hAnsi="Arial"/>
                <w:b/>
                <w:bCs/>
                <w:color w:val="2E75B6"/>
                <w:sz w:val="22"/>
                <w:szCs w:val="22"/>
              </w:rPr>
              <w:t xml:space="preserve">✓</w:t>
            </w:r>
          </w:p>
        </w:tc>
        <w:tc>
          <w:tcPr>
            <w:tcW w:type="dxa" w:w="876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color w:val="1A1A1A"/>
                <w:sz w:val="22"/>
                <w:szCs w:val="22"/>
              </w:rPr>
              <w:t xml:space="preserve">Track and document student Azure usage as evidence of digital competency development for program accreditation submissions and institutional reporting.</w:t>
            </w:r>
          </w:p>
        </w:tc>
      </w:tr>
    </w:tbl>
    <w:p>
      <w:r>
        <w:rPr>
          <w:sz w:val="22"/>
          <w:szCs w:val="22"/>
        </w:rPr>
        <w:t xml:space="preserve"/>
      </w:r>
    </w:p>
    <w:p>
      <w:pPr>
        <w:pStyle w:val="Heading1"/>
        <w:pBdr>
          <w:bottom w:val="single" w:color="2E75B6" w:sz="8" w:space="4"/>
        </w:pBdr>
        <w:spacing w:after="120" w:before="360"/>
      </w:pPr>
      <w:r>
        <w:rPr>
          <w:rFonts w:ascii="Arial" w:cs="Arial" w:eastAsia="Arial" w:hAnsi="Arial"/>
          <w:b/>
          <w:bCs/>
          <w:color w:val="1F5C8B"/>
          <w:sz w:val="28"/>
          <w:szCs w:val="28"/>
        </w:rPr>
        <w:t xml:space="preserve">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none" w:color="FFFFFF" w:sz="0"/>
              <w:bottom w:val="single" w:color="2E75B6" w:sz="8"/>
              <w:right w:val="none" w:color="FFFFFF" w:sz="0"/>
            </w:tcBorders>
            <w:shd w:fill="E8F4FD" w:val="clear"/>
            <w:tcMar>
              <w:top w:type="dxa" w:w="200"/>
              <w:left w:type="dxa" w:w="280"/>
              <w:bottom w:type="dxa" w:w="200"/>
              <w:right w:type="dxa" w:w="280"/>
            </w:tcMar>
          </w:tcPr>
          <w:p>
            <w:r>
              <w:rPr>
                <w:rFonts w:ascii="Arial" w:cs="Arial" w:eastAsia="Arial" w:hAnsi="Arial"/>
                <w:i/>
                <w:iCs/>
                <w:color w:val="1A1A1A"/>
                <w:sz w:val="22"/>
                <w:szCs w:val="22"/>
              </w:rPr>
              <w:t xml:space="preserve">Azure for Students represents a zero-cost, high-impact opportunity for NUST to immediately elevate the quality of its engineering and technology education. Every eligible student who activates this subscription gains access to the same enterprise cloud infrastructure used by organizations across Oman and globally — building skills, confidence, and credentials that translate directly into career readiness.</w:t>
            </w:r>
          </w:p>
          <w:p>
            <w:r>
              <w:rPr>
                <w:sz w:val="22"/>
                <w:szCs w:val="22"/>
              </w:rPr>
              <w:t xml:space="preserve"/>
            </w:r>
          </w:p>
          <w:p>
            <w:r>
              <w:rPr>
                <w:rFonts w:ascii="Arial" w:cs="Arial" w:eastAsia="Arial" w:hAnsi="Arial"/>
                <w:i/>
                <w:iCs/>
                <w:color w:val="1A1A1A"/>
                <w:sz w:val="22"/>
                <w:szCs w:val="22"/>
              </w:rPr>
              <w:t xml:space="preserve">The IT Department is fully prepared to support the rollout of this initiative, facilitate student onboarding communications, and coordinate with academic departments on curriculum integration. We respectfully request leadership's endorsement to proceed with a university-wide student enrollment drive.</w:t>
            </w:r>
          </w:p>
        </w:tc>
      </w:tr>
    </w:tbl>
    <w:p>
      <w:r>
        <w:rPr>
          <w:sz w:val="44"/>
          <w:szCs w:val="44"/>
        </w:rPr>
        <w:t xml:space="preserve"/>
      </w:r>
    </w:p>
    <w:p>
      <w:pPr>
        <w:jc w:val="center"/>
      </w:pPr>
      <w:r>
        <w:rPr>
          <w:rFonts w:ascii="Arial" w:cs="Arial" w:eastAsia="Arial" w:hAnsi="Arial"/>
          <w:i/>
          <w:iCs/>
          <w:color w:val="888888"/>
          <w:sz w:val="18"/>
          <w:szCs w:val="18"/>
        </w:rPr>
        <w:t xml:space="preserve">— IT Department, National University of Science and Technology —</w:t>
      </w:r>
    </w:p>
    <w:p>
      <w:pPr>
        <w:jc w:val="center"/>
      </w:pPr>
      <w:r>
        <w:rPr>
          <w:rFonts w:ascii="Arial" w:cs="Arial" w:eastAsia="Arial" w:hAnsi="Arial"/>
          <w:color w:val="888888"/>
          <w:sz w:val="18"/>
          <w:szCs w:val="18"/>
        </w:rPr>
        <w:t xml:space="preserve">nu.edu.om  |  Muscat, Oman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pPr>
    <w:r>
      <w:rPr>
        <w:rFonts w:ascii="Arial" w:cs="Arial" w:eastAsia="Arial" w:hAnsi="Arial"/>
        <w:color w:val="888888"/>
        <w:sz w:val="16"/>
        <w:szCs w:val="16"/>
      </w:rPr>
      <w:t xml:space="preserve">IT Department  |  NUST  |  Confidential</w:t>
    </w:r>
    <w:r>
      <w:rPr>
        <w:rFonts w:ascii="Arial" w:cs="Arial" w:eastAsia="Arial" w:hAnsi="Arial"/>
        <w:color w:val="888888"/>
        <w:sz w:val="16"/>
        <w:szCs w:val="16"/>
      </w:rPr>
      <w:t xml:space="preserve">	Page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8"/>
        <w:szCs w:val="18"/>
      </w:rPr>
      <w:t xml:space="preserve">National University of Science and Technology</w:t>
    </w:r>
    <w:r>
      <w:rPr>
        <w:rFonts w:ascii="Arial" w:cs="Arial" w:eastAsia="Arial" w:hAnsi="Arial"/>
        <w:sz w:val="18"/>
        <w:szCs w:val="18"/>
      </w:rPr>
      <w:t xml:space="preserve">	</w:t>
    </w:r>
    <w:r>
      <w:rPr>
        <w:rFonts w:ascii="Arial" w:cs="Arial" w:eastAsia="Arial" w:hAnsi="Arial"/>
        <w:color w:val="888888"/>
        <w:sz w:val="18"/>
        <w:szCs w:val="18"/>
      </w:rPr>
      <w:t xml:space="preserve">Azure for Students — Executive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8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2026-04-06T11:16:15.933Z</dcterms:created>
  <dcterms:modified xsi:type="dcterms:W3CDTF">2026-04-06T11:16:15.934Z</dcterms:modified>
</cp:coreProperties>
</file>

<file path=docProps/custom.xml><?xml version="1.0" encoding="utf-8"?>
<Properties xmlns="http://schemas.openxmlformats.org/officeDocument/2006/custom-properties" xmlns:vt="http://schemas.openxmlformats.org/officeDocument/2006/docPropsVTypes"/>
</file>