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6"/>
      </w:pPr>
      <w:r>
        <w:t>Job Market Analysis Report</w:t>
      </w:r>
    </w:p>
    <w:p>
      <w:pPr>
        <w:pStyle w:val="169"/>
        <w:jc w:val="center"/>
      </w:pPr>
      <w:r>
        <w:t>Insights into UK Job Opportunities from Reed.co.uk</w:t>
      </w:r>
    </w:p>
    <w:p>
      <w:pPr>
        <w:pStyle w:val="169"/>
        <w:jc w:val="center"/>
      </w:pPr>
      <w:r>
        <w:t>Prepared by: M Aqeel</w:t>
      </w:r>
    </w:p>
    <w:p>
      <w:pPr>
        <w:pStyle w:val="169"/>
        <w:jc w:val="center"/>
      </w:pPr>
      <w:r>
        <w:t>Date: August 7, 2025</w:t>
      </w:r>
    </w:p>
    <w:p/>
    <w:p>
      <w:pPr>
        <w:pStyle w:val="167"/>
      </w:pPr>
      <w:r>
        <w:t>1. Overview</w:t>
      </w:r>
    </w:p>
    <w:p>
      <w:pPr>
        <w:pStyle w:val="169"/>
      </w:pPr>
      <w:r>
        <w:t>This report analyzes job postings for various roles in the United Kingdom, sourced from the Reed.co.uk API. It uncovers trends in demand, salaries, locations, and application patterns. Based on the most recent 1000 job postings retrieved as of August 7, 2025, the analysis aims to assist both job seekers and recruiters in navigating the job market more effectively.</w:t>
      </w:r>
    </w:p>
    <w:p>
      <w:pPr>
        <w:pStyle w:val="167"/>
      </w:pPr>
      <w:r>
        <w:t>2. Objectives</w:t>
      </w:r>
    </w:p>
    <w:p>
      <w:pPr>
        <w:pStyle w:val="170"/>
        <w:ind w:left="0" w:leftChars="0" w:firstLine="0" w:firstLineChars="0"/>
        <w:rPr>
          <w:color w:val="auto"/>
        </w:rPr>
      </w:pPr>
      <w:r>
        <w:rPr>
          <w:color w:val="auto"/>
        </w:rPr>
        <w:t>Identify trends in job postings, salaries, locations, and applications.</w:t>
      </w:r>
    </w:p>
    <w:p>
      <w:pPr>
        <w:pStyle w:val="170"/>
        <w:ind w:left="0" w:leftChars="0" w:firstLine="0" w:firstLineChars="0"/>
        <w:rPr>
          <w:color w:val="auto"/>
        </w:rPr>
      </w:pPr>
      <w:r>
        <w:rPr>
          <w:color w:val="auto"/>
        </w:rPr>
        <w:t>Highlight high-paying roles with low competition.</w:t>
      </w:r>
    </w:p>
    <w:p>
      <w:pPr>
        <w:pStyle w:val="170"/>
        <w:ind w:left="0" w:leftChars="0" w:firstLine="0" w:firstLineChars="0"/>
        <w:rPr>
          <w:color w:val="auto"/>
        </w:rPr>
      </w:pPr>
      <w:r>
        <w:rPr>
          <w:color w:val="auto"/>
        </w:rPr>
        <w:t>Analyze the availability of remote and hybrid job types.</w:t>
      </w:r>
    </w:p>
    <w:p>
      <w:pPr>
        <w:pStyle w:val="170"/>
        <w:ind w:left="0" w:leftChars="0" w:firstLine="0" w:firstLineChars="0"/>
        <w:rPr>
          <w:color w:val="auto"/>
        </w:rPr>
      </w:pPr>
      <w:r>
        <w:rPr>
          <w:color w:val="auto"/>
        </w:rPr>
        <w:t>Provide actionable insights for both job seekers and recruiters.</w:t>
      </w:r>
    </w:p>
    <w:p>
      <w:pPr>
        <w:pStyle w:val="167"/>
      </w:pPr>
      <w:r>
        <w:t>3. Methodology</w:t>
      </w:r>
    </w:p>
    <w:p>
      <w:pPr>
        <w:pStyle w:val="169"/>
      </w:pPr>
      <w:r>
        <w:t>The analysis was conducted in three key phases: data collection, data cleaning, and exploratory analysis.</w:t>
      </w:r>
    </w:p>
    <w:p>
      <w:pPr>
        <w:pStyle w:val="168"/>
      </w:pPr>
      <w:r>
        <w:t>Data Collection</w:t>
      </w:r>
    </w:p>
    <w:p>
      <w:pPr>
        <w:pStyle w:val="169"/>
      </w:pPr>
      <w:r>
        <w:t>Job listings were retrieved via the Reed.co.uk API using the "keywords" parameter (e.g., "data analyst", "web developer") for roles based in the United Kingdom. The API was called in paginated form, fetching up to 1,000 of the most recent job postings as of August 7, 2025.</w:t>
      </w:r>
    </w:p>
    <w:p>
      <w:pPr>
        <w:pStyle w:val="168"/>
      </w:pPr>
      <w:r>
        <w:t>Data Cleaning &amp; Preprocessing</w:t>
      </w:r>
    </w:p>
    <w:p>
      <w:pPr>
        <w:pStyle w:val="170"/>
        <w:rPr>
          <w:color w:val="auto"/>
        </w:rPr>
      </w:pPr>
      <w:r>
        <w:rPr>
          <w:color w:val="auto"/>
        </w:rPr>
        <w:t>Irrelevant columns with 100% missing values, such as employerProfileId and employerProfileName, were dropped.</w:t>
      </w:r>
    </w:p>
    <w:p>
      <w:pPr>
        <w:pStyle w:val="170"/>
        <w:rPr>
          <w:color w:val="auto"/>
        </w:rPr>
      </w:pPr>
      <w:r>
        <w:rPr>
          <w:color w:val="auto"/>
        </w:rPr>
        <w:t>Only postings from March 1, 2025 onward were retained for recency.</w:t>
      </w:r>
    </w:p>
    <w:p>
      <w:pPr>
        <w:pStyle w:val="170"/>
        <w:rPr>
          <w:color w:val="auto"/>
        </w:rPr>
      </w:pPr>
      <w:r>
        <w:rPr>
          <w:color w:val="auto"/>
        </w:rPr>
        <w:t>The date column was converted to datetime format and filtered accordingly.</w:t>
      </w:r>
    </w:p>
    <w:p>
      <w:pPr>
        <w:pStyle w:val="170"/>
        <w:rPr>
          <w:color w:val="auto"/>
        </w:rPr>
      </w:pPr>
      <w:r>
        <w:rPr>
          <w:color w:val="auto"/>
        </w:rPr>
        <w:t>Rows with both minimumSalary and maximumSalary equal to 0 were removed to exclude incomplete or non-disclosing listings.</w:t>
      </w:r>
    </w:p>
    <w:p>
      <w:pPr>
        <w:pStyle w:val="170"/>
        <w:rPr>
          <w:color w:val="auto"/>
        </w:rPr>
      </w:pPr>
      <w:r>
        <w:rPr>
          <w:color w:val="auto"/>
        </w:rPr>
        <w:t>The most frequent currency value (typically GBP) was imputed where currency information was missing.</w:t>
      </w:r>
    </w:p>
    <w:p>
      <w:pPr>
        <w:pStyle w:val="170"/>
        <w:rPr>
          <w:color w:val="auto"/>
        </w:rPr>
      </w:pPr>
      <w:r>
        <w:rPr>
          <w:color w:val="auto"/>
        </w:rPr>
        <w:t>Outliers were excluded:</w:t>
      </w:r>
    </w:p>
    <w:p>
      <w:pPr>
        <w:pStyle w:val="170"/>
        <w:rPr>
          <w:color w:val="auto"/>
        </w:rPr>
      </w:pPr>
      <w:r>
        <w:rPr>
          <w:color w:val="auto"/>
        </w:rPr>
        <w:t xml:space="preserve"> - One posting with a salary greater than £150,000.</w:t>
      </w:r>
    </w:p>
    <w:p>
      <w:pPr>
        <w:pStyle w:val="170"/>
        <w:rPr>
          <w:color w:val="auto"/>
        </w:rPr>
      </w:pPr>
      <w:r>
        <w:rPr>
          <w:color w:val="auto"/>
        </w:rPr>
        <w:t xml:space="preserve"> - Two postings with over 600 applications.</w:t>
      </w:r>
    </w:p>
    <w:p>
      <w:pPr>
        <w:pStyle w:val="170"/>
        <w:rPr>
          <w:color w:val="auto"/>
        </w:rPr>
      </w:pPr>
      <w:r>
        <w:rPr>
          <w:color w:val="auto"/>
        </w:rPr>
        <w:t>A new column salaryAvg was created to represent the average salary per job listing.</w:t>
      </w:r>
    </w:p>
    <w:p>
      <w:pPr>
        <w:pStyle w:val="167"/>
      </w:pPr>
      <w:r>
        <w:t>4. Key Insights</w:t>
      </w:r>
    </w:p>
    <w:p>
      <w:pPr>
        <w:pStyle w:val="168"/>
      </w:pPr>
      <w:r>
        <w:t>Market Freshness</w:t>
      </w:r>
    </w:p>
    <w:p>
      <w:pPr>
        <w:pStyle w:val="170"/>
        <w:rPr>
          <w:color w:val="auto"/>
        </w:rPr>
      </w:pPr>
      <w:r>
        <w:rPr>
          <w:color w:val="auto"/>
        </w:rPr>
        <w:t>24.5% of jobs were posted within the last 7 days.</w:t>
      </w:r>
    </w:p>
    <w:p>
      <w:pPr>
        <w:pStyle w:val="170"/>
        <w:rPr>
          <w:color w:val="auto"/>
        </w:rPr>
      </w:pPr>
      <w:r>
        <w:rPr>
          <w:color w:val="auto"/>
        </w:rPr>
        <w:t>15.8% are older than 30 days.</w:t>
      </w:r>
    </w:p>
    <w:p>
      <w:pPr>
        <w:pStyle w:val="170"/>
        <w:rPr>
          <w:color w:val="auto"/>
        </w:rPr>
      </w:pPr>
      <w:r>
        <w:rPr>
          <w:color w:val="auto"/>
        </w:rPr>
        <w:t>→ The market is active with frequent new listings.</w:t>
      </w:r>
    </w:p>
    <w:p>
      <w:pPr>
        <w:pStyle w:val="168"/>
      </w:pPr>
      <w:r>
        <w:t>Top Employers</w:t>
      </w:r>
    </w:p>
    <w:p>
      <w:pPr>
        <w:pStyle w:val="169"/>
        <w:rPr>
          <w:color w:val="auto"/>
        </w:rPr>
      </w:pPr>
      <w:r>
        <w:rPr>
          <w:color w:val="auto"/>
        </w:rPr>
        <w:t>Largest recruiters by job volume:</w:t>
      </w:r>
    </w:p>
    <w:p>
      <w:pPr>
        <w:pStyle w:val="170"/>
        <w:rPr>
          <w:color w:val="auto"/>
        </w:rPr>
      </w:pPr>
      <w:r>
        <w:rPr>
          <w:color w:val="auto"/>
        </w:rPr>
        <w:t>ITOL Recruit (</w:t>
      </w:r>
      <w:r>
        <w:rPr>
          <w:rFonts w:hint="default"/>
          <w:color w:val="auto"/>
          <w:lang w:val="en-US"/>
        </w:rPr>
        <w:t xml:space="preserve">183 </w:t>
      </w:r>
      <w:r>
        <w:rPr>
          <w:color w:val="auto"/>
        </w:rPr>
        <w:t>jobs)</w:t>
      </w:r>
    </w:p>
    <w:p>
      <w:pPr>
        <w:pStyle w:val="170"/>
        <w:rPr>
          <w:color w:val="auto"/>
        </w:rPr>
      </w:pPr>
      <w:r>
        <w:rPr>
          <w:color w:val="auto"/>
        </w:rPr>
        <w:t>Harnham - Data &amp; Analytics (</w:t>
      </w:r>
      <w:r>
        <w:rPr>
          <w:rFonts w:hint="default"/>
          <w:color w:val="auto"/>
          <w:lang w:val="en-US"/>
        </w:rPr>
        <w:t>87</w:t>
      </w:r>
      <w:r>
        <w:rPr>
          <w:color w:val="auto"/>
        </w:rPr>
        <w:t>)</w:t>
      </w:r>
    </w:p>
    <w:p>
      <w:pPr>
        <w:pStyle w:val="170"/>
        <w:rPr>
          <w:rFonts w:hint="default"/>
          <w:color w:val="auto"/>
          <w:lang w:val="en-US"/>
        </w:rPr>
      </w:pPr>
      <w:r>
        <w:rPr>
          <w:color w:val="auto"/>
        </w:rPr>
        <w:t>Reed</w:t>
      </w:r>
      <w:r>
        <w:rPr>
          <w:rFonts w:hint="default"/>
          <w:color w:val="auto"/>
          <w:lang w:val="en-US"/>
        </w:rPr>
        <w:t>(27)</w:t>
      </w:r>
      <w:r>
        <w:rPr>
          <w:color w:val="auto"/>
        </w:rPr>
        <w:t>, Robert Half</w:t>
      </w:r>
      <w:r>
        <w:rPr>
          <w:rFonts w:hint="default"/>
          <w:color w:val="auto"/>
          <w:lang w:val="en-US"/>
        </w:rPr>
        <w:t>(24)</w:t>
      </w:r>
      <w:r>
        <w:rPr>
          <w:color w:val="auto"/>
        </w:rPr>
        <w:t>, and Tenth Revolution Group</w:t>
      </w:r>
      <w:r>
        <w:rPr>
          <w:rFonts w:hint="default"/>
          <w:color w:val="auto"/>
          <w:lang w:val="en-US"/>
        </w:rPr>
        <w:t>(23)</w:t>
      </w:r>
    </w:p>
    <w:p>
      <w:pPr>
        <w:pStyle w:val="168"/>
      </w:pPr>
      <w:r>
        <w:t>Work Flexibility</w:t>
      </w:r>
    </w:p>
    <w:p>
      <w:pPr>
        <w:pStyle w:val="170"/>
        <w:rPr>
          <w:color w:val="auto"/>
        </w:rPr>
      </w:pPr>
      <w:r>
        <w:rPr>
          <w:color w:val="auto"/>
        </w:rPr>
        <w:t>Hybrid roles: 25.1%.</w:t>
      </w:r>
    </w:p>
    <w:p>
      <w:pPr>
        <w:pStyle w:val="170"/>
        <w:rPr>
          <w:color w:val="auto"/>
        </w:rPr>
      </w:pPr>
      <w:r>
        <w:rPr>
          <w:color w:val="auto"/>
        </w:rPr>
        <w:t>Remote roles: 5.3%.</w:t>
      </w:r>
    </w:p>
    <w:p>
      <w:pPr>
        <w:pStyle w:val="170"/>
        <w:rPr>
          <w:color w:val="auto"/>
        </w:rPr>
      </w:pPr>
      <w:r>
        <w:rPr>
          <w:color w:val="auto"/>
        </w:rPr>
        <w:t>→ Hybrid jobs are significantly more common than remote-only options.</w:t>
      </w:r>
    </w:p>
    <w:p>
      <w:pPr>
        <w:pStyle w:val="168"/>
      </w:pPr>
      <w:r>
        <w:t>Application Trends</w:t>
      </w:r>
    </w:p>
    <w:p>
      <w:pPr>
        <w:pStyle w:val="170"/>
        <w:rPr>
          <w:color w:val="auto"/>
        </w:rPr>
      </w:pPr>
      <w:r>
        <w:rPr>
          <w:color w:val="auto"/>
        </w:rPr>
        <w:t>Most applied job: IT Support Analyst at GroupNexus (563 applications).</w:t>
      </w:r>
    </w:p>
    <w:p>
      <w:pPr>
        <w:pStyle w:val="170"/>
        <w:rPr>
          <w:color w:val="auto"/>
        </w:rPr>
      </w:pPr>
      <w:r>
        <w:rPr>
          <w:color w:val="auto"/>
        </w:rPr>
        <w:t>Least applied job: Leasing Decision Tree Analyst at Santander Consumer Finance (0 applications).</w:t>
      </w:r>
    </w:p>
    <w:p>
      <w:pPr>
        <w:pStyle w:val="170"/>
        <w:rPr>
          <w:color w:val="auto"/>
        </w:rPr>
      </w:pPr>
      <w:r>
        <w:rPr>
          <w:color w:val="auto"/>
        </w:rPr>
        <w:t>Average applications per job: 49.45.</w:t>
      </w:r>
    </w:p>
    <w:p>
      <w:pPr>
        <w:pStyle w:val="170"/>
        <w:rPr>
          <w:color w:val="auto"/>
        </w:rPr>
      </w:pPr>
      <w:r>
        <w:rPr>
          <w:color w:val="auto"/>
        </w:rPr>
        <w:t>→ Competition varies widely by role and timing.</w:t>
      </w:r>
    </w:p>
    <w:p>
      <w:pPr>
        <w:pStyle w:val="168"/>
      </w:pPr>
    </w:p>
    <w:p>
      <w:pPr>
        <w:pStyle w:val="168"/>
      </w:pPr>
      <w:r>
        <w:t>Top Locations for Job Listings</w:t>
      </w:r>
    </w:p>
    <w:p>
      <w:pPr>
        <w:pStyle w:val="170"/>
        <w:rPr>
          <w:rFonts w:hint="default"/>
          <w:lang w:val="en-US"/>
        </w:rPr>
      </w:pPr>
      <w:r>
        <w:rPr>
          <w:rFonts w:hint="default"/>
          <w:lang w:val="en-US"/>
        </w:rPr>
        <w:drawing>
          <wp:inline distT="0" distB="0" distL="114300" distR="114300">
            <wp:extent cx="5484495" cy="3702050"/>
            <wp:effectExtent l="0" t="0" r="1905" b="12700"/>
            <wp:docPr id="1" name="Picture 1" descr="output_12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utput_12_0"/>
                    <pic:cNvPicPr>
                      <a:picLocks noChangeAspect="1"/>
                    </pic:cNvPicPr>
                  </pic:nvPicPr>
                  <pic:blipFill>
                    <a:blip r:embed="rId6"/>
                    <a:stretch>
                      <a:fillRect/>
                    </a:stretch>
                  </pic:blipFill>
                  <pic:spPr>
                    <a:xfrm>
                      <a:off x="0" y="0"/>
                      <a:ext cx="5484495" cy="3702050"/>
                    </a:xfrm>
                    <a:prstGeom prst="rect">
                      <a:avLst/>
                    </a:prstGeom>
                  </pic:spPr>
                </pic:pic>
              </a:graphicData>
            </a:graphic>
          </wp:inline>
        </w:drawing>
      </w:r>
    </w:p>
    <w:p>
      <w:pPr>
        <w:pStyle w:val="168"/>
      </w:pPr>
      <w:r>
        <w:t>T</w:t>
      </w:r>
      <w:r>
        <w:rPr>
          <w:rFonts w:hint="default"/>
        </w:rPr>
        <w:t>op UK Locations by Average Salary</w:t>
      </w:r>
    </w:p>
    <w:p>
      <w:pPr>
        <w:pStyle w:val="169"/>
        <w:rPr>
          <w:rFonts w:hint="default"/>
          <w:lang w:val="en-US"/>
        </w:rPr>
      </w:pPr>
      <w:r>
        <w:rPr>
          <w:rFonts w:hint="default"/>
          <w:lang w:val="en-US"/>
        </w:rPr>
        <w:drawing>
          <wp:inline distT="0" distB="0" distL="114300" distR="114300">
            <wp:extent cx="5480685" cy="3269615"/>
            <wp:effectExtent l="0" t="0" r="5715" b="6985"/>
            <wp:docPr id="5" name="Picture 5"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ownload"/>
                    <pic:cNvPicPr>
                      <a:picLocks noChangeAspect="1"/>
                    </pic:cNvPicPr>
                  </pic:nvPicPr>
                  <pic:blipFill>
                    <a:blip r:embed="rId7"/>
                    <a:stretch>
                      <a:fillRect/>
                    </a:stretch>
                  </pic:blipFill>
                  <pic:spPr>
                    <a:xfrm>
                      <a:off x="0" y="0"/>
                      <a:ext cx="5480685" cy="3269615"/>
                    </a:xfrm>
                    <a:prstGeom prst="rect">
                      <a:avLst/>
                    </a:prstGeom>
                  </pic:spPr>
                </pic:pic>
              </a:graphicData>
            </a:graphic>
          </wp:inline>
        </w:drawing>
      </w:r>
    </w:p>
    <w:p>
      <w:pPr>
        <w:pStyle w:val="168"/>
      </w:pPr>
    </w:p>
    <w:p>
      <w:pPr>
        <w:pStyle w:val="168"/>
      </w:pPr>
      <w:r>
        <w:t>T</w:t>
      </w:r>
      <w:r>
        <w:rPr>
          <w:rFonts w:hint="default"/>
        </w:rPr>
        <w:t>op 15 Employers by Average Salary</w:t>
      </w:r>
    </w:p>
    <w:p>
      <w:pPr>
        <w:pStyle w:val="169"/>
        <w:rPr>
          <w:rFonts w:hint="default"/>
          <w:lang w:val="en-US"/>
        </w:rPr>
      </w:pPr>
      <w:r>
        <w:rPr>
          <w:rFonts w:hint="default"/>
          <w:lang w:val="en-US"/>
        </w:rPr>
        <w:drawing>
          <wp:inline distT="0" distB="0" distL="114300" distR="114300">
            <wp:extent cx="5479415" cy="3438525"/>
            <wp:effectExtent l="0" t="0" r="6985" b="9525"/>
            <wp:docPr id="2" name="Picture 2" descr="output_19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utput_19_0"/>
                    <pic:cNvPicPr>
                      <a:picLocks noChangeAspect="1"/>
                    </pic:cNvPicPr>
                  </pic:nvPicPr>
                  <pic:blipFill>
                    <a:blip r:embed="rId8"/>
                    <a:stretch>
                      <a:fillRect/>
                    </a:stretch>
                  </pic:blipFill>
                  <pic:spPr>
                    <a:xfrm>
                      <a:off x="0" y="0"/>
                      <a:ext cx="5479415" cy="3438525"/>
                    </a:xfrm>
                    <a:prstGeom prst="rect">
                      <a:avLst/>
                    </a:prstGeom>
                  </pic:spPr>
                </pic:pic>
              </a:graphicData>
            </a:graphic>
          </wp:inline>
        </w:drawing>
      </w:r>
    </w:p>
    <w:p>
      <w:pPr>
        <w:pStyle w:val="168"/>
      </w:pPr>
      <w:r>
        <w:t>Job Age vs Applications</w:t>
      </w:r>
    </w:p>
    <w:p>
      <w:pPr>
        <w:pStyle w:val="169"/>
      </w:pPr>
      <w:r>
        <w:rPr>
          <w:rFonts w:hint="default"/>
          <w:lang w:val="en-US"/>
        </w:rPr>
        <w:drawing>
          <wp:inline distT="0" distB="0" distL="114300" distR="114300">
            <wp:extent cx="5480685" cy="3554730"/>
            <wp:effectExtent l="0" t="0" r="5715" b="7620"/>
            <wp:docPr id="4" name="Picture 4" descr="output_13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output_13_0"/>
                    <pic:cNvPicPr>
                      <a:picLocks noChangeAspect="1"/>
                    </pic:cNvPicPr>
                  </pic:nvPicPr>
                  <pic:blipFill>
                    <a:blip r:embed="rId9"/>
                    <a:stretch>
                      <a:fillRect/>
                    </a:stretch>
                  </pic:blipFill>
                  <pic:spPr>
                    <a:xfrm>
                      <a:off x="0" y="0"/>
                      <a:ext cx="5480685" cy="3554730"/>
                    </a:xfrm>
                    <a:prstGeom prst="rect">
                      <a:avLst/>
                    </a:prstGeom>
                  </pic:spPr>
                </pic:pic>
              </a:graphicData>
            </a:graphic>
          </wp:inline>
        </w:drawing>
      </w:r>
    </w:p>
    <w:p>
      <w:pPr>
        <w:pStyle w:val="168"/>
      </w:pPr>
      <w:r>
        <w:t>Job Posting Age</w:t>
      </w:r>
    </w:p>
    <w:p>
      <w:pPr>
        <w:pStyle w:val="169"/>
        <w:rPr>
          <w:rFonts w:hint="default"/>
          <w:lang w:val="en-US"/>
        </w:rPr>
      </w:pPr>
      <w:r>
        <w:rPr>
          <w:rFonts w:hint="default"/>
          <w:lang w:val="en-US"/>
        </w:rPr>
        <w:drawing>
          <wp:inline distT="0" distB="0" distL="114300" distR="114300">
            <wp:extent cx="5480685" cy="3269615"/>
            <wp:effectExtent l="0" t="0" r="5715" b="6985"/>
            <wp:docPr id="3" name="Picture 3" descr="output_2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output_24_1"/>
                    <pic:cNvPicPr>
                      <a:picLocks noChangeAspect="1"/>
                    </pic:cNvPicPr>
                  </pic:nvPicPr>
                  <pic:blipFill>
                    <a:blip r:embed="rId10"/>
                    <a:stretch>
                      <a:fillRect/>
                    </a:stretch>
                  </pic:blipFill>
                  <pic:spPr>
                    <a:xfrm>
                      <a:off x="0" y="0"/>
                      <a:ext cx="5480685" cy="3269615"/>
                    </a:xfrm>
                    <a:prstGeom prst="rect">
                      <a:avLst/>
                    </a:prstGeom>
                  </pic:spPr>
                </pic:pic>
              </a:graphicData>
            </a:graphic>
          </wp:inline>
        </w:drawing>
      </w:r>
    </w:p>
    <w:p>
      <w:pPr>
        <w:pStyle w:val="168"/>
      </w:pPr>
      <w:r>
        <w:t>Hidden Opportunities</w:t>
      </w:r>
    </w:p>
    <w:p>
      <w:pPr>
        <w:pStyle w:val="168"/>
        <w:rPr>
          <w:rFonts w:hint="default"/>
          <w:lang w:val="en-US"/>
        </w:rPr>
      </w:pPr>
      <w:r>
        <w:rPr>
          <w:rFonts w:hint="default"/>
          <w:lang w:val="en-US"/>
        </w:rPr>
        <w:drawing>
          <wp:inline distT="0" distB="0" distL="114300" distR="114300">
            <wp:extent cx="5480685" cy="3269615"/>
            <wp:effectExtent l="0" t="0" r="5715" b="6985"/>
            <wp:docPr id="6" name="Picture 6" descr="output_20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output_20_0"/>
                    <pic:cNvPicPr>
                      <a:picLocks noChangeAspect="1"/>
                    </pic:cNvPicPr>
                  </pic:nvPicPr>
                  <pic:blipFill>
                    <a:blip r:embed="rId11"/>
                    <a:stretch>
                      <a:fillRect/>
                    </a:stretch>
                  </pic:blipFill>
                  <pic:spPr>
                    <a:xfrm>
                      <a:off x="0" y="0"/>
                      <a:ext cx="5480685" cy="3269615"/>
                    </a:xfrm>
                    <a:prstGeom prst="rect">
                      <a:avLst/>
                    </a:prstGeom>
                  </pic:spPr>
                </pic:pic>
              </a:graphicData>
            </a:graphic>
          </wp:inline>
        </w:drawing>
      </w:r>
    </w:p>
    <w:p>
      <w:pPr>
        <w:pStyle w:val="168"/>
      </w:pPr>
    </w:p>
    <w:p>
      <w:pPr>
        <w:pStyle w:val="168"/>
      </w:pPr>
      <w:r>
        <w:t>Correlation Insights</w:t>
      </w:r>
    </w:p>
    <w:p>
      <w:pPr>
        <w:pStyle w:val="170"/>
        <w:bidi w:val="0"/>
        <w:rPr>
          <w:rFonts w:hint="default"/>
          <w:color w:val="auto"/>
        </w:rPr>
      </w:pPr>
      <w:r>
        <w:rPr>
          <w:rFonts w:hint="default"/>
          <w:b/>
          <w:bCs/>
          <w:color w:val="auto"/>
        </w:rPr>
        <w:t>Salary vs Applications:</w:t>
      </w:r>
      <w:r>
        <w:rPr>
          <w:rFonts w:hint="default"/>
          <w:color w:val="auto"/>
        </w:rPr>
        <w:t xml:space="preserve"> A weak negative correlation (-0.058) suggests that higher-paying jobs don't necessarily attract more applications.</w:t>
      </w:r>
    </w:p>
    <w:p>
      <w:pPr>
        <w:pStyle w:val="170"/>
        <w:bidi w:val="0"/>
        <w:rPr>
          <w:rFonts w:hint="default"/>
          <w:color w:val="auto"/>
        </w:rPr>
      </w:pPr>
      <w:r>
        <w:rPr>
          <w:rFonts w:hint="default"/>
          <w:b/>
          <w:bCs/>
          <w:color w:val="auto"/>
        </w:rPr>
        <w:t>Job Age vs Applications:</w:t>
      </w:r>
      <w:r>
        <w:rPr>
          <w:rFonts w:hint="default"/>
          <w:color w:val="auto"/>
        </w:rPr>
        <w:t xml:space="preserve"> A moderate positive correlation (0.40) indicates that older job postings tend to receive more applications over time.</w:t>
      </w:r>
    </w:p>
    <w:p>
      <w:pPr>
        <w:pStyle w:val="170"/>
        <w:bidi w:val="0"/>
        <w:rPr>
          <w:rFonts w:hint="default"/>
          <w:color w:val="auto"/>
        </w:rPr>
      </w:pPr>
      <w:r>
        <w:rPr>
          <w:rFonts w:hint="default"/>
          <w:b/>
          <w:bCs/>
          <w:color w:val="auto"/>
        </w:rPr>
        <w:t>Salary vs Job Age:</w:t>
      </w:r>
      <w:r>
        <w:rPr>
          <w:rFonts w:hint="default"/>
          <w:color w:val="auto"/>
        </w:rPr>
        <w:t xml:space="preserve"> No significant correlation (0.03), meaning job age doesn’t influence the salary offered.</w:t>
      </w:r>
    </w:p>
    <w:p>
      <w:pPr>
        <w:pStyle w:val="168"/>
      </w:pPr>
    </w:p>
    <w:p>
      <w:pPr>
        <w:pStyle w:val="20"/>
        <w:keepNext w:val="0"/>
        <w:keepLines w:val="0"/>
        <w:widowControl/>
        <w:suppressLineNumbers w:val="0"/>
        <w:pBdr>
          <w:top w:val="none" w:color="auto" w:sz="0" w:space="0"/>
          <w:left w:val="none" w:color="auto" w:sz="0" w:space="0"/>
          <w:bottom w:val="none" w:color="auto" w:sz="0" w:space="0"/>
          <w:right w:val="none" w:color="auto" w:sz="0" w:space="0"/>
        </w:pBdr>
        <w:shd w:val="clear" w:fill="111111"/>
        <w:wordWrap w:val="0"/>
        <w:spacing w:before="0" w:beforeAutospacing="0" w:after="0" w:afterAutospacing="0"/>
        <w:ind w:left="0" w:right="0" w:firstLine="0"/>
        <w:jc w:val="left"/>
        <w:rPr>
          <w:rFonts w:hint="default" w:ascii="var(--jp-code-font-family)" w:hAnsi="var(--jp-code-font-family)" w:eastAsia="var(--jp-code-font-family)" w:cs="var(--jp-code-font-family)"/>
          <w:i w:val="0"/>
          <w:iCs w:val="0"/>
          <w:caps w:val="0"/>
          <w:spacing w:val="0"/>
          <w:sz w:val="19"/>
          <w:szCs w:val="19"/>
          <w:bdr w:val="none" w:color="auto" w:sz="0" w:space="0"/>
          <w:shd w:val="clear" w:fill="111111"/>
        </w:rPr>
      </w:pPr>
      <w:r>
        <w:rPr>
          <w:rFonts w:hint="default" w:ascii="var(--jp-code-font-family)" w:hAnsi="var(--jp-code-font-family)" w:eastAsia="var(--jp-code-font-family)" w:cs="var(--jp-code-font-family)"/>
          <w:i w:val="0"/>
          <w:iCs w:val="0"/>
          <w:caps w:val="0"/>
          <w:spacing w:val="0"/>
          <w:sz w:val="19"/>
          <w:szCs w:val="19"/>
          <w:bdr w:val="none" w:color="auto" w:sz="0" w:space="0"/>
          <w:shd w:val="clear" w:fill="111111"/>
          <w:lang w:val="en-US"/>
        </w:rPr>
        <w:tab/>
        <w:t xml:space="preserve">         </w:t>
      </w:r>
      <w:r>
        <w:rPr>
          <w:rFonts w:hint="default" w:ascii="var(--jp-code-font-family)" w:hAnsi="var(--jp-code-font-family)" w:eastAsia="var(--jp-code-font-family)" w:cs="var(--jp-code-font-family)"/>
          <w:i w:val="0"/>
          <w:iCs w:val="0"/>
          <w:caps w:val="0"/>
          <w:spacing w:val="0"/>
          <w:sz w:val="19"/>
          <w:szCs w:val="19"/>
          <w:bdr w:val="none" w:color="auto" w:sz="0" w:space="0"/>
          <w:shd w:val="clear" w:fill="111111"/>
        </w:rPr>
        <w:t xml:space="preserve">salaryAvg  </w:t>
      </w:r>
      <w:r>
        <w:rPr>
          <w:rFonts w:hint="default" w:ascii="var(--jp-code-font-family)" w:hAnsi="var(--jp-code-font-family)" w:eastAsia="var(--jp-code-font-family)" w:cs="var(--jp-code-font-family)"/>
          <w:i w:val="0"/>
          <w:iCs w:val="0"/>
          <w:caps w:val="0"/>
          <w:spacing w:val="0"/>
          <w:sz w:val="19"/>
          <w:szCs w:val="19"/>
          <w:bdr w:val="none" w:color="auto" w:sz="0" w:space="0"/>
          <w:shd w:val="clear" w:fill="111111"/>
          <w:lang w:val="en-US"/>
        </w:rPr>
        <w:t xml:space="preserve">      </w:t>
      </w:r>
      <w:r>
        <w:rPr>
          <w:rFonts w:hint="default" w:ascii="var(--jp-code-font-family)" w:hAnsi="var(--jp-code-font-family)" w:eastAsia="var(--jp-code-font-family)" w:cs="var(--jp-code-font-family)"/>
          <w:i w:val="0"/>
          <w:iCs w:val="0"/>
          <w:caps w:val="0"/>
          <w:spacing w:val="0"/>
          <w:sz w:val="19"/>
          <w:szCs w:val="19"/>
          <w:bdr w:val="none" w:color="auto" w:sz="0" w:space="0"/>
          <w:shd w:val="clear" w:fill="111111"/>
        </w:rPr>
        <w:t xml:space="preserve">jobAgeDays </w:t>
      </w:r>
      <w:r>
        <w:rPr>
          <w:rFonts w:hint="default" w:ascii="var(--jp-code-font-family)" w:hAnsi="var(--jp-code-font-family)" w:eastAsia="var(--jp-code-font-family)" w:cs="var(--jp-code-font-family)"/>
          <w:i w:val="0"/>
          <w:iCs w:val="0"/>
          <w:caps w:val="0"/>
          <w:spacing w:val="0"/>
          <w:sz w:val="19"/>
          <w:szCs w:val="19"/>
          <w:bdr w:val="none" w:color="auto" w:sz="0" w:space="0"/>
          <w:shd w:val="clear" w:fill="111111"/>
          <w:lang w:val="en-US"/>
        </w:rPr>
        <w:t xml:space="preserve">    </w:t>
      </w:r>
      <w:r>
        <w:rPr>
          <w:rFonts w:hint="default" w:ascii="var(--jp-code-font-family)" w:hAnsi="var(--jp-code-font-family)" w:eastAsia="var(--jp-code-font-family)" w:cs="var(--jp-code-font-family)"/>
          <w:i w:val="0"/>
          <w:iCs w:val="0"/>
          <w:caps w:val="0"/>
          <w:spacing w:val="0"/>
          <w:sz w:val="19"/>
          <w:szCs w:val="19"/>
          <w:bdr w:val="none" w:color="auto" w:sz="0" w:space="0"/>
          <w:shd w:val="clear" w:fill="111111"/>
        </w:rPr>
        <w:t xml:space="preserve"> applications</w:t>
      </w:r>
    </w:p>
    <w:p>
      <w:pPr>
        <w:pStyle w:val="20"/>
        <w:keepNext w:val="0"/>
        <w:keepLines w:val="0"/>
        <w:widowControl/>
        <w:suppressLineNumbers w:val="0"/>
        <w:pBdr>
          <w:top w:val="none" w:color="auto" w:sz="0" w:space="0"/>
          <w:left w:val="none" w:color="auto" w:sz="0" w:space="0"/>
          <w:bottom w:val="none" w:color="auto" w:sz="0" w:space="0"/>
          <w:right w:val="none" w:color="auto" w:sz="0" w:space="0"/>
        </w:pBdr>
        <w:shd w:val="clear" w:fill="111111"/>
        <w:wordWrap w:val="0"/>
        <w:spacing w:before="0" w:beforeAutospacing="0" w:after="0" w:afterAutospacing="0"/>
        <w:ind w:left="0" w:right="0" w:firstLine="0"/>
        <w:jc w:val="left"/>
        <w:rPr>
          <w:rFonts w:hint="default" w:ascii="var(--jp-code-font-family)" w:hAnsi="var(--jp-code-font-family)" w:eastAsia="var(--jp-code-font-family)" w:cs="var(--jp-code-font-family)"/>
          <w:i w:val="0"/>
          <w:iCs w:val="0"/>
          <w:caps w:val="0"/>
          <w:spacing w:val="0"/>
          <w:sz w:val="19"/>
          <w:szCs w:val="19"/>
          <w:bdr w:val="none" w:color="auto" w:sz="0" w:space="0"/>
          <w:shd w:val="clear" w:fill="111111"/>
        </w:rPr>
      </w:pPr>
      <w:r>
        <w:rPr>
          <w:rFonts w:hint="default" w:ascii="var(--jp-code-font-family)" w:hAnsi="var(--jp-code-font-family)" w:eastAsia="var(--jp-code-font-family)" w:cs="var(--jp-code-font-family)"/>
          <w:i w:val="0"/>
          <w:iCs w:val="0"/>
          <w:caps w:val="0"/>
          <w:spacing w:val="0"/>
          <w:sz w:val="19"/>
          <w:szCs w:val="19"/>
          <w:bdr w:val="none" w:color="auto" w:sz="0" w:space="0"/>
          <w:shd w:val="clear" w:fill="111111"/>
        </w:rPr>
        <w:t xml:space="preserve">salaryAvg      </w:t>
      </w:r>
      <w:r>
        <w:rPr>
          <w:rFonts w:hint="default" w:ascii="var(--jp-code-font-family)" w:hAnsi="var(--jp-code-font-family)" w:eastAsia="var(--jp-code-font-family)" w:cs="var(--jp-code-font-family)"/>
          <w:i w:val="0"/>
          <w:iCs w:val="0"/>
          <w:caps w:val="0"/>
          <w:spacing w:val="0"/>
          <w:sz w:val="19"/>
          <w:szCs w:val="19"/>
          <w:bdr w:val="none" w:color="auto" w:sz="0" w:space="0"/>
          <w:shd w:val="clear" w:fill="111111"/>
          <w:lang w:val="en-US"/>
        </w:rPr>
        <w:t xml:space="preserve">  </w:t>
      </w:r>
      <w:r>
        <w:rPr>
          <w:rFonts w:hint="default" w:ascii="var(--jp-code-font-family)" w:hAnsi="var(--jp-code-font-family)" w:eastAsia="var(--jp-code-font-family)" w:cs="var(--jp-code-font-family)"/>
          <w:i w:val="0"/>
          <w:iCs w:val="0"/>
          <w:caps w:val="0"/>
          <w:spacing w:val="0"/>
          <w:sz w:val="19"/>
          <w:szCs w:val="19"/>
          <w:bdr w:val="none" w:color="auto" w:sz="0" w:space="0"/>
          <w:shd w:val="clear" w:fill="111111"/>
        </w:rPr>
        <w:t xml:space="preserve">1.000000   </w:t>
      </w:r>
      <w:r>
        <w:rPr>
          <w:rFonts w:hint="default" w:ascii="var(--jp-code-font-family)" w:hAnsi="var(--jp-code-font-family)" w:eastAsia="var(--jp-code-font-family)" w:cs="var(--jp-code-font-family)"/>
          <w:i w:val="0"/>
          <w:iCs w:val="0"/>
          <w:caps w:val="0"/>
          <w:spacing w:val="0"/>
          <w:sz w:val="19"/>
          <w:szCs w:val="19"/>
          <w:bdr w:val="none" w:color="auto" w:sz="0" w:space="0"/>
          <w:shd w:val="clear" w:fill="111111"/>
          <w:lang w:val="en-US"/>
        </w:rPr>
        <w:t xml:space="preserve">      </w:t>
      </w:r>
      <w:r>
        <w:rPr>
          <w:rFonts w:hint="default" w:ascii="var(--jp-code-font-family)" w:hAnsi="var(--jp-code-font-family)" w:eastAsia="var(--jp-code-font-family)" w:cs="var(--jp-code-font-family)"/>
          <w:i w:val="0"/>
          <w:iCs w:val="0"/>
          <w:caps w:val="0"/>
          <w:spacing w:val="0"/>
          <w:sz w:val="19"/>
          <w:szCs w:val="19"/>
          <w:bdr w:val="none" w:color="auto" w:sz="0" w:space="0"/>
          <w:shd w:val="clear" w:fill="111111"/>
        </w:rPr>
        <w:t xml:space="preserve"> 0.033179    </w:t>
      </w:r>
      <w:r>
        <w:rPr>
          <w:rFonts w:hint="default" w:ascii="var(--jp-code-font-family)" w:hAnsi="var(--jp-code-font-family)" w:eastAsia="var(--jp-code-font-family)" w:cs="var(--jp-code-font-family)"/>
          <w:i w:val="0"/>
          <w:iCs w:val="0"/>
          <w:caps w:val="0"/>
          <w:spacing w:val="0"/>
          <w:sz w:val="19"/>
          <w:szCs w:val="19"/>
          <w:bdr w:val="none" w:color="auto" w:sz="0" w:space="0"/>
          <w:shd w:val="clear" w:fill="111111"/>
          <w:lang w:val="en-US"/>
        </w:rPr>
        <w:t xml:space="preserve">      </w:t>
      </w:r>
      <w:r>
        <w:rPr>
          <w:rFonts w:hint="default" w:ascii="var(--jp-code-font-family)" w:hAnsi="var(--jp-code-font-family)" w:eastAsia="var(--jp-code-font-family)" w:cs="var(--jp-code-font-family)"/>
          <w:i w:val="0"/>
          <w:iCs w:val="0"/>
          <w:caps w:val="0"/>
          <w:spacing w:val="0"/>
          <w:sz w:val="19"/>
          <w:szCs w:val="19"/>
          <w:bdr w:val="none" w:color="auto" w:sz="0" w:space="0"/>
          <w:shd w:val="clear" w:fill="111111"/>
        </w:rPr>
        <w:t xml:space="preserve"> -0.057870</w:t>
      </w:r>
    </w:p>
    <w:p>
      <w:pPr>
        <w:pStyle w:val="20"/>
        <w:keepNext w:val="0"/>
        <w:keepLines w:val="0"/>
        <w:widowControl/>
        <w:suppressLineNumbers w:val="0"/>
        <w:pBdr>
          <w:top w:val="none" w:color="auto" w:sz="0" w:space="0"/>
          <w:left w:val="none" w:color="auto" w:sz="0" w:space="0"/>
          <w:bottom w:val="none" w:color="auto" w:sz="0" w:space="0"/>
          <w:right w:val="none" w:color="auto" w:sz="0" w:space="0"/>
        </w:pBdr>
        <w:shd w:val="clear" w:fill="111111"/>
        <w:wordWrap w:val="0"/>
        <w:spacing w:before="0" w:beforeAutospacing="0" w:after="0" w:afterAutospacing="0"/>
        <w:ind w:left="0" w:right="0" w:firstLine="0"/>
        <w:jc w:val="left"/>
        <w:rPr>
          <w:rFonts w:hint="default" w:ascii="var(--jp-code-font-family)" w:hAnsi="var(--jp-code-font-family)" w:eastAsia="var(--jp-code-font-family)" w:cs="var(--jp-code-font-family)"/>
          <w:i w:val="0"/>
          <w:iCs w:val="0"/>
          <w:caps w:val="0"/>
          <w:spacing w:val="0"/>
          <w:sz w:val="19"/>
          <w:szCs w:val="19"/>
          <w:bdr w:val="none" w:color="auto" w:sz="0" w:space="0"/>
          <w:shd w:val="clear" w:fill="111111"/>
        </w:rPr>
      </w:pPr>
      <w:r>
        <w:rPr>
          <w:rFonts w:hint="default" w:ascii="var(--jp-code-font-family)" w:hAnsi="var(--jp-code-font-family)" w:eastAsia="var(--jp-code-font-family)" w:cs="var(--jp-code-font-family)"/>
          <w:i w:val="0"/>
          <w:iCs w:val="0"/>
          <w:caps w:val="0"/>
          <w:spacing w:val="0"/>
          <w:sz w:val="19"/>
          <w:szCs w:val="19"/>
          <w:bdr w:val="none" w:color="auto" w:sz="0" w:space="0"/>
          <w:shd w:val="clear" w:fill="111111"/>
        </w:rPr>
        <w:t xml:space="preserve">jobAgeDays    </w:t>
      </w:r>
      <w:r>
        <w:rPr>
          <w:rFonts w:hint="default" w:ascii="var(--jp-code-font-family)" w:hAnsi="var(--jp-code-font-family)" w:eastAsia="var(--jp-code-font-family)" w:cs="var(--jp-code-font-family)"/>
          <w:i w:val="0"/>
          <w:iCs w:val="0"/>
          <w:caps w:val="0"/>
          <w:spacing w:val="0"/>
          <w:sz w:val="19"/>
          <w:szCs w:val="19"/>
          <w:bdr w:val="none" w:color="auto" w:sz="0" w:space="0"/>
          <w:shd w:val="clear" w:fill="111111"/>
          <w:lang w:val="en-US"/>
        </w:rPr>
        <w:t xml:space="preserve"> </w:t>
      </w:r>
      <w:r>
        <w:rPr>
          <w:rFonts w:hint="default" w:ascii="var(--jp-code-font-family)" w:hAnsi="var(--jp-code-font-family)" w:eastAsia="var(--jp-code-font-family)" w:cs="var(--jp-code-font-family)"/>
          <w:i w:val="0"/>
          <w:iCs w:val="0"/>
          <w:caps w:val="0"/>
          <w:spacing w:val="0"/>
          <w:sz w:val="19"/>
          <w:szCs w:val="19"/>
          <w:bdr w:val="none" w:color="auto" w:sz="0" w:space="0"/>
          <w:shd w:val="clear" w:fill="111111"/>
        </w:rPr>
        <w:t xml:space="preserve"> 0.033179    </w:t>
      </w:r>
      <w:r>
        <w:rPr>
          <w:rFonts w:hint="default" w:ascii="var(--jp-code-font-family)" w:hAnsi="var(--jp-code-font-family)" w:eastAsia="var(--jp-code-font-family)" w:cs="var(--jp-code-font-family)"/>
          <w:i w:val="0"/>
          <w:iCs w:val="0"/>
          <w:caps w:val="0"/>
          <w:spacing w:val="0"/>
          <w:sz w:val="19"/>
          <w:szCs w:val="19"/>
          <w:bdr w:val="none" w:color="auto" w:sz="0" w:space="0"/>
          <w:shd w:val="clear" w:fill="111111"/>
          <w:lang w:val="en-US"/>
        </w:rPr>
        <w:t xml:space="preserve">      </w:t>
      </w:r>
      <w:r>
        <w:rPr>
          <w:rFonts w:hint="default" w:ascii="var(--jp-code-font-family)" w:hAnsi="var(--jp-code-font-family)" w:eastAsia="var(--jp-code-font-family)" w:cs="var(--jp-code-font-family)"/>
          <w:i w:val="0"/>
          <w:iCs w:val="0"/>
          <w:caps w:val="0"/>
          <w:spacing w:val="0"/>
          <w:sz w:val="19"/>
          <w:szCs w:val="19"/>
          <w:bdr w:val="none" w:color="auto" w:sz="0" w:space="0"/>
          <w:shd w:val="clear" w:fill="111111"/>
        </w:rPr>
        <w:t xml:space="preserve">1.000000      </w:t>
      </w:r>
      <w:r>
        <w:rPr>
          <w:rFonts w:hint="default" w:ascii="var(--jp-code-font-family)" w:hAnsi="var(--jp-code-font-family)" w:eastAsia="var(--jp-code-font-family)" w:cs="var(--jp-code-font-family)"/>
          <w:i w:val="0"/>
          <w:iCs w:val="0"/>
          <w:caps w:val="0"/>
          <w:spacing w:val="0"/>
          <w:sz w:val="19"/>
          <w:szCs w:val="19"/>
          <w:bdr w:val="none" w:color="auto" w:sz="0" w:space="0"/>
          <w:shd w:val="clear" w:fill="111111"/>
          <w:lang w:val="en-US"/>
        </w:rPr>
        <w:t xml:space="preserve">      </w:t>
      </w:r>
      <w:r>
        <w:rPr>
          <w:rFonts w:hint="default" w:ascii="var(--jp-code-font-family)" w:hAnsi="var(--jp-code-font-family)" w:eastAsia="var(--jp-code-font-family)" w:cs="var(--jp-code-font-family)"/>
          <w:i w:val="0"/>
          <w:iCs w:val="0"/>
          <w:caps w:val="0"/>
          <w:spacing w:val="0"/>
          <w:sz w:val="19"/>
          <w:szCs w:val="19"/>
          <w:bdr w:val="none" w:color="auto" w:sz="0" w:space="0"/>
          <w:shd w:val="clear" w:fill="111111"/>
        </w:rPr>
        <w:t>0.400249</w:t>
      </w:r>
    </w:p>
    <w:p>
      <w:pPr>
        <w:pStyle w:val="20"/>
        <w:keepNext w:val="0"/>
        <w:keepLines w:val="0"/>
        <w:widowControl/>
        <w:suppressLineNumbers w:val="0"/>
        <w:pBdr>
          <w:top w:val="none" w:color="auto" w:sz="0" w:space="0"/>
          <w:left w:val="none" w:color="auto" w:sz="0" w:space="0"/>
          <w:bottom w:val="none" w:color="auto" w:sz="0" w:space="0"/>
          <w:right w:val="none" w:color="auto" w:sz="0" w:space="0"/>
        </w:pBdr>
        <w:shd w:val="clear" w:fill="111111"/>
        <w:wordWrap w:val="0"/>
        <w:spacing w:before="0" w:beforeAutospacing="0" w:after="0" w:afterAutospacing="0"/>
        <w:ind w:left="0" w:right="0" w:firstLine="0"/>
        <w:jc w:val="left"/>
        <w:rPr>
          <w:rFonts w:ascii="var(--jp-code-font-family)" w:hAnsi="var(--jp-code-font-family)" w:eastAsia="var(--jp-code-font-family)" w:cs="var(--jp-code-font-family)"/>
          <w:i w:val="0"/>
          <w:iCs w:val="0"/>
          <w:caps w:val="0"/>
          <w:spacing w:val="0"/>
          <w:sz w:val="19"/>
          <w:szCs w:val="19"/>
        </w:rPr>
      </w:pPr>
      <w:r>
        <w:rPr>
          <w:rFonts w:hint="default" w:ascii="var(--jp-code-font-family)" w:hAnsi="var(--jp-code-font-family)" w:eastAsia="var(--jp-code-font-family)" w:cs="var(--jp-code-font-family)"/>
          <w:i w:val="0"/>
          <w:iCs w:val="0"/>
          <w:caps w:val="0"/>
          <w:spacing w:val="0"/>
          <w:sz w:val="19"/>
          <w:szCs w:val="19"/>
          <w:bdr w:val="none" w:color="auto" w:sz="0" w:space="0"/>
          <w:shd w:val="clear" w:fill="111111"/>
        </w:rPr>
        <w:t xml:space="preserve">applications  -0.057870   </w:t>
      </w:r>
      <w:r>
        <w:rPr>
          <w:rFonts w:hint="default" w:ascii="var(--jp-code-font-family)" w:hAnsi="var(--jp-code-font-family)" w:eastAsia="var(--jp-code-font-family)" w:cs="var(--jp-code-font-family)"/>
          <w:i w:val="0"/>
          <w:iCs w:val="0"/>
          <w:caps w:val="0"/>
          <w:spacing w:val="0"/>
          <w:sz w:val="19"/>
          <w:szCs w:val="19"/>
          <w:bdr w:val="none" w:color="auto" w:sz="0" w:space="0"/>
          <w:shd w:val="clear" w:fill="111111"/>
          <w:lang w:val="en-US"/>
        </w:rPr>
        <w:t xml:space="preserve">     </w:t>
      </w:r>
      <w:r>
        <w:rPr>
          <w:rFonts w:hint="default" w:ascii="var(--jp-code-font-family)" w:hAnsi="var(--jp-code-font-family)" w:eastAsia="var(--jp-code-font-family)" w:cs="var(--jp-code-font-family)"/>
          <w:i w:val="0"/>
          <w:iCs w:val="0"/>
          <w:caps w:val="0"/>
          <w:spacing w:val="0"/>
          <w:sz w:val="19"/>
          <w:szCs w:val="19"/>
          <w:bdr w:val="none" w:color="auto" w:sz="0" w:space="0"/>
          <w:shd w:val="clear" w:fill="111111"/>
        </w:rPr>
        <w:t xml:space="preserve"> 0.400249     </w:t>
      </w:r>
      <w:r>
        <w:rPr>
          <w:rFonts w:hint="default" w:ascii="var(--jp-code-font-family)" w:hAnsi="var(--jp-code-font-family)" w:eastAsia="var(--jp-code-font-family)" w:cs="var(--jp-code-font-family)"/>
          <w:i w:val="0"/>
          <w:iCs w:val="0"/>
          <w:caps w:val="0"/>
          <w:spacing w:val="0"/>
          <w:sz w:val="19"/>
          <w:szCs w:val="19"/>
          <w:bdr w:val="none" w:color="auto" w:sz="0" w:space="0"/>
          <w:shd w:val="clear" w:fill="111111"/>
          <w:lang w:val="en-US"/>
        </w:rPr>
        <w:t xml:space="preserve">      </w:t>
      </w:r>
      <w:r>
        <w:rPr>
          <w:rFonts w:hint="default" w:ascii="var(--jp-code-font-family)" w:hAnsi="var(--jp-code-font-family)" w:eastAsia="var(--jp-code-font-family)" w:cs="var(--jp-code-font-family)"/>
          <w:i w:val="0"/>
          <w:iCs w:val="0"/>
          <w:caps w:val="0"/>
          <w:spacing w:val="0"/>
          <w:sz w:val="19"/>
          <w:szCs w:val="19"/>
          <w:bdr w:val="none" w:color="auto" w:sz="0" w:space="0"/>
          <w:shd w:val="clear" w:fill="111111"/>
        </w:rPr>
        <w:t xml:space="preserve"> 1.000000</w:t>
      </w:r>
    </w:p>
    <w:p>
      <w:pPr>
        <w:pStyle w:val="167"/>
      </w:pPr>
      <w:r>
        <w:t>6. Recommendations</w:t>
      </w:r>
    </w:p>
    <w:p>
      <w:pPr>
        <w:pStyle w:val="168"/>
      </w:pPr>
      <w:r>
        <w:t>For Job Seekers:</w:t>
      </w:r>
    </w:p>
    <w:p>
      <w:pPr>
        <w:pStyle w:val="170"/>
        <w:rPr>
          <w:color w:val="auto"/>
        </w:rPr>
      </w:pPr>
      <w:r>
        <w:rPr>
          <w:b/>
          <w:bCs/>
          <w:i/>
          <w:iCs/>
          <w:color w:val="auto"/>
        </w:rPr>
        <w:t>Apply early:</w:t>
      </w:r>
      <w:r>
        <w:rPr>
          <w:color w:val="auto"/>
        </w:rPr>
        <w:t xml:space="preserve"> 23% of jobs were posted within the last 7 days — acting quickly gives you a competitive edge.</w:t>
      </w:r>
    </w:p>
    <w:p>
      <w:pPr>
        <w:pStyle w:val="170"/>
        <w:rPr>
          <w:color w:val="auto"/>
        </w:rPr>
      </w:pPr>
      <w:r>
        <w:rPr>
          <w:b/>
          <w:bCs/>
          <w:color w:val="auto"/>
        </w:rPr>
        <w:t>Target high-paying companies:</w:t>
      </w:r>
      <w:r>
        <w:rPr>
          <w:color w:val="auto"/>
        </w:rPr>
        <w:t xml:space="preserve"> Focus on employers like Robert Walters, Spectrum IT, and Harnham.</w:t>
      </w:r>
    </w:p>
    <w:p>
      <w:pPr>
        <w:pStyle w:val="170"/>
        <w:rPr>
          <w:color w:val="auto"/>
        </w:rPr>
      </w:pPr>
      <w:r>
        <w:rPr>
          <w:b/>
          <w:bCs/>
          <w:color w:val="auto"/>
        </w:rPr>
        <w:t>Explore top locations:</w:t>
      </w:r>
      <w:r>
        <w:rPr>
          <w:color w:val="auto"/>
        </w:rPr>
        <w:t xml:space="preserve"> Consider areas with high salary averages like </w:t>
      </w:r>
      <w:r>
        <w:rPr>
          <w:rFonts w:hint="default"/>
          <w:color w:val="auto"/>
          <w:lang w:val="en-US"/>
        </w:rPr>
        <w:t>Manchester</w:t>
      </w:r>
      <w:r>
        <w:rPr>
          <w:color w:val="auto"/>
        </w:rPr>
        <w:t xml:space="preserve">, </w:t>
      </w:r>
      <w:r>
        <w:rPr>
          <w:rFonts w:hint="default"/>
          <w:color w:val="auto"/>
          <w:lang w:val="en-US"/>
        </w:rPr>
        <w:t>London</w:t>
      </w:r>
      <w:r>
        <w:rPr>
          <w:color w:val="auto"/>
        </w:rPr>
        <w:t xml:space="preserve">, and </w:t>
      </w:r>
      <w:r>
        <w:rPr>
          <w:rFonts w:hint="default"/>
          <w:color w:val="auto"/>
          <w:lang w:val="en-US"/>
        </w:rPr>
        <w:t>Solihul</w:t>
      </w:r>
      <w:r>
        <w:rPr>
          <w:color w:val="auto"/>
        </w:rPr>
        <w:t>.</w:t>
      </w:r>
    </w:p>
    <w:p>
      <w:pPr>
        <w:pStyle w:val="170"/>
        <w:rPr>
          <w:color w:val="auto"/>
        </w:rPr>
      </w:pPr>
      <w:r>
        <w:rPr>
          <w:b/>
          <w:bCs/>
          <w:color w:val="auto"/>
        </w:rPr>
        <w:t xml:space="preserve">Look for hidden gems: </w:t>
      </w:r>
      <w:r>
        <w:rPr>
          <w:color w:val="auto"/>
        </w:rPr>
        <w:t>Seek roles with above-average salaries but fewer applications to reduce competition.</w:t>
      </w:r>
    </w:p>
    <w:p>
      <w:pPr>
        <w:pStyle w:val="170"/>
        <w:rPr>
          <w:color w:val="auto"/>
        </w:rPr>
      </w:pPr>
      <w:r>
        <w:rPr>
          <w:b/>
          <w:bCs/>
          <w:color w:val="auto"/>
        </w:rPr>
        <w:t>Be flexible</w:t>
      </w:r>
      <w:r>
        <w:rPr>
          <w:color w:val="auto"/>
        </w:rPr>
        <w:t>: Hybrid roles are more prevalent (25%) than remote ones (7%) — take advantage of both.</w:t>
      </w:r>
    </w:p>
    <w:p>
      <w:pPr>
        <w:pStyle w:val="168"/>
      </w:pPr>
      <w:r>
        <w:t>For Recruiters and Hiring Managers:</w:t>
      </w:r>
    </w:p>
    <w:p>
      <w:pPr>
        <w:pStyle w:val="170"/>
        <w:rPr>
          <w:color w:val="auto"/>
        </w:rPr>
      </w:pPr>
      <w:r>
        <w:rPr>
          <w:b/>
          <w:bCs/>
          <w:color w:val="auto"/>
        </w:rPr>
        <w:t>Refresh older listings:</w:t>
      </w:r>
      <w:r>
        <w:rPr>
          <w:color w:val="auto"/>
        </w:rPr>
        <w:t xml:space="preserve"> Jobs older than 30 days often see more competition — reposting may boost visibility.</w:t>
      </w:r>
    </w:p>
    <w:p>
      <w:pPr>
        <w:pStyle w:val="170"/>
        <w:rPr>
          <w:color w:val="auto"/>
        </w:rPr>
      </w:pPr>
      <w:r>
        <w:rPr>
          <w:b/>
          <w:bCs/>
          <w:color w:val="auto"/>
        </w:rPr>
        <w:t>Benchmark salaries:</w:t>
      </w:r>
      <w:r>
        <w:rPr>
          <w:color w:val="auto"/>
        </w:rPr>
        <w:t xml:space="preserve"> Stay competitive by comparing offers with top-paying firms in your industry.</w:t>
      </w:r>
    </w:p>
    <w:p>
      <w:pPr>
        <w:pStyle w:val="170"/>
        <w:rPr>
          <w:color w:val="auto"/>
        </w:rPr>
      </w:pPr>
      <w:r>
        <w:rPr>
          <w:b/>
          <w:bCs/>
          <w:color w:val="auto"/>
        </w:rPr>
        <w:t>Promote flexibility:</w:t>
      </w:r>
      <w:r>
        <w:rPr>
          <w:color w:val="auto"/>
        </w:rPr>
        <w:t xml:space="preserve"> Hybrid options attract more applicants — consider emphasizing work style in job descriptions.</w:t>
      </w:r>
    </w:p>
    <w:p>
      <w:pPr>
        <w:pStyle w:val="170"/>
        <w:rPr>
          <w:color w:val="auto"/>
        </w:rPr>
      </w:pPr>
      <w:r>
        <w:rPr>
          <w:b/>
          <w:bCs/>
          <w:color w:val="auto"/>
        </w:rPr>
        <w:t>Re-evaluate low-response roles:</w:t>
      </w:r>
      <w:r>
        <w:rPr>
          <w:color w:val="auto"/>
        </w:rPr>
        <w:t xml:space="preserve"> If some listings get little attention, tweak the title, salary, or benefits.</w:t>
      </w:r>
    </w:p>
    <w:p>
      <w:pPr>
        <w:pStyle w:val="170"/>
        <w:rPr>
          <w:color w:val="auto"/>
        </w:rPr>
      </w:pPr>
      <w:r>
        <w:rPr>
          <w:b/>
          <w:bCs/>
          <w:color w:val="auto"/>
        </w:rPr>
        <w:t>Use data-backed insights:</w:t>
      </w:r>
      <w:r>
        <w:rPr>
          <w:color w:val="auto"/>
        </w:rPr>
        <w:t xml:space="preserve"> Correlation analysis can guide your posting strategies more effectively.</w:t>
      </w:r>
    </w:p>
    <w:p>
      <w:pPr>
        <w:pStyle w:val="167"/>
        <w:rPr>
          <w:color w:val="auto"/>
        </w:rPr>
      </w:pPr>
      <w:r>
        <w:t>7. Limitations</w:t>
      </w:r>
    </w:p>
    <w:p>
      <w:pPr>
        <w:pStyle w:val="34"/>
        <w:keepNext w:val="0"/>
        <w:keepLines w:val="0"/>
        <w:widowControl/>
        <w:suppressLineNumbers w:val="0"/>
        <w:rPr>
          <w:rFonts w:hint="default" w:asciiTheme="majorAscii" w:hAnsiTheme="majorAscii"/>
          <w:color w:val="auto"/>
          <w:sz w:val="22"/>
          <w:szCs w:val="22"/>
        </w:rPr>
      </w:pPr>
      <w:r>
        <w:rPr>
          <w:rFonts w:hint="default" w:asciiTheme="majorAscii" w:hAnsiTheme="majorAscii"/>
          <w:b/>
          <w:bCs/>
          <w:color w:val="auto"/>
          <w:sz w:val="22"/>
          <w:szCs w:val="22"/>
        </w:rPr>
        <w:t xml:space="preserve">Platform-Specific Data: </w:t>
      </w:r>
      <w:r>
        <w:rPr>
          <w:rFonts w:hint="default" w:asciiTheme="majorAscii" w:hAnsiTheme="majorAscii"/>
          <w:color w:val="auto"/>
          <w:sz w:val="22"/>
          <w:szCs w:val="22"/>
        </w:rPr>
        <w:t>Analysis is limited to Reed.co.uk and may not reflect trends across the broader UK job market or other platforms like LinkedIn or Indeed.</w:t>
      </w:r>
    </w:p>
    <w:p>
      <w:pPr>
        <w:pStyle w:val="34"/>
        <w:keepNext w:val="0"/>
        <w:keepLines w:val="0"/>
        <w:widowControl/>
        <w:suppressLineNumbers w:val="0"/>
        <w:rPr>
          <w:rFonts w:hint="default" w:asciiTheme="majorAscii" w:hAnsiTheme="majorAscii"/>
          <w:color w:val="auto"/>
          <w:sz w:val="22"/>
          <w:szCs w:val="22"/>
        </w:rPr>
      </w:pPr>
      <w:r>
        <w:rPr>
          <w:rFonts w:hint="default" w:asciiTheme="majorAscii" w:hAnsiTheme="majorAscii"/>
          <w:b/>
          <w:bCs/>
          <w:color w:val="auto"/>
          <w:sz w:val="22"/>
          <w:szCs w:val="22"/>
        </w:rPr>
        <w:t>Keyword Bias:</w:t>
      </w:r>
      <w:r>
        <w:rPr>
          <w:rFonts w:hint="default" w:asciiTheme="majorAscii" w:hAnsiTheme="majorAscii"/>
          <w:color w:val="auto"/>
          <w:sz w:val="22"/>
          <w:szCs w:val="22"/>
        </w:rPr>
        <w:t xml:space="preserve"> Jobs were filtered using specific keywords (e.g., "data analyst"), which may miss related roles under different titles (e.g.,</w:t>
      </w:r>
      <w:r>
        <w:rPr>
          <w:rFonts w:hint="default" w:asciiTheme="majorAscii" w:hAnsiTheme="majorAscii"/>
          <w:color w:val="auto"/>
          <w:sz w:val="22"/>
          <w:szCs w:val="22"/>
          <w:lang w:val="en-US"/>
        </w:rPr>
        <w:t xml:space="preserve"> “Finance Analyst”, “ Corporate Credit Analyst”</w:t>
      </w:r>
      <w:r>
        <w:rPr>
          <w:rFonts w:hint="default" w:asciiTheme="majorAscii" w:hAnsiTheme="majorAscii"/>
          <w:color w:val="auto"/>
          <w:sz w:val="22"/>
          <w:szCs w:val="22"/>
        </w:rPr>
        <w:t xml:space="preserve"> "insight analyst", "BI analyst").</w:t>
      </w:r>
    </w:p>
    <w:p>
      <w:pPr>
        <w:pStyle w:val="34"/>
        <w:keepNext w:val="0"/>
        <w:keepLines w:val="0"/>
        <w:widowControl/>
        <w:suppressLineNumbers w:val="0"/>
        <w:rPr>
          <w:rFonts w:hint="default" w:asciiTheme="majorAscii" w:hAnsiTheme="majorAscii"/>
          <w:color w:val="auto"/>
          <w:sz w:val="22"/>
          <w:szCs w:val="22"/>
        </w:rPr>
      </w:pPr>
      <w:r>
        <w:rPr>
          <w:rFonts w:hint="default" w:asciiTheme="majorAscii" w:hAnsiTheme="majorAscii"/>
          <w:b/>
          <w:bCs/>
          <w:color w:val="auto"/>
          <w:sz w:val="22"/>
          <w:szCs w:val="22"/>
        </w:rPr>
        <w:t>No Skill-Level Classification:</w:t>
      </w:r>
      <w:r>
        <w:rPr>
          <w:rFonts w:hint="default" w:asciiTheme="majorAscii" w:hAnsiTheme="majorAscii"/>
          <w:color w:val="auto"/>
          <w:sz w:val="22"/>
          <w:szCs w:val="22"/>
        </w:rPr>
        <w:t xml:space="preserve"> The data doesn’t distinguish between junior, mid-level, or senior roles, which could significantly impact salary and application patterns.</w:t>
      </w:r>
    </w:p>
    <w:p>
      <w:pPr>
        <w:pStyle w:val="34"/>
        <w:keepNext w:val="0"/>
        <w:keepLines w:val="0"/>
        <w:widowControl/>
        <w:suppressLineNumbers w:val="0"/>
        <w:rPr>
          <w:rFonts w:hint="default" w:asciiTheme="majorAscii" w:hAnsiTheme="majorAscii"/>
          <w:color w:val="auto"/>
          <w:sz w:val="22"/>
          <w:szCs w:val="22"/>
        </w:rPr>
      </w:pPr>
      <w:r>
        <w:rPr>
          <w:rFonts w:hint="default" w:asciiTheme="majorAscii" w:hAnsiTheme="majorAscii"/>
          <w:b/>
          <w:bCs/>
          <w:color w:val="auto"/>
          <w:sz w:val="22"/>
          <w:szCs w:val="22"/>
        </w:rPr>
        <w:t>Location Ambiguity:</w:t>
      </w:r>
      <w:r>
        <w:rPr>
          <w:rFonts w:hint="default" w:asciiTheme="majorAscii" w:hAnsiTheme="majorAscii"/>
          <w:color w:val="auto"/>
          <w:sz w:val="22"/>
          <w:szCs w:val="22"/>
        </w:rPr>
        <w:t xml:space="preserve"> Some locationName values are postal codes rather than clear city names, which may obscure regional trends.</w:t>
      </w:r>
    </w:p>
    <w:p>
      <w:pPr>
        <w:pStyle w:val="34"/>
        <w:keepNext w:val="0"/>
        <w:keepLines w:val="0"/>
        <w:widowControl/>
        <w:suppressLineNumbers w:val="0"/>
        <w:rPr>
          <w:rFonts w:hint="default" w:asciiTheme="majorAscii" w:hAnsiTheme="majorAscii"/>
          <w:sz w:val="22"/>
          <w:szCs w:val="22"/>
        </w:rPr>
      </w:pPr>
      <w:r>
        <w:rPr>
          <w:rFonts w:hint="default" w:asciiTheme="majorAscii" w:hAnsiTheme="majorAscii"/>
          <w:b/>
          <w:bCs/>
          <w:sz w:val="22"/>
          <w:szCs w:val="22"/>
        </w:rPr>
        <w:t>Limited Job Type Categorization:</w:t>
      </w:r>
      <w:r>
        <w:rPr>
          <w:rFonts w:hint="default" w:asciiTheme="majorAscii" w:hAnsiTheme="majorAscii"/>
          <w:sz w:val="22"/>
          <w:szCs w:val="22"/>
        </w:rPr>
        <w:t>The dataset doesn’t differentiate between full-time, part-time, contract, internship, etc., which could offer different insights for job seekers and recruiters.</w:t>
      </w:r>
      <w:bookmarkStart w:id="0" w:name="_GoBack"/>
      <w:bookmarkEnd w:id="0"/>
    </w:p>
    <w:p>
      <w:pPr>
        <w:pStyle w:val="34"/>
        <w:keepNext w:val="0"/>
        <w:keepLines w:val="0"/>
        <w:widowControl/>
        <w:suppressLineNumbers w:val="0"/>
        <w:rPr>
          <w:b/>
          <w:bCs/>
        </w:rPr>
      </w:pPr>
    </w:p>
    <w:p>
      <w:pPr>
        <w:pStyle w:val="170"/>
        <w:ind w:left="0" w:leftChars="0" w:firstLine="0" w:firstLineChars="0"/>
        <w:rPr>
          <w:color w:val="auto"/>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Gubbi"/>
    <w:panose1 w:val="00000000000000000000"/>
    <w:charset w:val="80"/>
    <w:family w:val="roman"/>
    <w:pitch w:val="default"/>
    <w:sig w:usb0="00000000" w:usb1="00000000" w:usb2="00000010" w:usb3="00000000" w:csb0="00020000" w:csb1="00000000"/>
  </w:font>
  <w:font w:name="ＭＳ 明朝">
    <w:altName w:val="Gubbi"/>
    <w:panose1 w:val="00000000000000000000"/>
    <w:charset w:val="86"/>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Symbol">
    <w:altName w:val="Noto Color Emoji"/>
    <w:panose1 w:val="00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Courier">
    <w:altName w:val="Dhurjati"/>
    <w:panose1 w:val="02000500000000000000"/>
    <w:charset w:val="00"/>
    <w:family w:val="auto"/>
    <w:pitch w:val="default"/>
    <w:sig w:usb0="00000000" w:usb1="00000000" w:usb2="00000000" w:usb3="00000000" w:csb0="00000001" w:csb1="00000000"/>
  </w:font>
  <w:font w:name="Dhurjati">
    <w:panose1 w:val="02000600000000000000"/>
    <w:charset w:val="00"/>
    <w:family w:val="auto"/>
    <w:pitch w:val="default"/>
    <w:sig w:usb0="80200003" w:usb1="00000000" w:usb2="00000000" w:usb3="00000000" w:csb0="00000001" w:csb1="00000000"/>
  </w:font>
  <w:font w:name="var(--jp-code-font-family)">
    <w:altName w:val="Gubb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9E048C"/>
    <w:rsid w:val="5FA6CCF2"/>
    <w:rsid w:val="627BAC03"/>
    <w:rsid w:val="66AF62C3"/>
    <w:rsid w:val="67A929A0"/>
    <w:rsid w:val="7EBFDF79"/>
    <w:rsid w:val="7EFF66CC"/>
    <w:rsid w:val="7FFAFEC6"/>
    <w:rsid w:val="BADF3A1B"/>
    <w:rsid w:val="EA5ECB76"/>
    <w:rsid w:val="EDFF1029"/>
    <w:rsid w:val="EFDF5D41"/>
    <w:rsid w:val="F3BFDE9F"/>
    <w:rsid w:val="F8B748A6"/>
    <w:rsid w:val="FA7E1DE9"/>
    <w:rsid w:val="FAAF5505"/>
    <w:rsid w:val="FAB99221"/>
    <w:rsid w:val="FB7E1FDA"/>
    <w:rsid w:val="FBAEE6AF"/>
    <w:rsid w:val="FEDBE8D1"/>
    <w:rsid w:val="FF77166C"/>
    <w:rsid w:val="FF9FB922"/>
    <w:rsid w:val="FFDF1A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CustomTitle"/>
    <w:uiPriority w:val="0"/>
    <w:pPr>
      <w:spacing w:after="240" w:line="276" w:lineRule="auto"/>
      <w:jc w:val="center"/>
    </w:pPr>
    <w:rPr>
      <w:rFonts w:ascii="Calibri" w:hAnsi="Calibri" w:eastAsiaTheme="minorEastAsia" w:cstheme="minorBidi"/>
      <w:b/>
      <w:color w:val="003366"/>
      <w:sz w:val="40"/>
      <w:szCs w:val="22"/>
      <w:lang w:val="en-US" w:eastAsia="en-US" w:bidi="ar-SA"/>
    </w:rPr>
  </w:style>
  <w:style w:type="paragraph" w:customStyle="1" w:styleId="167">
    <w:name w:val="CustomHeading1"/>
    <w:uiPriority w:val="0"/>
    <w:pPr>
      <w:spacing w:before="360" w:after="200" w:line="276" w:lineRule="auto"/>
    </w:pPr>
    <w:rPr>
      <w:rFonts w:ascii="Calibri" w:hAnsi="Calibri" w:eastAsiaTheme="minorEastAsia" w:cstheme="minorBidi"/>
      <w:b/>
      <w:color w:val="0066CC"/>
      <w:sz w:val="32"/>
      <w:szCs w:val="22"/>
      <w:lang w:val="en-US" w:eastAsia="en-US" w:bidi="ar-SA"/>
    </w:rPr>
  </w:style>
  <w:style w:type="paragraph" w:customStyle="1" w:styleId="168">
    <w:name w:val="CustomHeading2"/>
    <w:uiPriority w:val="0"/>
    <w:pPr>
      <w:spacing w:before="240" w:after="160" w:line="276" w:lineRule="auto"/>
    </w:pPr>
    <w:rPr>
      <w:rFonts w:ascii="Calibri" w:hAnsi="Calibri" w:eastAsiaTheme="minorEastAsia" w:cstheme="minorBidi"/>
      <w:b/>
      <w:color w:val="0099FF"/>
      <w:sz w:val="28"/>
      <w:szCs w:val="22"/>
      <w:lang w:val="en-US" w:eastAsia="en-US" w:bidi="ar-SA"/>
    </w:rPr>
  </w:style>
  <w:style w:type="paragraph" w:customStyle="1" w:styleId="169">
    <w:name w:val="CustomBody"/>
    <w:uiPriority w:val="0"/>
    <w:pPr>
      <w:spacing w:after="120" w:line="276" w:lineRule="auto"/>
    </w:pPr>
    <w:rPr>
      <w:rFonts w:ascii="Calibri" w:hAnsi="Calibri" w:eastAsiaTheme="minorEastAsia" w:cstheme="minorBidi"/>
      <w:color w:val="000000"/>
      <w:sz w:val="22"/>
      <w:szCs w:val="22"/>
      <w:lang w:val="en-US" w:eastAsia="en-US" w:bidi="ar-SA"/>
    </w:rPr>
  </w:style>
  <w:style w:type="paragraph" w:customStyle="1" w:styleId="170">
    <w:name w:val="CustomBullet"/>
    <w:link w:val="171"/>
    <w:uiPriority w:val="0"/>
    <w:pPr>
      <w:spacing w:after="80" w:line="276" w:lineRule="auto"/>
      <w:ind w:left="720" w:hanging="360"/>
    </w:pPr>
    <w:rPr>
      <w:rFonts w:ascii="Calibri" w:hAnsi="Calibri" w:eastAsiaTheme="minorEastAsia" w:cstheme="minorBidi"/>
      <w:color w:val="333333"/>
      <w:sz w:val="22"/>
      <w:szCs w:val="22"/>
      <w:lang w:val="en-US" w:eastAsia="en-US" w:bidi="ar-SA"/>
    </w:rPr>
  </w:style>
  <w:style w:type="character" w:customStyle="1" w:styleId="171">
    <w:name w:val="CustomBullet Char"/>
    <w:link w:val="170"/>
    <w:uiPriority w:val="0"/>
    <w:rPr>
      <w:rFonts w:ascii="Calibri" w:hAnsi="Calibri" w:eastAsiaTheme="minorEastAsia" w:cstheme="minorBidi"/>
      <w:color w:val="333333"/>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35</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2013-12-24T04:15:00Z</dcterms:created>
  <dc:creator>python-docx</dc:creator>
  <dc:description>generated by python-docx</dc:description>
  <cp:lastModifiedBy>obsidian</cp:lastModifiedBy>
  <dcterms:modified xsi:type="dcterms:W3CDTF">2025-08-07T22:38:19Z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