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000000"/>
        </w:rPr>
        <w:t>AgroVision</w:t>
      </w:r>
    </w:p>
    <w:p>
      <w:pPr>
        <w:pStyle w:val="Subtitle"/>
      </w:pPr>
      <w:r>
        <w:rPr>
          <w:b w:val="0"/>
          <w:color w:val="000000"/>
        </w:rPr>
        <w:t>Исследование и проектирование системы диагностики растений</w:t>
      </w:r>
    </w:p>
    <w:p>
      <w:r>
        <w:rPr>
          <w:b/>
          <w:sz w:val="24"/>
        </w:rPr>
        <w:t>An Intelligent Computer Vision System for Plant Disease Diagnosis in Kazakhstan</w:t>
      </w:r>
    </w:p>
    <w:p>
      <w:r>
        <w:rPr>
          <w:b w:val="0"/>
          <w:sz w:val="22"/>
        </w:rPr>
        <w:t>Проектный отчёт к этапу 24 октября 2026 года</w:t>
        <w:br/>
        <w:t>Состояние материалов на 21 октября 2026 года</w:t>
      </w:r>
    </w:p>
    <w:p>
      <w:pPr>
        <w:pStyle w:val="Heading2"/>
      </w:pPr>
      <w:r>
        <w:rPr>
          <w:color w:val="000000"/>
        </w:rPr>
        <w:t>Назначение отчёта</w:t>
      </w:r>
    </w:p>
    <w:p>
      <w:r>
        <w:rPr>
          <w:b w:val="0"/>
        </w:rPr>
        <w:t>AgroVision предлагается как исследовательский прототип предварительной оценки видимых симптомов сельскохозяйственных культур по фотографии. Отчёт объединяет постановку задачи, критический обзор, сравнение технологий, требования, архитектуру, мобильный прототип и план проверки. Это основа реализации и обсуждения с руководителем. Обученная модель, работающее приложение и локально подтверждённая точность пока не заявляются.</w:t>
      </w:r>
    </w:p>
    <w:p>
      <w:r>
        <w:rPr>
          <w:b w:val="0"/>
        </w:rPr>
        <w:t>Первый исследовательский пилот рассматривает пшеницу, картофель и томат; кукуруза остаётся кандидатом расширения. Единица поддержки — конкретная пара «культура — состояние» и орган растения. Текущая работа с интерфейсом ограничена React Native mobile. React web предусмотрен как будущий клиент общего FastAPI 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3384"/>
        <w:gridCol w:w="1152"/>
        <w:gridCol w:w="5688"/>
      </w:tblGrid>
      <w:tr>
        <w:trPr>
          <w:cantSplit/>
          <w:tblHeader/>
        </w:trPr>
        <w:tc>
          <w:tcPr>
            <w:tcW w:type="dxa" w:w="3384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Участник</w:t>
            </w:r>
          </w:p>
        </w:tc>
        <w:tc>
          <w:tcPr>
            <w:tcW w:type="dxa" w:w="1152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5688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Предлагаемая ответственность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Сыртбай Мақсат Берікұлы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SE-2401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Мобильный клиент, API, данные приложения, надёжность, интеграция, Git и YouTrack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Матығұл Қайсар Алмасұлы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SE-2402</w:t>
            </w:r>
          </w:p>
        </w:tc>
        <w:tc>
          <w:tcPr>
            <w:tcW w:type="dxa" w:w="568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Датасеты, онтология, обучение, оценка, экспорт и воспроизводимость ML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Кутпанова Зарина Алмабековна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Руководитель. Содержательная обратная связь по цели, протоколу и границам проекта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  <w:sz w:val="19"/>
        </w:rPr>
        <w:t>Имена и группы перенесены из предоставленного командного контекста и подлежат сверке перед официальной сдачей. Указание руководителя не означает, что отзыв на этот пакет уже получен.</w:t>
      </w:r>
    </w:p>
    <w:p>
      <w:pPr>
        <w:pStyle w:val="Heading2"/>
      </w:pPr>
      <w:r>
        <w:rPr>
          <w:color w:val="000000"/>
        </w:rPr>
        <w:t>Основное проектное решение</w:t>
      </w:r>
    </w:p>
    <w:p>
      <w:r>
        <w:rPr>
          <w:b w:val="0"/>
        </w:rPr>
        <w:t>Начать с компактного классификатора и общей серверной платформы, отдельно проверить перенос на новые источники и местные фотографии. Качество, вычислительная стоимость и полезность отказа от ненадёжного ответа определят выбор модели и допустимый каталог состояний. Публичные данные позволяют начать исследование; утверждение о пригодности для Казахстана требует самостоятельных местных доказательств.</w:t>
      </w:r>
    </w:p>
    <w:p>
      <w:pPr>
        <w:pStyle w:val="Heading2"/>
      </w:pPr>
      <w:r>
        <w:rPr>
          <w:color w:val="000000"/>
        </w:rPr>
        <w:t>Задачи проекта</w:t>
      </w:r>
    </w:p>
    <w:p>
      <w:r>
        <w:rPr>
          <w:b w:val="0"/>
        </w:rPr>
        <w:t>Проверить потребность с пользователями и руководителем; обосновать решения обзором исследований; подготовить разрешённые данные, онтологию и независимые разбиения; сравнить компактные модели и их экспорт; реализовать мобильный сценарий, API и историю наблюдений; оценить качество, отказ от ненадёжного ответа, удобство и надёжность, документируя ограничения местной применимости.</w:t>
      </w:r>
    </w:p>
    <w:p>
      <w:pPr>
        <w:pStyle w:val="Heading1"/>
        <w:pageBreakBefore/>
        <w:spacing w:before="0"/>
      </w:pPr>
      <w:r>
        <w:rPr>
          <w:color w:val="000000"/>
        </w:rPr>
        <w:t>Состав отчёта и состояние доказательств</w:t>
      </w:r>
    </w:p>
    <w:p>
      <w:r>
        <w:rPr>
          <w:b w:val="0"/>
        </w:rPr>
        <w:t>Документ следует всем 11 компонентам задания. Таблица различает подготовленный материал и фактическое внешнее подтверждение. Требования и численные цели ниже относятся к будущей реализации; наличие формулировки не означает пройденную приёмку.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504"/>
        <w:gridCol w:w="1656"/>
        <w:gridCol w:w="3888"/>
        <w:gridCol w:w="4176"/>
      </w:tblGrid>
      <w:tr>
        <w:trPr>
          <w:cantSplit/>
          <w:tblHeader/>
        </w:trPr>
        <w:tc>
          <w:tcPr>
            <w:tcW w:type="dxa" w:w="504"/>
            <w:vAlign w:val="center"/>
            <w:shd w:fill="244A63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№</w:t>
            </w:r>
          </w:p>
        </w:tc>
        <w:tc>
          <w:tcPr>
            <w:tcW w:type="dxa" w:w="165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3888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представлено</w:t>
            </w:r>
          </w:p>
        </w:tc>
        <w:tc>
          <w:tcPr>
            <w:tcW w:type="dxa" w:w="417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Что ещё требуется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Proposal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Проблема, цель, роли, задачи и scope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Сверить регистрационные данные и согласовать границы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Актуальность</w:t>
            </w:r>
          </w:p>
        </w:tc>
        <w:tc>
          <w:tcPr>
            <w:tcW w:type="dxa" w:w="388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Анализ источников и план 3–5 бесед</w:t>
            </w:r>
          </w:p>
        </w:tc>
        <w:tc>
          <w:tcPr>
            <w:tcW w:type="dxa" w:w="417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Реальные обсуждения либо содержательное соглашение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Литература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Матрица 16 источников и критический синтез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Содержательное review команды и руководителя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Аналоги</w:t>
            </w:r>
          </w:p>
        </w:tc>
        <w:tc>
          <w:tcPr>
            <w:tcW w:type="dxa" w:w="388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 системы по 8 критериям</w:t>
            </w:r>
          </w:p>
        </w:tc>
        <w:tc>
          <w:tcPr>
            <w:tcW w:type="dxa" w:w="417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При необходимости практический сравнительный тест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Технологии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 решений с 3 альтернативами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Подтвердить допущения при реализации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Требования</w:t>
            </w:r>
          </w:p>
        </w:tc>
        <w:tc>
          <w:tcPr>
            <w:tcW w:type="dxa" w:w="388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16 FR, 10 NFR, приоритеты и приёмка</w:t>
            </w:r>
          </w:p>
        </w:tc>
        <w:tc>
          <w:tcPr>
            <w:tcW w:type="dxa" w:w="417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Согласовать пользовательские и диагностические критерии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Архитектура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Контекст, UML Use Case, компоненты и инварианты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Сохранить согласованность при появлении кода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UX</w:t>
            </w:r>
          </w:p>
        </w:tc>
        <w:tc>
          <w:tcPr>
            <w:tcW w:type="dxa" w:w="388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Мобильные Figma-макеты, сценарии и экспорт</w:t>
            </w:r>
          </w:p>
        </w:tc>
        <w:tc>
          <w:tcPr>
            <w:tcW w:type="dxa" w:w="417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Проверить переходы и понимание с пользователями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Оценка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Baseline, split, метрики, условия тестов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Выполнить обучение и реальные измерения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Управление</w:t>
            </w:r>
          </w:p>
        </w:tc>
        <w:tc>
          <w:tcPr>
            <w:tcW w:type="dxa" w:w="388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Роли, backlog, этапы и риски</w:t>
            </w:r>
          </w:p>
        </w:tc>
        <w:tc>
          <w:tcPr>
            <w:tcW w:type="dxa" w:w="417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Git/YouTrack ссылки, реальные вклады и review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Руководитель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Пакет вопросов и журнал обработки замечаний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Получить содержательный отзыв и зафиксировать решения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Полные спецификации, машиночитаемые реестры, исходники диаграмм и формы включены в сопровождающий пакет AgroVision_Codex_Foundation_2026-10-21. Сам отчёт содержит основные аргументы и критерии, необходимые для оценки проекта.</w:t>
      </w:r>
    </w:p>
    <w:p>
      <w:r>
        <w:rPr>
          <w:b w:val="0"/>
          <w:sz w:val="20"/>
        </w:rPr>
        <w:t>В предоставленном задании заголовок указывает «До 22 октября», а раздел минимальных требований — «24 October». Команде требуется уточнить, относятся ли эти даты к разным действиям. Формы и внешние сервисы этим отчётом не заполняются.</w:t>
      </w:r>
    </w:p>
    <w:p>
      <w:pPr>
        <w:pStyle w:val="Heading1"/>
        <w:pageBreakBefore/>
        <w:spacing w:before="0"/>
      </w:pPr>
      <w:r>
        <w:rPr>
          <w:color w:val="000000"/>
        </w:rPr>
        <w:t>1 Постановка проекта</w:t>
      </w:r>
    </w:p>
    <w:p>
      <w:pPr>
        <w:pStyle w:val="Heading2"/>
      </w:pPr>
      <w:r>
        <w:rPr>
          <w:color w:val="000000"/>
        </w:rPr>
        <w:t>Проблема и пользователи</w:t>
      </w:r>
    </w:p>
    <w:p>
      <w:r>
        <w:rPr>
          <w:b w:val="0"/>
        </w:rPr>
        <w:t>Исходный сценарий — растениевод замечает изменение листа, снимает его на телефон и пытается понять следующий шаг. Система должна сохранить наблюдение, предложить ограниченную гипотезу, показать её ограничения и дать возможность вернуться к случаю. Конкретная ценность истории, языка и работы при слабой связи пока является гипотезой для интервью.</w:t>
      </w:r>
    </w:p>
    <w:p>
      <w:r>
        <w:rPr>
          <w:b w:val="0"/>
        </w:rPr>
        <w:t>Основные пользователи — фермеры и работники растениеводческих хозяйств. Эксперт по растениям проверяет разрешённые исследовательские образцы; технический оператор управляет модельными версиями и оценкой. Наличие реального партнёра или эксперта ещё не подтверждено.</w:t>
      </w:r>
    </w:p>
    <w:p>
      <w:r>
        <w:rPr>
          <w:b w:val="0"/>
        </w:rPr>
        <w:t>Официальная публикация Министерства сельского хозяйства о посевной 2026 года отражает разнообразие зерновых, масличных, картофеля и овощей [C1]. Работа по ржавчине озимой пшеницы Южного Казахстана даёт локальное предметное основание [R8]. Ни один источник не доказывает спрос на AgroVision или распространённость всех выбранных болезней.</w:t>
      </w:r>
    </w:p>
    <w:p>
      <w:pPr>
        <w:pStyle w:val="Heading2"/>
      </w:pPr>
      <w:r>
        <w:rPr>
          <w:color w:val="000000"/>
        </w:rPr>
        <w:t>Цель и исследовательские вопросы</w:t>
      </w:r>
    </w:p>
    <w:p>
      <w:r>
        <w:rPr>
          <w:b w:val="0"/>
        </w:rPr>
        <w:t>Цель — спроектировать, реализовать и экспериментально оценить воспроизводимую систему предварительной визуальной диагностики ограниченного набора состояний нескольких сельскохозяйственных культур для использования в Казахстане, с явным сообщением о недостаточности данных.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4320"/>
        <w:gridCol w:w="5904"/>
      </w:tblGrid>
      <w:tr>
        <w:trPr>
          <w:cantSplit/>
          <w:tblHeader/>
        </w:trPr>
        <w:tc>
          <w:tcPr>
            <w:tcW w:type="dxa" w:w="432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5904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Как получить ответ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Какая компактная модель даёт лучший компромисс?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Сравнить B0, MobileNetV3-Large и ResNet18 при одном split и бюджете; измерить macro-F1, память и CPU-задержку.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Как меняется качество при смене источника?</w:t>
            </w:r>
          </w:p>
        </w:tc>
        <w:tc>
          <w:tcPr>
            <w:tcW w:type="dxa" w:w="590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Отдельные внутренний, source-held-out и местный тесты; показать падение по каждой культуре.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Помогает ли выбранная культура?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Сравнить joint classes и conditioning; отдельно проверить неверно выбранную культуру.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Когда отказ полезнее выдачи гипотезы?</w:t>
            </w:r>
          </w:p>
        </w:tc>
        <w:tc>
          <w:tcPr>
            <w:tcW w:type="dxa" w:w="590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Оценить ошибки среди выданных ответов вместе с coverage и неизвестными состояниями.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Реализуем ли процесс на 4–6 GB GPU?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Зафиксировать реальный профиль памяти и времени; проверить экспорт и системный сценарий.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pStyle w:val="Heading2"/>
      </w:pPr>
      <w:r>
        <w:rPr>
          <w:color w:val="000000"/>
        </w:rPr>
        <w:t>Ожидаемый результат и границы</w:t>
      </w:r>
    </w:p>
    <w:p>
      <w:r>
        <w:rPr>
          <w:b w:val="0"/>
        </w:rPr>
        <w:t>Результат должен включать аудит данных, словарь допустимых классов, воспроизводимое сравнение моделей, model bundle и model card, мобильный сценарий через общий API и отчёт о границах применения. Если локального теста нет, итог описывается как прототип для последующей проверки в Казахстане.</w:t>
      </w:r>
    </w:p>
    <w:p>
      <w:r>
        <w:rPr>
          <w:b w:val="0"/>
        </w:rPr>
        <w:t>Первый вход — одно основное RGB-фото листа. Контекстные снимки могут сохраняться, но не объединяются моделью v1. Вне первой версии: автоматическое назначение препаратов и доз, прогноз эпидемий или потерь урожая, универсальная диагностика всех растений, обязательная сегментация и on-device inference. Offline означает сохранение фото для последующей отправки.</w:t>
      </w:r>
    </w:p>
    <w:p>
      <w:pPr>
        <w:pStyle w:val="Heading1"/>
        <w:pageBreakBefore/>
        <w:spacing w:before="0"/>
      </w:pPr>
      <w:r>
        <w:rPr>
          <w:color w:val="000000"/>
        </w:rPr>
        <w:t>2 Доказательства актуальности и план обсуждений</w:t>
      </w:r>
    </w:p>
    <w:p>
      <w:r>
        <w:rPr>
          <w:b w:val="0"/>
        </w:rPr>
        <w:t>Доступные публикации подтверждают существование задачи фото-диагностики, ограничения переноса и наличие аналогов. Пока не получены реальные пользовательские беседы, нельзя считать подтверждёнными частоту проблемы, требуемый набор культур, ценность конкретных экранов или допустимый риск ошибки. Сбор этих сведений является отдельной задачей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792"/>
        <w:gridCol w:w="2376"/>
        <w:gridCol w:w="3528"/>
        <w:gridCol w:w="3528"/>
      </w:tblGrid>
      <w:tr>
        <w:trPr>
          <w:cantSplit/>
          <w:tblHeader/>
        </w:trPr>
        <w:tc>
          <w:tcPr>
            <w:tcW w:type="dxa" w:w="792"/>
            <w:vAlign w:val="center"/>
            <w:shd w:fill="244A63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Роль участника</w:t>
            </w:r>
          </w:p>
        </w:tc>
        <w:tc>
          <w:tcPr>
            <w:tcW w:type="dxa" w:w="3528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проверить</w:t>
            </w:r>
          </w:p>
        </w:tc>
        <w:tc>
          <w:tcPr>
            <w:tcW w:type="dxa" w:w="3528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Ожидаемое свидетельство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I01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Представитель зернового хозяйства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Последний реальный случай; пшеница; телефон и связь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Дата, роль, разрешённые заметки и изменение требования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I02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Картофелевод или овощевод</w:t>
            </w:r>
          </w:p>
        </w:tc>
        <w:tc>
          <w:tcPr>
            <w:tcW w:type="dxa" w:w="352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Сценарии картофеля/томата; фото; история осмотров</w:t>
            </w:r>
          </w:p>
        </w:tc>
        <w:tc>
          <w:tcPr>
            <w:tcW w:type="dxa" w:w="352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Конкретный процесс и фактические ограничения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I03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Местный агроном или фитопатолог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Границы RGB-диагностики; похожие причины; референсные метки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Уточнённый словарь и план экспертной проверки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I04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Фермер из другого хозяйства</w:t>
            </w:r>
          </w:p>
        </w:tc>
        <w:tc>
          <w:tcPr>
            <w:tcW w:type="dxa" w:w="352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Иное устройство, связь, язык или организация работы</w:t>
            </w:r>
          </w:p>
        </w:tc>
        <w:tc>
          <w:tcPr>
            <w:tcW w:type="dxa" w:w="352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Противоречия и границы первоначальных выводов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I05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Консультант или реальный заказчик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Маршрут обращения, сведения и участие в оценке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Подтверждённая роль и конкретные договорённости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План — минимум три беседы, две дополнительные при доступности. Участие и даты ещё не подтверждены. Допустимая альтернатива по заданию — содержательная договорённость с реальным заказчиком о проблеме, пользователях, объёме, предоставляемых данных и способе проверки.</w:t>
      </w:r>
    </w:p>
    <w:p>
      <w:pPr>
        <w:pStyle w:val="Heading2"/>
      </w:pPr>
      <w:r>
        <w:rPr>
          <w:color w:val="000000"/>
        </w:rPr>
        <w:t>Вопросы и порядок</w:t>
      </w:r>
    </w:p>
    <w:p>
      <w:r>
        <w:rPr>
          <w:b w:val="0"/>
        </w:rPr>
        <w:t>После объяснения цели и разрешения на заметки обсуждается последний реальный случай: что произошло, как принималось решение, кто помог, какие фотографии и сведения были доступны и чем закончилась ситуация. Затем выясняются связь в поле, язык, устройство, полезная история и последствия ошибочного совета. Только после этого показывается мобильный макет и наблюдается выполнение задач без подсказки.</w:t>
      </w:r>
    </w:p>
    <w:p>
      <w:r>
        <w:rPr>
          <w:b w:val="0"/>
        </w:rPr>
        <w:t>Ключевые вопросы: «Расскажите о последней такой проблеме»; «Как вы решали, что делать дальше?»; «Какое фото вы реально можете сделать?»; «Что полезно, если уверенного ответа нет?»; «Какая ошибка особенно нежелательна?»; «Где сейчас храните записи?». Оценка идеи и готовность дать фотографии отделяются от согласия на обучение модели.</w:t>
      </w:r>
    </w:p>
    <w:p>
      <w:pPr>
        <w:pStyle w:val="Heading2"/>
      </w:pPr>
      <w:r>
        <w:rPr>
          <w:color w:val="000000"/>
        </w:rPr>
        <w:t>Фиксация и преобразование в требования</w:t>
      </w:r>
    </w:p>
    <w:p>
      <w:r>
        <w:rPr>
          <w:b w:val="0"/>
        </w:rPr>
        <w:t>Для каждого I-ID сохраняются фактическая дата, роль, культура, разрешённое свидетельство и ответы. Участнику отдельно предлагаются разрешения на запись, обезличенные цитаты и фотографии. Согласие на беседу не разрешает публикацию снимков, передачу внешнему API или обучение. Публичный репозиторий содержит только допустимые обезличенные выводы.</w:t>
      </w:r>
    </w:p>
    <w:p>
      <w:r>
        <w:rPr>
          <w:b w:val="0"/>
          <w:sz w:val="20"/>
        </w:rPr>
        <w:t>Журнал связывает Evidence ID и фактический пример с интерпретацией команды, решением принять/изменить/отложить/отклонить требование и конкретной версией FR/NFR, экрана или ADR. Для изменения указываются задача и способ проверки.</w:t>
      </w:r>
    </w:p>
    <w:p>
      <w:r>
        <w:rPr>
          <w:b w:val="0"/>
          <w:sz w:val="20"/>
        </w:rPr>
        <w:t>3–5 бесед дают качественную обратную связь, но не национальную статистику и не диагностический порог. Все поля ответов и feedback log в сопровождающей форме оставлены пустыми до реальных взаимодействий.</w:t>
      </w:r>
    </w:p>
    <w:p>
      <w:pPr>
        <w:pStyle w:val="Heading1"/>
        <w:pageBreakBefore/>
        <w:spacing w:before="0"/>
      </w:pPr>
      <w:r>
        <w:rPr>
          <w:color w:val="000000"/>
        </w:rPr>
        <w:t>3 Критический обзор литературы</w:t>
      </w:r>
    </w:p>
    <w:p>
      <w:r>
        <w:rPr>
          <w:b w:val="0"/>
        </w:rPr>
        <w:t>Обзор содержит 16 содержательно используемых источников: 14 рецензируемых научных публикаций, один препринт и одну официальную техническую документацию. Девять рецензируемых публикаций относятся к 2023–2026 годам; пять фундаментальных работ 2016–2019 годов сохранены по их методическому значению. Это адресный обзор для выбора решений, а не заявленный систематический PRISMA-анализ.</w:t>
      </w:r>
    </w:p>
    <w:p>
      <w:pPr>
        <w:pStyle w:val="Heading2"/>
      </w:pPr>
      <w:r>
        <w:rPr>
          <w:color w:val="000000"/>
        </w:rPr>
        <w:t>Перенос важнее одной внутренней оценки</w:t>
      </w:r>
    </w:p>
    <w:p>
      <w:r>
        <w:rPr>
          <w:b w:val="0"/>
        </w:rPr>
        <w:t>PlantVillage дал раннюю основу многокультурной классификации [R10]. Более поздние работы рассматривают изменение фона, источника и распределения данных [R1–R3]. Поэтому высокой оценки внутри одного набора недостаточно: AgroVision должен отдельно показать результат на независимых группах, новом источнике и местных снимках. Domain adaptation с доступом к целевым изображениям [R2] является другим условием, чем проверка на полностью невидимом регионе.</w:t>
      </w:r>
    </w:p>
    <w:p>
      <w:pPr>
        <w:pStyle w:val="Heading2"/>
      </w:pPr>
      <w:r>
        <w:rPr>
          <w:color w:val="000000"/>
        </w:rPr>
        <w:t>Разнообразие датасетов требует онтологии</w:t>
      </w:r>
    </w:p>
    <w:p>
      <w:r>
        <w:rPr>
          <w:b w:val="0"/>
        </w:rPr>
        <w:t>PlantWild, PlantSeg, Paddy Doctor, CerealConv и томатный набор расширяют сцены и культуры [R3–R7], но различаются задачами, географией, версиями и доказательностью меток. Слово «spot» или «rust» не задаёт одинаковый класс для разных хозяев. Производные crops, патчи и аугментации не дают дополнительных независимых растений. Объединение источников должно начинаться с manifest и проверки происхождения.</w:t>
      </w:r>
    </w:p>
    <w:p>
      <w:pPr>
        <w:pStyle w:val="Heading2"/>
      </w:pPr>
      <w:r>
        <w:rPr>
          <w:color w:val="000000"/>
        </w:rPr>
        <w:t>Модель выбирается экспериментом</w:t>
      </w:r>
    </w:p>
    <w:p>
      <w:r>
        <w:rPr>
          <w:b w:val="0"/>
        </w:rPr>
        <w:t>EfficientNet и MobileNetV3 обосновывают компактные CNN как кандидатов [R11–R12]. DINOv2 даёт дополнительную гипотезу замороженных визуальных признаков [R9]; его encoder всё равно имеет стоимость инференса. Параметры и FLOPs не определяют задержку целевого CPU. Первая серия ограничивается B0, MobileNetV3-Large и ResNet18; увеличение модели допускается после анализа конкретных ошибок.</w:t>
      </w:r>
    </w:p>
    <w:p>
      <w:pPr>
        <w:pStyle w:val="Heading2"/>
      </w:pPr>
      <w:r>
        <w:rPr>
          <w:color w:val="000000"/>
        </w:rPr>
        <w:t>Отказ и калибровка входят в проверку</w:t>
      </w:r>
    </w:p>
    <w:p>
      <w:r>
        <w:rPr>
          <w:b w:val="0"/>
        </w:rPr>
        <w:t>Calibration и классификационное качество измеряют разные свойства. Temperature scaling [R13] не гарантирует надёжности в новом домене [R14]. Нужны risk–coverage, проверка неизвестных состояний и анализ ошибки «болезнь → здоровый вид». Условная перенормировка после выбора культуры может скрыть слабое исходное свидетельство: это следствие способа вычисления вероятностей. R15 используется как предварительная гипотеза для сравнения joint classes и crop conditioning, а не как доказательство указанного эффекта.</w:t>
      </w:r>
    </w:p>
    <w:p>
      <w:pPr>
        <w:pStyle w:val="Heading2"/>
      </w:pPr>
      <w:r>
        <w:rPr>
          <w:color w:val="000000"/>
        </w:rPr>
        <w:t>Исследовательский вклад проекта</w:t>
      </w:r>
    </w:p>
    <w:p>
      <w:r>
        <w:rPr>
          <w:b w:val="0"/>
        </w:rPr>
        <w:t>Предлагаемый вклад — воспроизводимое объединение ограниченного набора культур с явной онтологией, сравнение компактных моделей, анализ внешнего и местного переноса, отказа и вычислительной стоимости. Казахстанская агрономическая статья [R8] поддерживает предметный контекст, но не заменяет локальные фотографии и пользовательские доказательства. Результаты других работ не являются прогнозом качества AgroVision.</w:t>
      </w:r>
    </w:p>
    <w:p>
      <w:pPr>
        <w:pStyle w:val="Heading1"/>
        <w:pageBreakBefore/>
        <w:spacing w:before="0"/>
      </w:pPr>
      <w:r>
        <w:rPr>
          <w:color w:val="000000"/>
        </w:rPr>
        <w:t>3 Матрица публикаций</w:t>
      </w:r>
    </w:p>
    <w:p>
      <w:r>
        <w:rPr>
          <w:b w:val="0"/>
          <w:sz w:val="20"/>
        </w:rPr>
        <w:t>Источники R1–R4. Полные названия, DOI и первичные ссылки приведены в библиографии.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1800"/>
        <w:gridCol w:w="2664"/>
        <w:gridCol w:w="2880"/>
        <w:gridCol w:w="2880"/>
      </w:tblGrid>
      <w:tr>
        <w:trPr>
          <w:cantSplit/>
          <w:tblHeader/>
        </w:trPr>
        <w:tc>
          <w:tcPr>
            <w:tcW w:type="dxa" w:w="180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Источник и статус</w:t>
            </w:r>
          </w:p>
        </w:tc>
        <w:tc>
          <w:tcPr>
            <w:tcW w:type="dxa" w:w="2664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Подход и полезный результат</w:t>
            </w:r>
          </w:p>
        </w:tc>
        <w:tc>
          <w:tcPr>
            <w:tcW w:type="dxa" w:w="288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Ограничение применимости</w:t>
            </w:r>
          </w:p>
        </w:tc>
        <w:tc>
          <w:tcPr>
            <w:tcW w:type="dxa" w:w="288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Решение для AgroVision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R1</w:t>
              <w:br/>
              <w:t>Xu et al. 2024</w:t>
              <w:br/>
              <w:t>Frontiers Perspective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Качество данных, разнообразие, неизвестные состояния, метаданные места и времени.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Аналитическая перспектива; не экспериментальная проверка конкретного проекта.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Manifest с provenance и группами; внешний и локальный тест вместо одного случайного split.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R2</w:t>
              <w:br/>
              <w:t>Wu et al. 2023</w:t>
              <w:br/>
              <w:t>Plant Phenomics</w:t>
            </w:r>
          </w:p>
        </w:tc>
        <w:tc>
          <w:tcPr>
            <w:tcW w:type="dxa" w:w="266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MSUN переносит лабораторные представления в поле, используя неразмеченные данные целевого домена.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Адаптация видит target images; результат нельзя назвать переносом на полностью невидимый регион.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Сначала supervised baseline на отложенном источнике; adaptation только отдельным опытом на разрешённом target pool.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R3</w:t>
              <w:br/>
              <w:t>Wei et al. 2024</w:t>
              <w:br/>
              <w:t>ACM Multimedia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PlantWild v1: 18 542 изображения и 89 классов; визуально-текстовый baseline для сложных сцен.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Веб-источники не равны фото фермеров Казахстана; v2 меняет таксономию.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Проверить версию, права, метки и дубли; multimodal features оставить дополнительным экспериментом.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R4</w:t>
              <w:br/>
              <w:t>Wei et al. 2026</w:t>
              <w:br/>
              <w:t>Scientific Data</w:t>
            </w:r>
          </w:p>
        </w:tc>
        <w:tc>
          <w:tcPr>
            <w:tcW w:type="dxa" w:w="266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PlantSeg: 7 774 больных изображения с масками и 115 парами растение–болезнь в опубликованной версии.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Ранние версии имели другие числа; связь с PlantWild; маска не равна агрономической стадии.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Сегментация только под отдельную задачу локализации; контроль пересечения источников.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Научные статьи о данных оцениваются по происхождению, разметке и ограничениям использования, а не только по размеру корпуса. Разные версии одного семейства не считаются автоматически независимыми тестами.</w:t>
      </w:r>
    </w:p>
    <w:p>
      <w:pPr>
        <w:pStyle w:val="Heading1"/>
        <w:pageBreakBefore/>
        <w:spacing w:before="0"/>
      </w:pPr>
      <w:r>
        <w:rPr>
          <w:color w:val="000000"/>
        </w:rPr>
        <w:t>3 Матрица публикаций продолжение</w:t>
      </w:r>
    </w:p>
    <w:p>
      <w:r>
        <w:rPr>
          <w:b w:val="0"/>
          <w:sz w:val="20"/>
        </w:rPr>
        <w:t>Источники R5–R8. Полные названия, DOI и первичные ссылки приведены в библиографии.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1800"/>
        <w:gridCol w:w="2664"/>
        <w:gridCol w:w="2880"/>
        <w:gridCol w:w="2880"/>
      </w:tblGrid>
      <w:tr>
        <w:trPr>
          <w:cantSplit/>
          <w:tblHeader/>
        </w:trPr>
        <w:tc>
          <w:tcPr>
            <w:tcW w:type="dxa" w:w="180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Источник и статус</w:t>
            </w:r>
          </w:p>
        </w:tc>
        <w:tc>
          <w:tcPr>
            <w:tcW w:type="dxa" w:w="2664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Подход и полезный результат</w:t>
            </w:r>
          </w:p>
        </w:tc>
        <w:tc>
          <w:tcPr>
            <w:tcW w:type="dxa" w:w="288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Ограничение применимости</w:t>
            </w:r>
          </w:p>
        </w:tc>
        <w:tc>
          <w:tcPr>
            <w:tcW w:type="dxa" w:w="288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Решение для AgroVision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R5</w:t>
              <w:br/>
              <w:t>Petchiammal A et al. 2023</w:t>
              <w:br/>
              <w:t>CODS COMAD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Paddy Doctor: 16 225 смартфонных полевых фото риса, 13 классов, участие специалиста.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Индийский контекст и одна культура; есть вредители; Kaggle subset отличается.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Рис при местном партнёре; отдельно disease, pest damage и healthy appearance; фиксировать вариант.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R6</w:t>
              <w:br/>
              <w:t>Long et al. 2023</w:t>
              <w:br/>
              <w:t>Plant Pathology</w:t>
            </w:r>
          </w:p>
        </w:tc>
        <w:tc>
          <w:tcPr>
            <w:tcW w:type="dxa" w:w="266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CerealConv: поле и теплица, пять состояний пшеницы; сравнение сети с экспертами.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Публичны 999 фото; полный набор 19 172 по запросу. Экспертное сравнение относится к заданному протоколу.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Проверить доступ и права; строить собственное экспертное сравнение на одинаковых фото и критериях.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R7</w:t>
              <w:br/>
              <w:t>Imtiaz et al. 2025</w:t>
              <w:br/>
              <w:t>Data in Brief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731 фото томата из трёх мест Бангладеш; 1 621 аннотация, семь классов.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Семь дней сбора; неоднозначный Black Spot; садоводы не заменяют лабораторное подтверждение.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Разделять по исходнику/сессии, не boxes; проверить v1/v2 и оговорку research-only в статье.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R8</w:t>
              <w:br/>
              <w:t>Rsaliyev et al. 2025</w:t>
              <w:br/>
              <w:t>Plants</w:t>
            </w:r>
          </w:p>
        </w:tc>
        <w:tc>
          <w:tcPr>
            <w:tcW w:type="dxa" w:w="266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Полевое и генетическое исследование устойчивости озимой пшеницы к ржавчине в Южном Казахстане.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 набор пользовательских фото и не проверка компьютерной диагностики; не все регионы и культуры.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Локальная предметная основа и участие агронома; не доказательство accuracy или национальной распространённости.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Доступность публичной карточки не означает проверенную готовность архива. Перед обучением нужны фактическое получение разрешённой версии, аудит файлов, группировка и согласованный mapping меток.</w:t>
      </w:r>
    </w:p>
    <w:p>
      <w:pPr>
        <w:pStyle w:val="Heading1"/>
        <w:pageBreakBefore/>
        <w:spacing w:before="0"/>
      </w:pPr>
      <w:r>
        <w:rPr>
          <w:color w:val="000000"/>
        </w:rPr>
        <w:t>3 Матрица публикаций продолжение</w:t>
      </w:r>
    </w:p>
    <w:p>
      <w:r>
        <w:rPr>
          <w:b w:val="0"/>
          <w:sz w:val="20"/>
        </w:rPr>
        <w:t>Источники R9–R12. Полные названия, DOI и первичные ссылки приведены в библиографии.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1800"/>
        <w:gridCol w:w="2664"/>
        <w:gridCol w:w="2880"/>
        <w:gridCol w:w="2880"/>
      </w:tblGrid>
      <w:tr>
        <w:trPr>
          <w:cantSplit/>
          <w:tblHeader/>
        </w:trPr>
        <w:tc>
          <w:tcPr>
            <w:tcW w:type="dxa" w:w="180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Источник и статус</w:t>
            </w:r>
          </w:p>
        </w:tc>
        <w:tc>
          <w:tcPr>
            <w:tcW w:type="dxa" w:w="2664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Подход и полезный результат</w:t>
            </w:r>
          </w:p>
        </w:tc>
        <w:tc>
          <w:tcPr>
            <w:tcW w:type="dxa" w:w="288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Ограничение применимости</w:t>
            </w:r>
          </w:p>
        </w:tc>
        <w:tc>
          <w:tcPr>
            <w:tcW w:type="dxa" w:w="288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Решение для AgroVision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R9</w:t>
              <w:br/>
              <w:t>Oquab et al. 2024</w:t>
              <w:br/>
              <w:t>TMLR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DINOv2: универсальные визуальные признаки; готовый encoder и линейная голова.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Предобучение дорого; frozen encoder сохраняет стоимость инференса; общие признаки не гарантируют качество болезней.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Дополнительный ViT-S/14 embeddings baseline; сопоставить качество и реальную CPU-задержку.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R10</w:t>
              <w:br/>
              <w:t>Mohanty et al. 2016</w:t>
              <w:br/>
              <w:t>Frontiers</w:t>
            </w:r>
          </w:p>
        </w:tc>
        <w:tc>
          <w:tcPr>
            <w:tcW w:type="dxa" w:w="266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Ранняя transfer learning классификация PlantVillage и проверка на внешних фото.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Контролируемый фон; небольшой внешний тест; исторический результат не полевой стандарт точности.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PlantVillage для baseline и отладки; группировать один лист и преобразованные версии; оценивать внешний перенос.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R11</w:t>
              <w:br/>
              <w:t>Tan и Le 2019</w:t>
              <w:br/>
              <w:t>ICML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EfficientNet совместно масштабирует глубину, ширину и разрешение сети.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FLOPs и ImageNet-результат не определяют победителя и задержку AgroVision.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B0 — стартовый кандидат; B2 лишь при измеренном выигрыше; одинаковый бюджет сравнения.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R12</w:t>
              <w:br/>
              <w:t>Howard et al. 2019</w:t>
              <w:br/>
              <w:t>ICCV</w:t>
            </w:r>
          </w:p>
        </w:tc>
        <w:tc>
          <w:tcPr>
            <w:tcW w:type="dxa" w:w="266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MobileNetV3 использует аппаратно ориентированный поиск и эффективные блоки.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Оптимизация для конкретного устройства не переносится автоматически на любой сервер или телефон.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MobileNetV3-Large — обязательный соперник; измерить размер, CPU p50/p95 и качество.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Для архитектурных baseline одинаковые splits, обработка изображений, бюджет настройки и повторные seeds важнее произвольного сопоставления процентов из разных статей.</w:t>
      </w:r>
    </w:p>
    <w:p>
      <w:pPr>
        <w:pStyle w:val="Heading1"/>
        <w:pageBreakBefore/>
        <w:spacing w:before="0"/>
      </w:pPr>
      <w:r>
        <w:rPr>
          <w:color w:val="000000"/>
        </w:rPr>
        <w:t>3 Матрица публикаций продолжение</w:t>
      </w:r>
    </w:p>
    <w:p>
      <w:r>
        <w:rPr>
          <w:b w:val="0"/>
          <w:sz w:val="20"/>
        </w:rPr>
        <w:t>Источники R13–R16. Полные названия, DOI и первичные ссылки приведены в библиографии.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1800"/>
        <w:gridCol w:w="2664"/>
        <w:gridCol w:w="2880"/>
        <w:gridCol w:w="2880"/>
      </w:tblGrid>
      <w:tr>
        <w:trPr>
          <w:cantSplit/>
          <w:tblHeader/>
        </w:trPr>
        <w:tc>
          <w:tcPr>
            <w:tcW w:type="dxa" w:w="180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Источник и статус</w:t>
            </w:r>
          </w:p>
        </w:tc>
        <w:tc>
          <w:tcPr>
            <w:tcW w:type="dxa" w:w="2664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Подход и полезный результат</w:t>
            </w:r>
          </w:p>
        </w:tc>
        <w:tc>
          <w:tcPr>
            <w:tcW w:type="dxa" w:w="288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Ограничение применимости</w:t>
            </w:r>
          </w:p>
        </w:tc>
        <w:tc>
          <w:tcPr>
            <w:tcW w:type="dxa" w:w="288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Решение для AgroVision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R13</w:t>
              <w:br/>
              <w:t>Guo et al. 2017</w:t>
              <w:br/>
              <w:t>ICML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Некалиброванные вероятности современных сетей; temperature scaling как post-hoc метод.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Калибровка validation не гарантирует новый домен и не обнаруживает все неизвестные болезни.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Отдельный calibration split; reliability diagram, NLL/Brier/ECE; пороги без тестовых меток.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R14</w:t>
              <w:br/>
              <w:t>Ovadia et al. 2019</w:t>
              <w:br/>
              <w:t>NeurIPS</w:t>
            </w:r>
          </w:p>
        </w:tc>
        <w:tc>
          <w:tcPr>
            <w:tcW w:type="dxa" w:w="266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Неопределённость при dataset shift; ограничения привычной post-hoc калибровки.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Общие задачи; не готовый порог для растений. Ансамбли добавляют вычисления.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Risk–coverage и calibration отдельно по внешнему и местному тестам; softmax не обещает частоту верных диагнозов.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R15</w:t>
              <w:br/>
              <w:t>Nalwanga et al. 2026</w:t>
              <w:br/>
              <w:t>Препринт arXiv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MLD объединяет шесть источников, 18 культур, 56 классов; crop-conditioned сравнение.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Рецензирование не подтверждено; pooled split содержит те же источники; независимость групп раскрыта недостаточно.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Гипотеза для ablation joint/conditioning; не обязательное основание архитектуры и не доказательство нового региона.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R16</w:t>
              <w:br/>
              <w:t>ONNX Runtime</w:t>
              <w:br/>
              <w:t>Официальные docs</w:t>
            </w:r>
          </w:p>
        </w:tc>
        <w:tc>
          <w:tcPr>
            <w:tcW w:type="dxa" w:w="266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Static/dynamic quantization, calibration диапазонов, QDQ/QOperator и проверка потери качества.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 научная публикация и не измерение скорости конкретной сети. Документация изменяема.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Сначала FP32 и parity; INT8 отдельно с измерением скорости, качества и повторной оценкой policy.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Препринт и техническая документация содержательно используются, но не включаются в число 14 рецензируемых публикаций. Обзор не заявляет проведённые эксперименты или заранее выбранного победителя.</w:t>
      </w:r>
    </w:p>
    <w:p>
      <w:pPr>
        <w:pStyle w:val="Heading1"/>
        <w:pageBreakBefore/>
        <w:spacing w:before="0"/>
      </w:pPr>
      <w:r>
        <w:rPr>
          <w:color w:val="000000"/>
        </w:rPr>
        <w:t>4 Сравнение существующих систем</w:t>
      </w:r>
    </w:p>
    <w:p>
      <w:r>
        <w:rPr>
          <w:b w:val="0"/>
        </w:rPr>
        <w:t>Сравниваются Plantix, актуальная PlantVillage+, Agrio и специализированный сельскохозяйственный API kindwise crop.health. Источники — официальные страницы и карточки разработчиков на 21.10.2026. Приложения не устанавливались, API не тестировались. «Не установлено» означает отсутствие достаточного подтверждения в рассмотренных материалах, а не отсутствие функции.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1440"/>
        <w:gridCol w:w="2196"/>
        <w:gridCol w:w="2196"/>
        <w:gridCol w:w="2196"/>
        <w:gridCol w:w="2196"/>
      </w:tblGrid>
      <w:tr>
        <w:trPr>
          <w:cantSplit/>
          <w:tblHeader/>
        </w:trPr>
        <w:tc>
          <w:tcPr>
            <w:tcW w:type="dxa" w:w="144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219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Plantix</w:t>
            </w:r>
          </w:p>
        </w:tc>
        <w:tc>
          <w:tcPr>
            <w:tcW w:type="dxa" w:w="219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PlantVillage+</w:t>
            </w:r>
          </w:p>
        </w:tc>
        <w:tc>
          <w:tcPr>
            <w:tcW w:type="dxa" w:w="219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Agrio</w:t>
            </w:r>
          </w:p>
        </w:tc>
        <w:tc>
          <w:tcPr>
            <w:tcW w:type="dxa" w:w="219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crop.health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 Культуры и состояния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App: 30 культур, 780+ повреждений; API отдельно: 57 культур и 970 стрессоров [P2,P3].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Заявлены болезни, вредители и другие проблемы. Полный текущий каталог не установлен [N1].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Болезни, вредители, дефициты. Исчерпывающий каталог классов не установлен [A1,A2].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23 культуры, 288 проблем; перечислены wheat, barley, maize, rice, potato, tomato [K1].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 Фото и результат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Фото, гипотеза, советы; REST JSON с confidence и рекомендациями [P1,P3].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Фото и AI-supported предположения, практическая информация [N1].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Смартфонное фото, вероятные причины, IPM; API confidence и контекст [A2,A4].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Культура/проблема, confidence, симптомы, иллюстрации и справочные идентификаторы [K1,K2].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 Каналы доступа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Android, сайт/сообщество, REST API. iOS того же разработчика не установлен [P1–P3].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Подтверждён Android package plantvillage.nuru. Текущие iOS/API не установлены [N1].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Android, iOS, Agriculture API. Пользовательская web-диагностика не установлена [A2–A4].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Облачный REST API, web-демо, admin. Собственный фермерский mobile-клиент не установлен [K1,K2].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 Без связи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Автономный inference приложения не установлен; API серверный [P2,P3].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Текущие функции зависят от связи и устройства. Полный offline не установлен [N1].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Автономный inference не установлен; описаны upload и синхронизация [A1,A2].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HTTPS API. Доступная offline-модель не установлена [K2].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Каталоги приложения и API Plantix различаются; их числа нельзя взаимозаменять. Показатели точности поставщиков получены на разных наборах и не позволяют объявить победителя. Цена и обещания роста урожайности в оценку не включены.</w:t>
      </w:r>
    </w:p>
    <w:p>
      <w:pPr>
        <w:pStyle w:val="Heading1"/>
        <w:pageBreakBefore/>
        <w:spacing w:before="0"/>
      </w:pPr>
      <w:r>
        <w:rPr>
          <w:color w:val="000000"/>
        </w:rPr>
        <w:t>4 Сравнение систем продолжение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1440"/>
        <w:gridCol w:w="2196"/>
        <w:gridCol w:w="2196"/>
        <w:gridCol w:w="2196"/>
        <w:gridCol w:w="2196"/>
      </w:tblGrid>
      <w:tr>
        <w:trPr>
          <w:cantSplit/>
          <w:tblHeader/>
        </w:trPr>
        <w:tc>
          <w:tcPr>
            <w:tcW w:type="dxa" w:w="144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219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Plantix</w:t>
            </w:r>
          </w:p>
        </w:tc>
        <w:tc>
          <w:tcPr>
            <w:tcW w:type="dxa" w:w="219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PlantVillage+</w:t>
            </w:r>
          </w:p>
        </w:tc>
        <w:tc>
          <w:tcPr>
            <w:tcW w:type="dxa" w:w="219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Agrio</w:t>
            </w:r>
          </w:p>
        </w:tc>
        <w:tc>
          <w:tcPr>
            <w:tcW w:type="dxa" w:w="219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crop.health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 История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Полноценный личный полевой журнал не установлен; сообщество не равно журналу [P1,P2].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PV Journal: посев, обработки, урожай, наблюдения, даты, фото и заметки [N1].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Журнал вмешательств, обследования, участки, команды, задачи и отчёты [A1,A2].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Сохранённые результаты API/admin; готовый полевой журнал не установлен [K2,K3].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 Геоданные и риски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Районные предупреждения и агропогода [P2].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Места наблюдений, маршрут полевой работы по действию пользователя [N1].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Геоотчёты, спутниковые индексы, погода, риски и AgrioShield [A1,A2,A4].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Общие рекомендации GPS/времени; их влияние в crop.health и мониторинг не установлены [K2].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 Эксперт и feedback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Экспертное сообщество; помощь при неясном фото и для культур вне каталога [P1,P2].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Рекомендована местная экспертиза; обязательная проверка каждого ответа не установлена [N1].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Описана передача нераспознанных фото людям; обязательность и срок не установлены [A5].</w:t>
            </w:r>
          </w:p>
        </w:tc>
        <w:tc>
          <w:tcPr>
            <w:tcW w:type="dxa" w:w="21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Эксперты участвуют в данных/контенте; индивидуальная проверка каждого запроса не установлена [K1,K2].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 Казахстан и языки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Заявлены 19 языков; казахский и независимый тест в Казахстане не установлены [P2,P3].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Функции зависят от страны, культуры и языка; локальный тест и полнота RU/KK не установлены [N1].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Независимый местный тест и казахский интерфейс не установлены [A1–A5].</w:t>
            </w:r>
          </w:p>
        </w:tc>
        <w:tc>
          <w:tcPr>
            <w:tcW w:type="dxa" w:w="21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Культуры подходят для кандидатов; полнота RU/KK и локальный тест не установлены [K1–K3].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pStyle w:val="Heading2"/>
      </w:pPr>
      <w:r>
        <w:rPr>
          <w:color w:val="000000"/>
        </w:rPr>
        <w:t>Исторический Nuru учитывается отдельно</w:t>
      </w:r>
    </w:p>
    <w:p>
      <w:r>
        <w:rPr>
          <w:b w:val="0"/>
        </w:rPr>
        <w:t>Mrisho et al. исследовали PlantVillage Nuru в 2020 году для CMD, CBSD и cassava green mite на маниоке Восточной Африки. Подтверждены автономная обработка и влияние количества осмотренных листьев [N2]. Penn State описывал Android-распознавание повреждения fall armyworm на кукурузе в 2018 году [N3]. Эти сведения не подтверждают полный каталог, автономность или качество текущей PlantVillage+ в Казахстане.</w:t>
      </w:r>
    </w:p>
    <w:p>
      <w:pPr>
        <w:pStyle w:val="Heading2"/>
      </w:pPr>
      <w:r>
        <w:rPr>
          <w:color w:val="000000"/>
        </w:rPr>
        <w:t>Почему нужна собственная исследовательская проверка</w:t>
      </w:r>
    </w:p>
    <w:p>
      <w:r>
        <w:rPr>
          <w:b w:val="0"/>
        </w:rPr>
        <w:t>Аналоги уже предлагают фото-диагностику, советы, журналы и API. Обоснование диплома строится на воспроизводимой проверке конкретных культур и местных условий, прозрачной области поддержки и оценке неопределённости. Из рассмотренных источников нельзя заключить, что существующие продукты плохо работают в Казахстане. Для такого сравнения нужен один согласованный локальный набор, общие классы, разрешённый доступ и одинаковый протокол.</w:t>
      </w:r>
    </w:p>
    <w:p>
      <w:r>
        <w:rPr>
          <w:b w:val="0"/>
        </w:rPr>
        <w:t>Для AgroVision история наблюдения, RU/KK-формулировки и понятные действия при неопределённости остаются проектными требованиями. Их приоритет должен быть проверен в реальных беседах. Справочное поле severity или сохранённый API-ответ не приравниваются к измерению доли поражения и полноценному полевому журналу.</w:t>
      </w:r>
    </w:p>
    <w:p>
      <w:pPr>
        <w:pStyle w:val="Heading1"/>
        <w:pageBreakBefore/>
        <w:spacing w:before="0"/>
      </w:pPr>
      <w:r>
        <w:rPr>
          <w:color w:val="000000"/>
        </w:rPr>
        <w:t>5 Технические решения и альтернативы</w:t>
      </w:r>
    </w:p>
    <w:p>
      <w:r>
        <w:rPr>
          <w:b w:val="0"/>
        </w:rPr>
        <w:t>Критерии выбора: реализуемость двумя студентами, связь с Python ML, устойчивость к обрыву связи, версия результата, умеренная эксплуатационная сложность и проверяемость. Все решения проектные; преимущество скорости без измерений не заявляется.</w:t>
      </w:r>
    </w:p>
    <w:p>
      <w:pPr>
        <w:pStyle w:val="Heading2"/>
      </w:pPr>
      <w:r>
        <w:rPr>
          <w:color w:val="000000"/>
        </w:rPr>
        <w:t>Backend платформа</w:t>
      </w:r>
    </w:p>
    <w:p>
      <w:r>
        <w:rPr>
          <w:b w:val="0"/>
          <w:sz w:val="20"/>
        </w:rPr>
        <w:t>FR-02–07, FR-09, FR-14, FR-16; NFR-03, NFR-04, NFR-06, NFR-10.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3096"/>
        <w:gridCol w:w="3528"/>
        <w:gridCol w:w="3600"/>
      </w:tblGrid>
      <w:tr>
        <w:trPr>
          <w:cantSplit/>
          <w:tblHeader/>
        </w:trPr>
        <w:tc>
          <w:tcPr>
            <w:tcW w:type="dxa" w:w="309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3528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Преимущество для задачи</w:t>
            </w:r>
          </w:p>
        </w:tc>
        <w:tc>
          <w:tcPr>
            <w:tcW w:type="dxa" w:w="360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Цена и ограничение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FastAPI + Pydantic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Python API и локальная интеграция ML-runtime, явные schemas.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Auth, транзакции и durable queue требуют проектирования.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Django + DRF</w:t>
            </w:r>
          </w:p>
        </w:tc>
        <w:tc>
          <w:tcPr>
            <w:tcW w:type="dxa" w:w="352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Готовые инструменты административного CRUD, permissions, serializers.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Более широкий framework; полезнее при доминировании административных процессов.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NestJS + Python runtime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Структурированный TypeScript backend.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Дополнительная граница между бизнес-API и Python ML.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Выбран FastAPI: он соответствует направлению проекта и уменьшает интеграционную цену Python serving. DRF и NestJS остаются полноценными альтернативами. Основание возможностей — официальная документация [T1–T3].</w:t>
      </w:r>
    </w:p>
    <w:p>
      <w:pPr>
        <w:pStyle w:val="Heading2"/>
      </w:pPr>
      <w:r>
        <w:rPr>
          <w:color w:val="000000"/>
        </w:rPr>
        <w:t>Границы backend</w:t>
      </w:r>
    </w:p>
    <w:p>
      <w:r>
        <w:rPr>
          <w:b w:val="0"/>
          <w:sz w:val="20"/>
        </w:rPr>
        <w:t>FR-03–07, FR-09, FR-14; NFR-03, NFR-06, NFR-10.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3096"/>
        <w:gridCol w:w="3528"/>
        <w:gridCol w:w="3600"/>
      </w:tblGrid>
      <w:tr>
        <w:trPr>
          <w:cantSplit/>
          <w:tblHeader/>
        </w:trPr>
        <w:tc>
          <w:tcPr>
            <w:tcW w:type="dxa" w:w="309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3528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Преимущество для задачи</w:t>
            </w:r>
          </w:p>
        </w:tc>
        <w:tc>
          <w:tcPr>
            <w:tcW w:type="dxa" w:w="360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Цена и ограничение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Модульный монолит API + worker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Единые миграции; HTTP отделён от вычислений; одна транзакция assessment/job.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Нужно сохранять предметные границы модулей.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Вся логика в HTTP-процессе</w:t>
            </w:r>
          </w:p>
        </w:tc>
        <w:tc>
          <w:tcPr>
            <w:tcW w:type="dxa" w:w="352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Простой локальный proof of concept.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Связаны нагрузка и перезапуск; фоновые действия не становятся устойчивыми автоматически.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Набор микросервисов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Независимые циклы эксплуатации самостоятельных частей.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Сетевые контракты, deployment и согласование данных пока избыточны для двух участников.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Выбран модульный монолит с двумя процессами одной кодовой базы. Пересмотр возможен при измеренном bottleneck или независимой эксплуатации, а не из-за одного большого файла [T4].</w:t>
      </w:r>
    </w:p>
    <w:p>
      <w:pPr>
        <w:pStyle w:val="Heading1"/>
        <w:pageBreakBefore/>
        <w:spacing w:before="0"/>
      </w:pPr>
      <w:r>
        <w:rPr>
          <w:color w:val="000000"/>
        </w:rPr>
        <w:t>5 Хранение и выполнение задач</w:t>
      </w:r>
    </w:p>
    <w:p>
      <w:pPr>
        <w:pStyle w:val="Heading2"/>
      </w:pPr>
      <w:r>
        <w:rPr>
          <w:color w:val="000000"/>
        </w:rPr>
        <w:t>Метаданные и фотографии</w:t>
      </w:r>
    </w:p>
    <w:p>
      <w:r>
        <w:rPr>
          <w:b w:val="0"/>
          <w:sz w:val="20"/>
        </w:rPr>
        <w:t>FR-03–06, FR-09, FR-10, FR-14, FR-15; NFR-03–06.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3096"/>
        <w:gridCol w:w="3528"/>
        <w:gridCol w:w="3600"/>
      </w:tblGrid>
      <w:tr>
        <w:trPr>
          <w:cantSplit/>
          <w:tblHeader/>
        </w:trPr>
        <w:tc>
          <w:tcPr>
            <w:tcW w:type="dxa" w:w="309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3528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Преимущество для задачи</w:t>
            </w:r>
          </w:p>
        </w:tc>
        <w:tc>
          <w:tcPr>
            <w:tcW w:type="dxa" w:w="360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Цена и ограничение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PostgreSQL + private S3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Транзакции metadata/job, отдельное хранение тяжёлых объектов.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Нет общей DB/S3-транзакции; нужны lifecycle, immutable keys и cleanup.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Все bytes в PostgreSQL</w:t>
            </w:r>
          </w:p>
        </w:tc>
        <w:tc>
          <w:tcPr>
            <w:tcW w:type="dxa" w:w="352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Один механизм транзакций и backup.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Рост объёма БД и связь метаданных с тяжёлыми артефактами.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SQLite + локальные файлы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Простой локальный прототип.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Общий серверный API/worker требуют отдельного протокола конкуренции и хранения.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Выбраны PostgreSQL и приватное S3-совместимое хранилище. SQLite решает другую задачу — локальную очередь mobile-черновиков. Это выбор под конкретный сценарий, а не утверждение о непригодности SQLite для web [T5–T7].</w:t>
      </w:r>
    </w:p>
    <w:p>
      <w:pPr>
        <w:pStyle w:val="Heading2"/>
      </w:pPr>
      <w:r>
        <w:rPr>
          <w:color w:val="000000"/>
        </w:rPr>
        <w:t>Выполнение assessment</w:t>
      </w:r>
    </w:p>
    <w:p>
      <w:r>
        <w:rPr>
          <w:b w:val="0"/>
          <w:sz w:val="20"/>
        </w:rPr>
        <w:t>FR-05–06, FR-14; NFR-02–03, NFR-06.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3096"/>
        <w:gridCol w:w="3528"/>
        <w:gridCol w:w="3600"/>
      </w:tblGrid>
      <w:tr>
        <w:trPr>
          <w:cantSplit/>
          <w:tblHeader/>
        </w:trPr>
        <w:tc>
          <w:tcPr>
            <w:tcW w:type="dxa" w:w="309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3528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Преимущество для задачи</w:t>
            </w:r>
          </w:p>
        </w:tc>
        <w:tc>
          <w:tcPr>
            <w:tcW w:type="dxa" w:w="360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Цена и ограничение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Worker + PostgreSQL jobs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Assessment и job атомарны; не нужен отдельный broker для одного типа задания.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Надо реализовать lease, fencing, bounded retry и проверить гонки.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Celery + Redis или RabbitMQ</w:t>
            </w:r>
          </w:p>
        </w:tc>
        <w:tc>
          <w:tcPr>
            <w:tcW w:type="dxa" w:w="352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Готовые worker, scheduling, routing и monitoring.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Дополнительный сервис; DB commit/broker publish требуют outbox или другого согласования.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Синхронный inference или callback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Быстрый первый локальный опыт.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Зависимость от lifetime запроса/процесса; BackgroundTasks не даёт durable guarantee.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Выбран отдельный worker и узкая PostgreSQL очередь. Гарантия — at-least-once выполнение и один committed result, без обещания exactly-once вычисления. Для статуса одного фото достаточно polling. Celery оправдан при усложнении workflow [T4,T5,T8].</w:t>
      </w:r>
    </w:p>
    <w:p>
      <w:pPr>
        <w:pStyle w:val="Heading1"/>
        <w:pageBreakBefore/>
        <w:spacing w:before="0"/>
      </w:pPr>
      <w:r>
        <w:rPr>
          <w:color w:val="000000"/>
        </w:rPr>
        <w:t>5 Модельный runtime и организация проекта</w:t>
      </w:r>
    </w:p>
    <w:p>
      <w:pPr>
        <w:pStyle w:val="Heading2"/>
      </w:pPr>
      <w:r>
        <w:rPr>
          <w:color w:val="000000"/>
        </w:rPr>
        <w:t>Где и как выполнять inference</w:t>
      </w:r>
    </w:p>
    <w:p>
      <w:r>
        <w:rPr>
          <w:b w:val="0"/>
          <w:sz w:val="20"/>
        </w:rPr>
        <w:t>FR-07, FR-14, FR-16; NFR-01–02, NFR-06, NFR-08.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3096"/>
        <w:gridCol w:w="3528"/>
        <w:gridCol w:w="3600"/>
      </w:tblGrid>
      <w:tr>
        <w:trPr>
          <w:cantSplit/>
          <w:tblHeader/>
        </w:trPr>
        <w:tc>
          <w:tcPr>
            <w:tcW w:type="dxa" w:w="309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3528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Преимущество для задачи</w:t>
            </w:r>
          </w:p>
        </w:tc>
        <w:tc>
          <w:tcPr>
            <w:tcW w:type="dxa" w:w="360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Цена и ограничение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CPU ONNX Runtime на сервере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Общий runtime клиентов, центральное обновление модели.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Нужны совместимый экспорт, parity и реальные latency/RAM измерения.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PyTorch на сервере</w:t>
            </w:r>
          </w:p>
        </w:tc>
        <w:tc>
          <w:tcPr>
            <w:tcW w:type="dxa" w:w="352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Сохраняет исходный graph при проблемах ONNX.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Более широкий environment; необходимость GPU-serving надо доказать.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ONNX в React Native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Потенциальная работа без сети после загрузки модели.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Отдельная проверка устройств, операторов, build, памяти, обновлений и parity.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Начальный вариант — CPU ONNX FP32 после успешной parity-проверки. PyTorch допустим как осознанный fallback. Наличие React Native пакета не доказывает работоспособность выбранной модели. Offline MVP ограничен черновиками [R16,T9,T10].</w:t>
      </w:r>
    </w:p>
    <w:p>
      <w:pPr>
        <w:pStyle w:val="Heading2"/>
      </w:pPr>
      <w:r>
        <w:rPr>
          <w:color w:val="000000"/>
        </w:rPr>
        <w:t>Monorepo и повторное использование</w:t>
      </w:r>
    </w:p>
    <w:p>
      <w:r>
        <w:rPr>
          <w:b w:val="0"/>
          <w:sz w:val="20"/>
        </w:rPr>
        <w:t>FR-01–07, FR-09; NFR-06, NFR-08, NFR-10.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3096"/>
        <w:gridCol w:w="3528"/>
        <w:gridCol w:w="3600"/>
      </w:tblGrid>
      <w:tr>
        <w:trPr>
          <w:cantSplit/>
          <w:tblHeader/>
        </w:trPr>
        <w:tc>
          <w:tcPr>
            <w:tcW w:type="dxa" w:w="309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3528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Преимущество для задачи</w:t>
            </w:r>
          </w:p>
        </w:tc>
        <w:tc>
          <w:tcPr>
            <w:tcW w:type="dxa" w:w="360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Цена и ограничение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pnpm workspace + uv projects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Атомарные изменения контракта, простое ownership, отдельное training-окружение.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Нужно закреплять совместимые native/Python зависимости.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Monorepo + Nx или Turbo</w:t>
            </w:r>
          </w:p>
        </w:tc>
        <w:tc>
          <w:tcPr>
            <w:tcW w:type="dxa" w:w="352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Cache и граф задач при заметной проблеме сборок.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Дополнительный инструмент до появления измеренной потребности.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Отдельные mobile API ML repos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Независимые циклы версий и команды.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Для двух студентов усложняют публикацию и синхронизацию контрактов.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Выбран один репозиторий с generated API types/client, платформенными UI-адаптерами и независимым от FastAPI ML-runtime. React web остаётся будущим клиентом; его экраны и код сейчас не создаются [T11–T13].</w:t>
      </w:r>
    </w:p>
    <w:p>
      <w:pPr>
        <w:pStyle w:val="Heading1"/>
        <w:pageBreakBefore/>
        <w:spacing w:before="0"/>
      </w:pPr>
      <w:r>
        <w:rPr>
          <w:color w:val="000000"/>
        </w:rPr>
        <w:t>6 Функциональные требования</w:t>
      </w:r>
    </w:p>
    <w:p>
      <w:r>
        <w:rPr>
          <w:b w:val="0"/>
        </w:rPr>
        <w:t>M означает Must для согласованного MVP, S — Should для следующего объёма. Это приоритеты будущей реализации, а не обязанность закончить код к 24 октября. Предложенные лимиты входа и критерии уточняются до итоговой оценки, с записью причины изменения.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907"/>
        <w:gridCol w:w="1872"/>
        <w:gridCol w:w="6005"/>
        <w:gridCol w:w="1440"/>
      </w:tblGrid>
      <w:tr>
        <w:trPr>
          <w:cantSplit/>
          <w:tblHeader/>
        </w:trPr>
        <w:tc>
          <w:tcPr>
            <w:tcW w:type="dxa" w:w="907"/>
            <w:vAlign w:val="center"/>
            <w:shd w:fill="244A63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1872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Функция</w:t>
            </w:r>
          </w:p>
        </w:tc>
        <w:tc>
          <w:tcPr>
            <w:tcW w:type="dxa" w:w="6005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Приёмка будущей реализации</w:t>
            </w:r>
          </w:p>
        </w:tc>
        <w:tc>
          <w:tcPr>
            <w:tcW w:type="dxa" w:w="144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Проверка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FR-01</w:t>
              <w:br/>
              <w:t>M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Каталог поддержки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 менее двух культур в исследуемой конфигурации. Каждая поддержанная пара и орган связаны с model version и отчётом. Неизвестный crop ID не запускает классификацию.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T-CAT, T-MOD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FR-02</w:t>
              <w:br/>
              <w:t>M</w:t>
            </w:r>
          </w:p>
        </w:tc>
        <w:tc>
          <w:tcPr>
            <w:tcW w:type="dxa" w:w="187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Вход и сессия</w:t>
            </w:r>
          </w:p>
        </w:tc>
        <w:tc>
          <w:tcPr>
            <w:tcW w:type="dxa" w:w="600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Повторный вход открывает свою серверную историю. Logout отзывает refresh-сессию; чужая/неавторизованная история недоступна. Web-проверка отложена.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T-AUTH, T-UI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FR-03</w:t>
              <w:br/>
              <w:t>M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Наблюдение с фото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Одно основное фото, выбранная культура, орган/дата, необязательная заметка. Повтор client ID не создаёт дубль. Поле/ферма необязательны.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T-OBS, T-UI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FR-04</w:t>
              <w:br/>
              <w:t>M</w:t>
            </w:r>
          </w:p>
        </w:tc>
        <w:tc>
          <w:tcPr>
            <w:tcW w:type="dxa" w:w="187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Проверка upload</w:t>
            </w:r>
          </w:p>
        </w:tc>
        <w:tc>
          <w:tcPr>
            <w:tcW w:type="dxa" w:w="600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Предложены JPEG/PNG, до 10 MiB и 20 MP. Проверяются декодированные bytes, формат и размеры. Только успешный файл получает ready.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T-UPL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FR-05</w:t>
              <w:br/>
              <w:t>M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Запуск assessment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После durable commit возвращаются ID и 202. Параллельные одинаковые owner/key/body дают один assessment/job; иное тело с тем же ключом — 409.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T-JOB, T-AUTH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FR-06</w:t>
              <w:br/>
              <w:t>M</w:t>
            </w:r>
          </w:p>
        </w:tc>
        <w:tc>
          <w:tcPr>
            <w:tcW w:type="dxa" w:w="187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Состояние и recovery</w:t>
            </w:r>
          </w:p>
        </w:tc>
        <w:tc>
          <w:tcPr>
            <w:tcW w:type="dxa" w:w="600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queued/running/completed/failed. Перезапуск worker и ограниченные retries завершаются одним result либо явной ошибкой; нет бессрочного running.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T-JOB, T-RES, T-UI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FR-07</w:t>
              <w:br/>
              <w:t>M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Честный результат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Четыре outcome, причина и действие. predicted имеет стабильные class IDs и model version. Неопределённость, здоровый вид и серверный сбой различаются.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T-RES, T-EVAL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FR-08</w:t>
              <w:br/>
              <w:t>S</w:t>
            </w:r>
          </w:p>
        </w:tc>
        <w:tc>
          <w:tcPr>
            <w:tcW w:type="dxa" w:w="187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Справка и ограничения</w:t>
            </w:r>
          </w:p>
        </w:tc>
        <w:tc>
          <w:tcPr>
            <w:tcW w:type="dxa" w:w="600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У справки есть источник/версия и следующий шаг. Для неизвестного случая — пересъёмка/специалист. Текст справки отделён от численного вывода.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T-RES, контент review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  <w:sz w:val="20"/>
        </w:rPr>
        <w:t>Тестовые идентификаторы обозначают план, не существующие тестовые файлы. T-CAT — каталог; T-UPL — проверка upload; T-JOB — идемпотентность и recovery; T-RES — контракт результата; T-UI — сценарий клиента; T-AUTH — изоляция доступа.</w:t>
      </w:r>
    </w:p>
    <w:p>
      <w:pPr>
        <w:pStyle w:val="Heading1"/>
        <w:pageBreakBefore/>
        <w:spacing w:before="0"/>
      </w:pPr>
      <w:r>
        <w:rPr>
          <w:color w:val="000000"/>
        </w:rPr>
        <w:t>6 Функциональные требования продолжение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907"/>
        <w:gridCol w:w="1872"/>
        <w:gridCol w:w="6005"/>
        <w:gridCol w:w="1440"/>
      </w:tblGrid>
      <w:tr>
        <w:trPr>
          <w:cantSplit/>
          <w:tblHeader/>
        </w:trPr>
        <w:tc>
          <w:tcPr>
            <w:tcW w:type="dxa" w:w="907"/>
            <w:vAlign w:val="center"/>
            <w:shd w:fill="244A63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1872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Функция</w:t>
            </w:r>
          </w:p>
        </w:tc>
        <w:tc>
          <w:tcPr>
            <w:tcW w:type="dxa" w:w="6005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Приёмка будущей реализации</w:t>
            </w:r>
          </w:p>
        </w:tc>
        <w:tc>
          <w:tcPr>
            <w:tcW w:type="dxa" w:w="144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Проверка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FR-09</w:t>
              <w:br/>
              <w:t>M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Собственная история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Пагинация, фильтры по дате/культуре, исходное фото и версии оценок. Новая модель создаёт новую запись; чужих объектов в истории нет.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T-OBS, T-MOD, T-AUTH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FR-10</w:t>
              <w:br/>
              <w:t>S</w:t>
            </w:r>
          </w:p>
        </w:tc>
        <w:tc>
          <w:tcPr>
            <w:tcW w:type="dxa" w:w="187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Поле и сезон</w:t>
            </w:r>
          </w:p>
        </w:tc>
        <w:tc>
          <w:tcPr>
            <w:tcW w:type="dxa" w:w="600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Farm, Field, FieldSeason и культура сезона с owner checks. Новый сезон не меняет прошлые записи. Полигональная карта не обязательна.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T-OBS, T-AUTH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FR-11</w:t>
              <w:br/>
              <w:t>S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Offline черновик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Фото/metadata сохраняются после обычного перезапуска. Reconnect/retry используют прежние IDs; account switch не отправляет чужой draft. До ответа только pending.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T-OFF, T-JOB, T-AUTH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FR-12</w:t>
              <w:br/>
              <w:t>S</w:t>
            </w:r>
          </w:p>
        </w:tc>
        <w:tc>
          <w:tcPr>
            <w:tcW w:type="dxa" w:w="187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Пользовательский отзыв</w:t>
            </w:r>
          </w:p>
        </w:tc>
        <w:tc>
          <w:tcPr>
            <w:tcW w:type="dxa" w:w="600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Feedback связан с assessment/автором. «Неверно» или пользовательская метка не меняют prediction и не становятся автоматически экспертной разметкой.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T-ANN, T-AUTH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FR-13</w:t>
              <w:br/>
              <w:t>S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Экспертная аннотация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Состояние либо uncertain, provenance, уровень подтверждения, автор и время. Доступ только к разрешённым образцам. Управляемый импорт таблицы допустим.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T-ANN, T-AUTH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FR-14</w:t>
              <w:br/>
              <w:t>M</w:t>
            </w:r>
          </w:p>
        </w:tc>
        <w:tc>
          <w:tcPr>
            <w:tcW w:type="dxa" w:w="187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Выпуск bundle</w:t>
            </w:r>
          </w:p>
        </w:tc>
        <w:tc>
          <w:tcPr>
            <w:tcW w:type="dxa" w:w="600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Проверяются checksum, class order, preprocess, policy, score space и calibration artifact при заявленной calibration. Null thresholds не разрешают выпуск. Jobs сохраняют pinned version.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T-MOD, T-JOB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FR-15</w:t>
              <w:br/>
              <w:t>S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Удаление наблюдения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Новые чтения и URLs запрещены; worker не публикует результат удалённого случая. Blob cleanup документирован; ранее выданная URL истекает по TTL.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T-DEL, T-AUTH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FR-16</w:t>
              <w:br/>
              <w:t>M</w:t>
            </w:r>
          </w:p>
        </w:tc>
        <w:tc>
          <w:tcPr>
            <w:tcW w:type="dxa" w:w="187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Воспроизводимая оценка</w:t>
            </w:r>
          </w:p>
        </w:tc>
        <w:tc>
          <w:tcPr>
            <w:tcW w:type="dxa" w:w="600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Одна процедура фиксирует manifest, split, bundle, config, baseline, per-class/per-crop метрики, coverage и оборудование. Отсутствие local test отражено в выводах.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T-EVAL, T-REPRO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  <w:sz w:val="20"/>
        </w:rPr>
        <w:t>T-OBS проверяет наблюдение и историю; T-OFF — устойчивость черновика; T-ANN — разделение feedback/reference labels; T-MOD — модельный bundle и версии; T-DEL — удаление и гонки; T-EVAL/T-REPRO — единый протокол и повторимость. Экспертная панель и UI управления хозяйством могут появиться позже соответствующих данных/контрактов.</w:t>
      </w:r>
    </w:p>
    <w:p>
      <w:pPr>
        <w:pStyle w:val="Heading1"/>
        <w:pageBreakBefore/>
        <w:spacing w:before="0"/>
      </w:pPr>
      <w:r>
        <w:rPr>
          <w:color w:val="000000"/>
        </w:rPr>
        <w:t>6 Нефункциональные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979"/>
        <w:gridCol w:w="1656"/>
        <w:gridCol w:w="7589"/>
      </w:tblGrid>
      <w:tr>
        <w:trPr>
          <w:cantSplit/>
          <w:tblHeader/>
        </w:trPr>
        <w:tc>
          <w:tcPr>
            <w:tcW w:type="dxa" w:w="979"/>
            <w:vAlign w:val="center"/>
            <w:shd w:fill="244A63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165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Свойство</w:t>
            </w:r>
          </w:p>
        </w:tc>
        <w:tc>
          <w:tcPr>
            <w:tcW w:type="dxa" w:w="7589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Критерий и условия проверки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NFR-01</w:t>
              <w:br/>
              <w:t>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Границы ML</w:t>
            </w:r>
          </w:p>
        </w:tc>
        <w:tc>
          <w:tcPr>
            <w:tcW w:type="dxa" w:w="758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Каждый выпускаемый bundle имеет классы, provenance/split, per-class метрики и ограничения. Пороги фиксируются до теста. Без local test нет маркировки «проверено для Казахстана».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NFR-02</w:t>
              <w:br/>
              <w:t>S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Задержка</w:t>
            </w:r>
          </w:p>
        </w:tc>
        <w:tc>
          <w:tcPr>
            <w:tcW w:type="dxa" w:w="7589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Предлагаемая цель p95 ≤5 s от принятого assessment готового фото до результата: 2 активных запроса, 100 фото, прогретый worker. CPU/RAM/threads фиксируются; cold start/upload отдельно.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NFR-03</w:t>
              <w:br/>
              <w:t>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Восстановление</w:t>
            </w:r>
          </w:p>
        </w:tc>
        <w:tc>
          <w:tcPr>
            <w:tcW w:type="dxa" w:w="758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Kill/restart после claim и inference даёт один result или failed после лимита. Recovery не позднее двух lease-периодов при работающей инфраструктуре. Старый token не записывает result.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NFR-04</w:t>
              <w:br/>
              <w:t>M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Изоляция</w:t>
            </w:r>
          </w:p>
        </w:tc>
        <w:tc>
          <w:tcPr>
            <w:tcW w:type="dxa" w:w="7589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Негативная матрица пользователей A/B запрещает чужие observations, photos, assessments, fields, feedback и signed URLs; родительские ссылки проверяют тот же scope.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NFR-05</w:t>
              <w:br/>
              <w:t>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Защита данных</w:t>
            </w:r>
          </w:p>
        </w:tc>
        <w:tc>
          <w:tcPr>
            <w:tcW w:type="dxa" w:w="758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HTTPS в опубликованной среде, private bucket, авторизованные URLs с TTL ≤5 min, native refresh в SecureStore/keychain. В логах/репозитории нет токенов и сырых фото.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NFR-06</w:t>
              <w:br/>
              <w:t>M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Версии</w:t>
            </w:r>
          </w:p>
        </w:tc>
        <w:tc>
          <w:tcPr>
            <w:tcW w:type="dxa" w:w="7589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Каждый completed assessment хранит bundle ID/checksum, preprocess и policy. Отчёт фиксирует manifest, split, commit/config и seeds. Новая активация не меняет старый результат.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NFR-07</w:t>
              <w:br/>
              <w:t>S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Понятность</w:t>
            </w:r>
          </w:p>
        </w:tc>
        <w:tc>
          <w:tcPr>
            <w:tcW w:type="dxa" w:w="758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Будущий формативный тест: ≥4 из 5 новых пользователей проходят mobile-сценарий за ≤3 min без подсказки; ошибки и изменения зафиксированы. Это не статистическая оценка рынка.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NFR-08</w:t>
              <w:br/>
              <w:t>M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Совместимость</w:t>
            </w:r>
          </w:p>
        </w:tc>
        <w:tc>
          <w:tcPr>
            <w:tcW w:type="dxa" w:w="7589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Основной Android build на реальном устройстве проходит flow/result contract. ОС/устройство записаны. iOS становится обязательным после подтверждения среды и устройства; web — будущая фаза.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NFR-09</w:t>
              <w:br/>
              <w:t>S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Offline надёжность</w:t>
            </w:r>
          </w:p>
        </w:tc>
        <w:tc>
          <w:tcPr>
            <w:tcW w:type="dxa" w:w="758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 заранее описанных прерываний/перезапусков не теряют сохранённый draft, не дублируют assessment и не меняют владельца. Storage full понятен. Удаление приложения вне гарантии.</w:t>
            </w:r>
          </w:p>
        </w:tc>
      </w:tr>
      <w:tr>
        <w:trPr>
          <w:cantSplit/>
        </w:trPr>
        <w:tc>
          <w:tcPr>
            <w:tcW w:type="dxa" w:w="979"/>
            <w:vAlign w:val="center"/>
            <w:shd w:fill="F3F6F8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NFR-10</w:t>
              <w:br/>
              <w:t>M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Поддержка кода</w:t>
            </w:r>
          </w:p>
        </w:tc>
        <w:tc>
          <w:tcPr>
            <w:tcW w:type="dxa" w:w="7589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Чистый checkout, locked dependencies, проверка контракта и meaningful tests без training GPU. Runtime не импортирует FastAPI/ORM; production не требует training-кода.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  <w:sz w:val="20"/>
        </w:rPr>
        <w:t>Числа времени, нагрузки, TTL и usability — предложенные проверяемые критерии, а не результаты. Диагностический риск, полезное coverage и минимальный per-class уровень пока не назначены: их нужно согласовать до финального теста. Android-first не является заявлением об отсутствии поддержки iOS у React Native.</w:t>
      </w:r>
    </w:p>
    <w:p>
      <w:pPr>
        <w:pStyle w:val="Heading1"/>
        <w:pageBreakBefore/>
        <w:spacing w:before="0"/>
      </w:pPr>
      <w:r>
        <w:rPr>
          <w:color w:val="000000"/>
        </w:rPr>
        <w:t>7 Архитектура системы</w:t>
      </w:r>
    </w:p>
    <w:p>
      <w:r>
        <w:rPr>
          <w:b w:val="0"/>
        </w:rPr>
        <w:t>Предлагается модульный монолит с FastAPI API и отдельным inference worker из одной Python-кодовой базы. PostgreSQL хранит владельцев, наблюдения, задания, результаты и model metadata; private S3-compatible storage — фото и bundles. Training/evaluation находятся вне online-serving. Границы предназначены для воспроизводимости и умеренной эксплуатационной сложности.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92240" cy="4353620"/>
            <wp:docPr id="1" name="Picture 1" descr="Контекст проектируемой системы AgroVision с растениеводом, экспертом, оператором и источниками данны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5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Рисунок 1. Контекст AgroVision. Все роли и потоки проектные; локальные исследовательские данные ещё требуют сбора.</w:t>
      </w:r>
    </w:p>
    <w:p>
      <w:pPr>
        <w:pStyle w:val="Heading2"/>
      </w:pPr>
      <w:r>
        <w:rPr>
          <w:color w:val="000000"/>
        </w:rPr>
        <w:t>Смысл контекстных связей</w:t>
      </w:r>
    </w:p>
    <w:p>
      <w:r>
        <w:rPr>
          <w:b w:val="0"/>
        </w:rPr>
        <w:t>Растениевод отправляет фото, культуру и наблюдение; получает предварительную оценку и историю. Эксперт работает только с разрешёнными исследовательскими образцами и указывает уровень подтверждения. Оператор получает отчёты и управляет проверенными версиями. Датасеты служат offline-исследованию и не предполагаются автоматически доступными live API.</w:t>
      </w:r>
    </w:p>
    <w:p>
      <w:r>
        <w:rPr>
          <w:b w:val="0"/>
          <w:sz w:val="20"/>
        </w:rPr>
        <w:t>PostgreSQL, object storage и ONNX являются внутренними компонентами, поэтому не представлены как бизнес-пользователи. Редактируемый источник контекста — architecture/diagrams/context.mmd; SVG и PNG включены в пакет.</w:t>
      </w:r>
    </w:p>
    <w:p>
      <w:pPr>
        <w:pStyle w:val="Heading1"/>
        <w:pageBreakBefore/>
        <w:spacing w:before="0"/>
      </w:pPr>
      <w:r>
        <w:rPr>
          <w:color w:val="000000"/>
        </w:rPr>
        <w:t>7 Варианты использования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92240" cy="6094756"/>
            <wp:docPr id="2" name="Picture 2" descr="UML Use Case с тремя актерами, границей AgroVision и двенадцатью пользовательскими целя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09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Рисунок 2. UML Use Case. include и extend показывают отношения целей, а не порядок HTTP-запросов.</w:t>
      </w:r>
    </w:p>
    <w:p>
      <w:r>
        <w:rPr>
          <w:b w:val="0"/>
          <w:sz w:val="20"/>
        </w:rPr>
        <w:t>Основной путь UC-03/04/05: отправить фото, получить результат/следующее действие, открыть историю. Offline-черновик UC-07 завершает локальное сохранение без обязательной сетевой отправки. Экспертная аннотация UC-09 отделена от выпуска модели UC-10 и оценки UC-12. Источник: architecture/diagrams/use_cases.puml.</w:t>
      </w:r>
    </w:p>
    <w:p>
      <w:pPr>
        <w:pStyle w:val="Heading1"/>
        <w:pageBreakBefore/>
        <w:spacing w:before="0"/>
      </w:pPr>
      <w:r>
        <w:rPr>
          <w:color w:val="000000"/>
        </w:rPr>
        <w:t>7 Компоненты и границы исполнения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92240" cy="5590540"/>
            <wp:docPr id="3" name="Picture 3" descr="Компоненты AgroVision mobile, будущий web, FastAPI, worker, ml runtime, PostgreSQL, object storage и offline trai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59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Рисунок 3. Компонентная схема. Пунктирный web-клиент обозначает будущую фазу, а не выполняемую сейчас работу.</w:t>
      </w:r>
    </w:p>
    <w:p>
      <w:r>
        <w:rPr>
          <w:b w:val="0"/>
          <w:sz w:val="20"/>
        </w:rPr>
        <w:t>Worker вызывает ml/runtime локально, а не по HTTP. Shared TypeScript client/types — зависимость сборки, не сетевой сервис. API и worker используют общие модули и миграции; независимый training-проект формирует immutable bundle и отчёт. Источник: architecture/diagrams/components.mmd.</w:t>
      </w:r>
    </w:p>
    <w:p>
      <w:pPr>
        <w:pStyle w:val="Heading1"/>
        <w:pageBreakBefore/>
        <w:spacing w:before="0"/>
      </w:pPr>
      <w:r>
        <w:rPr>
          <w:color w:val="000000"/>
        </w:rPr>
        <w:t>7 Данные и устойчивый контракт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Сущности</w:t>
            </w:r>
          </w:p>
        </w:tc>
        <w:tc>
          <w:tcPr>
            <w:tcW w:type="dxa" w:w="6984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Инвариант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Observation и Photo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Наблюдение хранит владельца, выбранную культуру и метаданные. Фото имеет private key, hash и pending/ready/failed. Ферма/поле необязательны.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Assessment и AssessmentJob</w:t>
            </w:r>
          </w:p>
        </w:tc>
        <w:tc>
          <w:tcPr>
            <w:tcW w:type="dxa" w:w="698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Один primary_photo_id и фиксированная версия модели/policy. Assessment/job создаются атомарно. Контекстные фото не объединяются моделью v1.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AssessmentResult и ModelVersion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Один неизменяемый результат на assessment; bundle содержит веса, class order, preprocessing, score space, policy и отчёт.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Feedback и Annotation</w:t>
            </w:r>
          </w:p>
        </w:tc>
        <w:tc>
          <w:tcPr>
            <w:tcW w:type="dxa" w:w="698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Мнение пользователя отдельно от экспертной метки. Новая разметка и новая модель не переписывают исторический prediction.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pStyle w:val="Heading2"/>
      </w:pPr>
      <w:r>
        <w:rPr>
          <w:color w:val="000000"/>
        </w:rPr>
        <w:t>Основной обмен</w:t>
      </w:r>
    </w:p>
    <w:p>
      <w:r>
        <w:rPr>
          <w:b w:val="0"/>
        </w:rPr>
        <w:t>Mobile получает каталог, создаёт observation с постоянным client ID и загружает primary photo. После проверки ready запрос POST /v1/assessments с Idempotency-Key фиксируется в БД и возвращает 202. Повтор того же owner/key/body возвращает прежний ID; изменённое тело даёт 409. Клиент опрашивает GET /v1/assessments/{id} и затем открывает собственную историю.</w:t>
      </w:r>
    </w:p>
    <w:p>
      <w:r>
        <w:rPr>
          <w:b w:val="0"/>
          <w:sz w:val="20"/>
        </w:rPr>
        <w:t>Известную каталогу культуру с can_assess: false можно сохранить как observation/photo без оценки. Проверка поддержки относится к запуску assessment; неизвестный произвольный crop ID отклоняется как невалидный ввод.</w:t>
      </w:r>
    </w:p>
    <w:p>
      <w:r>
        <w:rPr>
          <w:b w:val="0"/>
        </w:rPr>
        <w:t>Worker получает job короткой транзакцией с SKIP LOCKED и lease token; inference выполняется вне блокировки. Финальная транзакция проверяет актуальный token/deadline и отсутствие удаления. Старый worker не может записать result. Повтор вычисления возможен после сбоя, но committed result остаётся один. Таймауты и ограниченные retries предотвращают бесконечное running [T4,T5].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3672"/>
        <w:gridCol w:w="6552"/>
      </w:tblGrid>
      <w:tr>
        <w:trPr>
          <w:cantSplit/>
          <w:tblHeader/>
        </w:trPr>
        <w:tc>
          <w:tcPr>
            <w:tcW w:type="dxa" w:w="3672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Состояние или исход</w:t>
            </w:r>
          </w:p>
        </w:tc>
        <w:tc>
          <w:tcPr>
            <w:tcW w:type="dxa" w:w="6552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показывает mobile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queued / running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Оценка принята / выполняется; result и error ещё отсутствуют.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completed predicted</w:t>
            </w:r>
          </w:p>
        </w:tc>
        <w:tc>
          <w:tcPr>
            <w:tcW w:type="dxa" w:w="655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Предполагаемое поддержанное состояние, пределы вывода и следующий шаг.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completed inconclusive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Надёжного вывода нет, в том числе при crop mismatch.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completed unsupported_input</w:t>
            </w:r>
          </w:p>
        </w:tc>
        <w:tc>
          <w:tcPr>
            <w:tcW w:type="dxa" w:w="655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После обработки установлен ввод вне scope; низкий score сам по себе недостаточен.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completed retake_photo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Проверенная исправимая проблема качества декодируемого снимка.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failed</w:t>
            </w:r>
          </w:p>
        </w:tc>
        <w:tc>
          <w:tcPr>
            <w:tcW w:type="dxa" w:w="655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Технический сбой; отдельное сообщение и осознанный повтор.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HTTP 422 до enqueue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Заранее неподдержанные crop/organ или невалидный ввод; job не создаётся.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  <w:sz w:val="20"/>
        </w:rPr>
        <w:t>Baseline сохраняет global_joint scores без перенормировки выбранной культуры. Score не означает проверенную вероятность диагноза. Незаданная policy запрещает диагностический выпуск.</w:t>
      </w:r>
    </w:p>
    <w:p>
      <w:pPr>
        <w:pStyle w:val="Heading1"/>
        <w:pageBreakBefore/>
        <w:spacing w:before="0"/>
      </w:pPr>
      <w:r>
        <w:rPr>
          <w:color w:val="000000"/>
        </w:rPr>
        <w:t>8 Мобильный прототип</w:t>
      </w:r>
    </w:p>
    <w:p>
      <w:r>
        <w:rPr>
          <w:b w:val="0"/>
        </w:rPr>
        <w:t>Подготовлен редактируемый Figma-дизайн: 12 основных экранов, 8 вариантов для картофеля/томата и 2 отдельных состояния технической ошибки/неподдержанного ввода, всего 22 фрейма. Ниже приведены ключевые экраны. Листья и результаты иллюстративны; макет не подтверждает работу камеры, backend или ML. Web-макеты в текущий объём не входят.</w:t>
      </w:r>
    </w:p>
    <w:p>
      <w:hyperlink r:id="rId13">
        <w:r>
          <w:rPr>
            <w:color w:val="1F4E79"/>
            <w:u w:val="single"/>
          </w:rPr>
          <w:t>Открыть Figma AgroVision mobile</w:t>
        </w:r>
      </w:hyperlink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468880" cy="5342910"/>
            <wp:docPr id="4" name="Picture 4" descr="SCREEN_02 демонстрационный экран мобильного прототип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29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468880" cy="5342910"/>
            <wp:docPr id="5" name="Picture 5" descr="SCREEN_03 демонстрационный экран мобильного прототип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Рисунок 4. Выбор исследуемой культуры и съёмка одного основного листа. Культуры в дизайне не являются уже валидированным каталогом модели.</w:t>
      </w:r>
    </w:p>
    <w:p>
      <w:r>
        <w:rPr>
          <w:b w:val="0"/>
          <w:sz w:val="20"/>
        </w:rPr>
        <w:t>Путь пользователя: новое наблюдение → культура → одно основное фото → проверка/отправка → ожидание → результат → история. До серверного ответа offline-черновик показывает «сохранено на устройстве», без диагноза. Прежние IDs сохраняются при повторной отправке.</w:t>
      </w:r>
    </w:p>
    <w:p>
      <w:pPr>
        <w:pStyle w:val="Heading1"/>
        <w:pageBreakBefore/>
        <w:spacing w:before="0"/>
      </w:pPr>
      <w:r>
        <w:rPr>
          <w:color w:val="000000"/>
        </w:rPr>
        <w:t>8 Предварительная оценка и неопределённость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468880" cy="5342910"/>
            <wp:docPr id="6" name="Picture 6" descr="SCREEN_06 демонстрационный экран мобильного прототип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29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468880" cy="5342910"/>
            <wp:docPr id="7" name="Picture 7" descr="SCREEN_07 демонстрационный экран мобильного прототип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Рисунок 5. Демонстрационная гипотеза и отдельный неопределённый результат. Иллюстрация не является реальным прогнозом обученной модели.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Ветка сценария</w:t>
            </w:r>
          </w:p>
        </w:tc>
        <w:tc>
          <w:tcPr>
            <w:tcW w:type="dxa" w:w="7848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Пользовательское действие и проверка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Гипотеза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Прочитать ограничения, сохранить наблюдение, при необходимости обратиться к агроному; не обещать подтверждение возбудителя.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Неопределённость</w:t>
            </w:r>
          </w:p>
        </w:tc>
        <w:tc>
          <w:tcPr>
            <w:tcW w:type="dxa" w:w="784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Сделать другой снимок или обратиться к специалисту; не выдавать ближайший известный класс ради ответа.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Пересъёмка или вне scope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Показать только установленную причину; предложить пригодный снимок/поддерживаемую культуру.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История и offline</w:t>
            </w:r>
          </w:p>
        </w:tc>
        <w:tc>
          <w:tcPr>
            <w:tcW w:type="dxa" w:w="784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Открыть исходное наблюдение и версию; отличать локальный draft, ожидание сервера и технический сбой.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  <w:sz w:val="20"/>
        </w:rPr>
        <w:t>План пользовательской проверки приведён в разделе 9. Время и успешность фиксируются только при реальном наблюдении за участником.</w:t>
      </w:r>
    </w:p>
    <w:p>
      <w:pPr>
        <w:pStyle w:val="Heading1"/>
        <w:pageBreakBefore/>
        <w:spacing w:before="0"/>
      </w:pPr>
      <w:r>
        <w:rPr>
          <w:color w:val="000000"/>
        </w:rPr>
        <w:t>9 Данные для проверки и обучения</w:t>
      </w:r>
    </w:p>
    <w:p>
      <w:r>
        <w:rPr>
          <w:b w:val="0"/>
        </w:rPr>
        <w:t>Проверены первичные карточки и публикации 14 кандидатов. Архивы ещё не скачаны и не прошли файловый аудит; размеры — сведения указанных версий, а не число доказанно независимых растений. «Не установлена» не означает разрешение на использование. Лицензия репозитория с кодом не заменяет лицензию фотографий.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1915"/>
        <w:gridCol w:w="1915"/>
        <w:gridCol w:w="3053"/>
        <w:gridCol w:w="3341"/>
      </w:tblGrid>
      <w:tr>
        <w:trPr>
          <w:cantSplit/>
          <w:tblHeader/>
        </w:trPr>
        <w:tc>
          <w:tcPr>
            <w:tcW w:type="dxa" w:w="1915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Кандидат</w:t>
            </w:r>
          </w:p>
        </w:tc>
        <w:tc>
          <w:tcPr>
            <w:tcW w:type="dxa" w:w="1915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Масштаб версии</w:t>
            </w:r>
          </w:p>
        </w:tc>
        <w:tc>
          <w:tcPr>
            <w:tcW w:type="dxa" w:w="3053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Домен и условия</w:t>
            </w:r>
          </w:p>
        </w:tc>
        <w:tc>
          <w:tcPr>
            <w:tcW w:type="dxa" w:w="3341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Роль или ограничение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D01 PlantVillage</w:t>
            </w:r>
          </w:p>
        </w:tc>
        <w:tc>
          <w:tcPr>
            <w:tcW w:type="dxa" w:w="191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54 306 фото; 38 пар</w:t>
            </w:r>
          </w:p>
        </w:tc>
        <w:tc>
          <w:tcPr>
            <w:tcW w:type="dxa" w:w="305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Контролируемые листья; CC BY-SA 3.0</w:t>
            </w:r>
          </w:p>
        </w:tc>
        <w:tc>
          <w:tcPr>
            <w:tcW w:type="dxa" w:w="334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Baseline; пшеницы в стандартных 38 классах нет.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D02 PlantDoc</w:t>
            </w:r>
          </w:p>
        </w:tc>
        <w:tc>
          <w:tcPr>
            <w:tcW w:type="dxa" w:w="191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2 598 фото; 27 классов</w:t>
            </w:r>
          </w:p>
        </w:tc>
        <w:tc>
          <w:tcPr>
            <w:tcW w:type="dxa" w:w="3053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Веб; авторская CC BY 4.0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13 культур; проверить права и родство 9 216 crops/boxes.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D03 PlantWild</w:t>
            </w:r>
          </w:p>
        </w:tc>
        <w:tc>
          <w:tcPr>
            <w:tcW w:type="dxa" w:w="191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v1: 18 542; 89 классов</w:t>
            </w:r>
          </w:p>
        </w:tc>
        <w:tc>
          <w:tcPr>
            <w:tcW w:type="dxa" w:w="305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Веб; CC BY-NC-ND 4.0</w:t>
            </w:r>
          </w:p>
        </w:tc>
        <w:tc>
          <w:tcPr>
            <w:tcW w:type="dxa" w:w="334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v2: 115 классов; число фото отдельно не установлено.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D04 PlantSeg v7</w:t>
            </w:r>
          </w:p>
        </w:tc>
        <w:tc>
          <w:tcPr>
            <w:tcW w:type="dxa" w:w="191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7 774; 115 пар</w:t>
            </w:r>
          </w:p>
        </w:tc>
        <w:tc>
          <w:tcPr>
            <w:tcW w:type="dxa" w:w="3053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Веб и маски; CC BY-NC 4.0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34 хозяина, 69 болезней; связь с PlantWild.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D05 Wheat v1</w:t>
            </w:r>
          </w:p>
        </w:tc>
        <w:tc>
          <w:tcPr>
            <w:tcW w:type="dxa" w:w="191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407; 3 класса</w:t>
            </w:r>
          </w:p>
        </w:tc>
        <w:tc>
          <w:tcPr>
            <w:tcW w:type="dxa" w:w="305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Эфиопия, DSLR; CC BY 4.0</w:t>
            </w:r>
          </w:p>
        </w:tc>
        <w:tc>
          <w:tcPr>
            <w:tcW w:type="dxa" w:w="334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208 stripe rust, 102 healthy, 97 septoria.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D06 CerealConv</w:t>
            </w:r>
          </w:p>
        </w:tc>
        <w:tc>
          <w:tcPr>
            <w:tcW w:type="dxa" w:w="191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999 public; 19 172 full</w:t>
            </w:r>
          </w:p>
        </w:tc>
        <w:tc>
          <w:tcPr>
            <w:tcW w:type="dxa" w:w="3053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Поле/теплица; лицензия не установлена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5 классов; full по запросу, не считать доступным.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D07 Paddy Doctor</w:t>
            </w:r>
          </w:p>
        </w:tc>
        <w:tc>
          <w:tcPr>
            <w:tcW w:type="dxa" w:w="191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16 225; 13 классов</w:t>
            </w:r>
          </w:p>
        </w:tc>
        <w:tc>
          <w:tcPr>
            <w:tcW w:type="dxa" w:w="305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Индия, смартфон; лицензия не установлена</w:t>
            </w:r>
          </w:p>
        </w:tc>
        <w:tc>
          <w:tcPr>
            <w:tcW w:type="dxa" w:w="334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Kaggle subset 10 407 отдельно; рис при партнёре.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D08 iCassava 2019</w:t>
            </w:r>
          </w:p>
        </w:tc>
        <w:tc>
          <w:tcPr>
            <w:tcW w:type="dxa" w:w="191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9 436 размеченных</w:t>
            </w:r>
          </w:p>
        </w:tc>
        <w:tc>
          <w:tcPr>
            <w:tcW w:type="dxa" w:w="3053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Фермеры Уганды; лицензия не установлена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Плюс 12 595 unlabeled; методический пример.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D09 Maize NLB</w:t>
            </w:r>
          </w:p>
        </w:tc>
        <w:tc>
          <w:tcPr>
            <w:tcW w:type="dxa" w:w="191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18 222; 105 705 поражений</w:t>
            </w:r>
          </w:p>
        </w:tc>
        <w:tc>
          <w:tcPr>
            <w:tcW w:type="dxa" w:w="305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Камера/boom/UAV; CC0 статьи</w:t>
            </w:r>
          </w:p>
        </w:tc>
        <w:tc>
          <w:tcPr>
            <w:tcW w:type="dxa" w:w="334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Условия архива не проверены; одна болезнь.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D10 CD&amp;S</w:t>
            </w:r>
          </w:p>
        </w:tc>
        <w:tc>
          <w:tcPr>
            <w:tcW w:type="dxa" w:w="191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2 112 + 2 343 derived</w:t>
            </w:r>
          </w:p>
        </w:tc>
        <w:tc>
          <w:tcPr>
            <w:tcW w:type="dxa" w:w="3053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Поле/замена фона; лицензия не установлена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4 455 файлов не равны независимым исходникам.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D11 Potato v1</w:t>
            </w:r>
          </w:p>
        </w:tc>
        <w:tc>
          <w:tcPr>
            <w:tcW w:type="dxa" w:w="191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3 076; 7 категорий</w:t>
            </w:r>
          </w:p>
        </w:tc>
        <w:tc>
          <w:tcPr>
            <w:tcW w:type="dxa" w:w="305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Смартфоны, Индонезия; CC BY 4.0</w:t>
            </w:r>
          </w:p>
        </w:tc>
        <w:tc>
          <w:tcPr>
            <w:tcW w:type="dxa" w:w="334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Широкие группы причин нельзя свести к точным болезням.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D12 Tomato v1</w:t>
            </w:r>
          </w:p>
        </w:tc>
        <w:tc>
          <w:tcPr>
            <w:tcW w:type="dxa" w:w="191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731; 1 621 аннотация</w:t>
            </w:r>
          </w:p>
        </w:tc>
        <w:tc>
          <w:tcPr>
            <w:tcW w:type="dxa" w:w="3053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Бангладеш; v1 CC BY 4.0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Статья о v2 и research-only; уточнить условия.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D13 Sunflower v1</w:t>
            </w:r>
          </w:p>
        </w:tc>
        <w:tc>
          <w:tcPr>
            <w:tcW w:type="dxa" w:w="191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467 originals; 4 класса</w:t>
            </w:r>
          </w:p>
        </w:tc>
        <w:tc>
          <w:tcPr>
            <w:tcW w:type="dxa" w:w="305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Бангладеш; CC BY 4.0</w:t>
            </w:r>
          </w:p>
        </w:tc>
        <w:tc>
          <w:tcPr>
            <w:tcW w:type="dxa" w:w="334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1 668 augmented отдельно; leaf scars — симптом.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D14 Barley v1</w:t>
            </w:r>
          </w:p>
        </w:tc>
        <w:tc>
          <w:tcPr>
            <w:tcW w:type="dxa" w:w="1915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336 листьев; 3 632 patches</w:t>
            </w:r>
          </w:p>
        </w:tc>
        <w:tc>
          <w:tcPr>
            <w:tcW w:type="dxa" w:w="3053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Сканер 800 DPI; MIT в data card</w:t>
            </w:r>
          </w:p>
        </w:tc>
        <w:tc>
          <w:tcPr>
            <w:tcW w:type="dxa" w:w="3341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62 генотипа; иной домен, не телефонное поле.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  <w:sz w:val="19"/>
        </w:rPr>
        <w:t>Пилотные приоритеты: пшеница, картофель, томат; maize опционально. Рис требует реального местного партнёра. Кассава не приоритет выпуска для Казахстана. Полные URL D01–D14 приведены в реестре источников; версии, доступ и оговорки сохранены в datasets.csv.</w:t>
      </w:r>
    </w:p>
    <w:p>
      <w:pPr>
        <w:pStyle w:val="Heading1"/>
        <w:pageBreakBefore/>
        <w:spacing w:before="0"/>
      </w:pPr>
      <w:r>
        <w:rPr>
          <w:color w:val="000000"/>
        </w:rPr>
        <w:t>9 Онтология и независимость оценки</w:t>
      </w:r>
    </w:p>
    <w:p>
      <w:pPr>
        <w:pStyle w:val="Heading2"/>
      </w:pPr>
      <w:r>
        <w:rPr>
          <w:color w:val="000000"/>
        </w:rPr>
        <w:t>Допуск и словарь</w:t>
      </w:r>
    </w:p>
    <w:p>
      <w:r>
        <w:rPr>
          <w:b w:val="0"/>
        </w:rPr>
        <w:t>Каждый источник получает запись о версии, происхождении, правовом основании, задаче и ограничениях. Manifest сохраняет source label отдельно от canonical crop_id, condition_id и condition_type. Типы disease, pest_damage, abiotic, symptom, healthy_appearance и unresolved не смешиваются. Неразрешённые или неоднозначные образцы помещаются в quarantine до решения.</w:t>
      </w:r>
    </w:p>
    <w:p>
      <w:r>
        <w:rPr>
          <w:b w:val="0"/>
        </w:rPr>
        <w:t>Potato «fungi» нельзя автоматически назвать early blight; Tomato «Black Spot» требует уточнения; sunflower «leaf scars» остаётся симптомом. Healthy appearance означает отсутствие изученных видимых признаков в данном изображении, а не доказанное здоровье растения. Unknown, смешанное поражение, плохое фото и здоровый класс — разные случаи.</w:t>
      </w:r>
    </w:p>
    <w:p>
      <w:pPr>
        <w:pStyle w:val="Heading2"/>
      </w:pPr>
      <w:r>
        <w:rPr>
          <w:color w:val="000000"/>
        </w:rPr>
        <w:t>Manifest и группировка</w:t>
      </w:r>
    </w:p>
    <w:p>
      <w:r>
        <w:rPr>
          <w:b w:val="0"/>
        </w:rPr>
        <w:t>Минимальные поля: исходный dataset/version/image ID, hash, crop/condition, original label, тип и уровень подтверждения, лицензия, способ съёмки и доступные группа/дата/место. Канонические поля plant_id, leaf_id, capture_session_id, plot_id, parent_image_id и dedup_cluster_id формируют итоговый split_group_id. Отсутствующие сведения фиксируются как неизвестные, без выдуманных идентификаторов.</w:t>
      </w:r>
    </w:p>
    <w:p>
      <w:r>
        <w:rPr>
          <w:b w:val="0"/>
        </w:rPr>
        <w:t>До split выполняются exact hash, поиск похожих изображений и ручная проверка кандидатов. Связанные исходники, цвета/сегментированные версии, bounding-box crops, patches, raw/annotated фото и аугментации объединяются в одну группу. Проверяется пересечение между архивами, особенно семейством PlantWild/PlantSeg. При отсутствии source metadata независимость внешнего теста остаётся ограниченной.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2088"/>
        <w:gridCol w:w="4104"/>
        <w:gridCol w:w="4032"/>
      </w:tblGrid>
      <w:tr>
        <w:trPr>
          <w:cantSplit/>
          <w:tblHeader/>
        </w:trPr>
        <w:tc>
          <w:tcPr>
            <w:tcW w:type="dxa" w:w="2088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Роль данных</w:t>
            </w:r>
          </w:p>
        </w:tc>
        <w:tc>
          <w:tcPr>
            <w:tcW w:type="dxa" w:w="4104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разрешено</w:t>
            </w:r>
          </w:p>
        </w:tc>
        <w:tc>
          <w:tcPr>
            <w:tcW w:type="dxa" w:w="4032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запрещено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Train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Обучение, class weights, аугментации; representative data INT8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Использовать будущий test для выбора преобразований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Development и calibration</w:t>
            </w:r>
          </w:p>
        </w:tc>
        <w:tc>
          <w:tcPr>
            <w:tcW w:type="dxa" w:w="410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Выбор модели/гиперпараметров; температура и пороги на выделенной части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Подгонять критерии по финальному тесту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Internal и source-held-out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Оценка независимых групп и целиком отложенного источника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Считать другой архив независимым без дедупликации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Kazakhstan local test</w:t>
            </w:r>
          </w:p>
        </w:tc>
        <w:tc>
          <w:tcPr>
            <w:tcW w:type="dxa" w:w="410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Новые растения/сессии/места, пользовательские камеры, экспертные метки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Адаптироваться на этом наборе и называть его невидимым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pStyle w:val="Heading2"/>
      </w:pPr>
      <w:r>
        <w:rPr>
          <w:color w:val="000000"/>
        </w:rPr>
        <w:t>Локальный сбор и выпуск поддержки</w:t>
      </w:r>
    </w:p>
    <w:p>
      <w:r>
        <w:rPr>
          <w:b w:val="0"/>
        </w:rPr>
        <w:t>Сначала согласовать культуру/состояния с местным специалистом и разрешения. На случай сохранять лист, общий вид растения как контекст, доступные дата/поле/сессия/устройство и основание метки. Разрешения на хранение, обучение, передачу третьему сервису и публикацию разделяются; точные координаты и контакты не публикуются автоматически.</w:t>
      </w:r>
    </w:p>
    <w:p>
      <w:r>
        <w:rPr>
          <w:b w:val="0"/>
        </w:rPr>
        <w:t>Статусы покрытия: «в каталоге» → «исследовательский» → «пилотный» → «поддерживаемый в заданных условиях». Повышение требует данных, независимой локальной проверки, per-class результатов и проверки отказов. Текущий пакет не присваивает диагностическую поддержку.</w:t>
      </w:r>
    </w:p>
    <w:p>
      <w:pPr>
        <w:pStyle w:val="Heading1"/>
        <w:pageBreakBefore/>
        <w:spacing w:before="0"/>
      </w:pPr>
      <w:r>
        <w:rPr>
          <w:color w:val="000000"/>
        </w:rPr>
        <w:t>9 Эксперимент и аппаратные условия</w:t>
      </w:r>
    </w:p>
    <w:p>
      <w:r>
        <w:rPr>
          <w:b w:val="0"/>
        </w:rPr>
        <w:t>Первая серия: ImageNet pretrained EfficientNet-B0, MobileNetV3-Large и ResNet18, вход 224×224 и общая голова допустимых пар культура–состояние. Все модели используют один manifest, class order, split, preprocessing, аугментации, бюджет подбора и стратегию BatchNorm. Финалисты повторяются минимум на трёх seeds; победитель заранее не назначен [R11,R12].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4752"/>
        <w:gridCol w:w="2736"/>
        <w:gridCol w:w="2736"/>
      </w:tblGrid>
      <w:tr>
        <w:trPr>
          <w:cantSplit/>
          <w:tblHeader/>
        </w:trPr>
        <w:tc>
          <w:tcPr>
            <w:tcW w:type="dxa" w:w="4752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Настройка для первой проверки</w:t>
            </w:r>
          </w:p>
        </w:tc>
        <w:tc>
          <w:tcPr>
            <w:tcW w:type="dxa" w:w="273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RTX 2060 6 GB</w:t>
            </w:r>
          </w:p>
        </w:tc>
        <w:tc>
          <w:tcPr>
            <w:tcW w:type="dxa" w:w="273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RTX 3050 Laptop 4 GB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Microbatch при 224px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Gradient accumulation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Effective batch на устройстве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32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AMP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FP16 + GradScaler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FP16 + GradScaler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Начальный DataLoader workers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Это стартовые оценки, не измеренные пределы VRAM. Память двух GPU не складывается в 10 GB; устройства подходят для независимых кандидатов/seeds. Проверять peak allocated/reserved после backward и реальных optimizer updates. При OOM уменьшать microbatch и пересчитывать accumulation [T14,T15].</w:t>
      </w:r>
    </w:p>
    <w:p>
      <w:r>
        <w:rPr>
          <w:b w:val="0"/>
        </w:rPr>
        <w:t>Предлагаемые этапы: pipeline sanity; head-only 2–3 эпохи; partial fine-tuning 10–20 эпох; общий первоначальный cap 30 и early stopping patience 5 по validation macro-F1. AdamW: lr_head 1e-3, lr_backbone 1e-4, weight decay 1e-4. Это рецепт для проверки, не готовый исполняемый runner.</w:t>
      </w:r>
    </w:p>
    <w:p>
      <w:r>
        <w:rPr>
          <w:b w:val="0"/>
        </w:rPr>
        <w:t>Начальная обработка: EXIF orientation → RGB → короткая сторона 256px → центр 224px → ImageNet normalization. До обучения проверить сохранение симптомов; если crop их удаляет, перейти к целому кадру с padding и повторить всю серию. Аугментации умеренные и только train. Accumulation не увеличивает физический batch для BatchNorm: baseline замораживает BN statistics и affine parameters.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Группа метрик</w:t>
            </w:r>
          </w:p>
        </w:tc>
        <w:tc>
          <w:tcPr>
            <w:tcW w:type="dxa" w:w="7992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публиковать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Классификация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Joint macro-F1, per-crop macro-F1, precision/recall/support каждого класса, confusion matrix, balanced accuracy.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Перенос и существенные ошибки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Internal, source-held-out, local отдельно; disease→healthy, crop mismatch, mixed и unsupported cases.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Отказ и calibration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Risk–coverage, false acceptance по OOD группам, NLL/Brier/ECE, reliability diagram до/после scaling.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Ресурсы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Peak VRAM, samples/s, время обучения; CPU p50/p95, cold start, RSS, размер bundle.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  <w:sz w:val="20"/>
        </w:rPr>
        <w:t>Интервалы оцениваются по независимым группам; финалисты сравниваются попарно на тех же случаях. При малой выборке сообщаются ограничения. Низкий риск при отказе почти на всех запросах не считается полезной системой [R13,R14].</w:t>
      </w:r>
    </w:p>
    <w:p>
      <w:pPr>
        <w:pStyle w:val="Heading1"/>
        <w:pageBreakBefore/>
        <w:spacing w:before="0"/>
      </w:pPr>
      <w:r>
        <w:rPr>
          <w:color w:val="000000"/>
        </w:rPr>
        <w:t>9 Проверка экспорта и системы</w:t>
      </w:r>
    </w:p>
    <w:p>
      <w:pPr>
        <w:pStyle w:val="Heading2"/>
      </w:pPr>
      <w:r>
        <w:rPr>
          <w:color w:val="000000"/>
        </w:rPr>
        <w:t>Model bundle и экспорт</w:t>
      </w:r>
    </w:p>
    <w:p>
      <w:r>
        <w:rPr>
          <w:b w:val="0"/>
        </w:rPr>
        <w:t>Сначала ONNX FP32, eval mode, batch 1 и фиксированный размер. На 32–100 реальных фото сравниваются PyTorch/ONNX logits, class order и весь preprocessing. Стартовый engineering gate allclose с rtol 1e-3 и atol 1e-4 проверяет численное соответствие, не диагностическую точность. CPU benchmark включает 20 warmup и 200 измерений; model-only и полный путь декодирования/API измеряются раздельно [R16,T9,T16].</w:t>
      </w:r>
    </w:p>
    <w:p>
      <w:r>
        <w:rPr>
          <w:b w:val="0"/>
        </w:rPr>
        <w:t>Bundle фиксирует веса/hash, class map, preprocessing, score space, policy/calibration, train/split manifests, commit/config/seeds, оборудование, метрики и model card. INT8 — отдельный опыт после FP32: representative данные берутся из train; качество, calibration и policy оцениваются повторно. Незаданные пороги не являются разрешающими defaults.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7992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Условия и наблюдаемое доказательство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Сбой worker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Остановка после claim и после inference до commit; expired lease, повторный claim, устаревший token, retry exhaustion; один result или явный failed.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Повтор запроса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Параллельные key/body; потерянный HTTP-ответ; изменённое тело; смена active model; один assessment и pinned version.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Доступ и upload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Пользователи A/B, вложенные чужие IDs/URLs, invalid MIME/decoder, превышение bytes/pixels, pending uploads и удаление во время job.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Offline mobile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Файл и SQLite-запись после restart, reconnect, retry, account switch и storage full. До серверного ответа отсутствует диагноз.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Производительность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100 фото, два активных запроса, прогретый worker; предложенная end-to-end p95 ≤5 s. CPU, RAM, потоки, версия и размеры записаны.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Usability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5 реальных новых участников; основной путь без подсказки, время и ошибки. Цель ≥4 из 5 за ≤3 min; изменения экранов прослеживаются.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Воспроизводимость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Чистый checkout, locked environment, manifest/split hashes, восстановление checkpoint, повторные seeds, parity и неизменяемая model version.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pStyle w:val="Heading2"/>
      </w:pPr>
      <w:r>
        <w:rPr>
          <w:color w:val="000000"/>
        </w:rPr>
        <w:t>Критерии остановки и готовности</w:t>
      </w:r>
    </w:p>
    <w:p>
      <w:r>
        <w:rPr>
          <w:b w:val="0"/>
        </w:rPr>
        <w:t>Дубли между splits, конфликт меток или class order останавливают сравнение. OOM/NaN и невозможность fit маленький чистый набор требуют исправления pipeline до долгого обучения. Увеличение сети не считается автоматическим решением слабого переноса. Detector/segmentation добавляются лишь при устойчивом полезном выигрыше.</w:t>
      </w:r>
    </w:p>
    <w:p>
      <w:r>
        <w:rPr>
          <w:b/>
          <w:sz w:val="20"/>
        </w:rPr>
        <w:t>Для исследовательского результата нужны фиксированный протокол, реальные запуски и ограничения. Для диагностического выпуска дополнительно нужны согласованные risk/coverage/per-class критерии и независимая местная проверка. Сейчас обучение, экспорт и аппаратные измерения не выполнялись, а диагностические thresholds остаются неопределёнными.</w:t>
      </w:r>
    </w:p>
    <w:p>
      <w:pPr>
        <w:pStyle w:val="Heading1"/>
        <w:pageBreakBefore/>
        <w:spacing w:before="0"/>
      </w:pPr>
      <w:r>
        <w:rPr>
          <w:color w:val="000000"/>
        </w:rPr>
        <w:t>10 Управление проектом и этапы</w:t>
      </w:r>
    </w:p>
    <w:p>
      <w:r>
        <w:rPr>
          <w:b w:val="0"/>
        </w:rPr>
        <w:t>Мақсат отвечает за mobile/API/интеграцию, Қайсар — за данные/ML; оба участвуют в интервью и взаимном review. Подготовлен backlog с предлагаемыми ID, владельцами, приоритетами, зависимостями, результатами и приёмкой. Он является материалом для согласования и импорта, а не доказательством созданных задач в YouTrack.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2304"/>
        <w:gridCol w:w="3816"/>
        <w:gridCol w:w="4104"/>
      </w:tblGrid>
      <w:tr>
        <w:trPr>
          <w:cantSplit/>
          <w:tblHeader/>
        </w:trPr>
        <w:tc>
          <w:tcPr>
            <w:tcW w:type="dxa" w:w="2304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81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Ведущий и результат</w:t>
            </w:r>
          </w:p>
        </w:tc>
        <w:tc>
          <w:tcPr>
            <w:tcW w:type="dxa" w:w="4104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Зависимость и критерий перехода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 уточнённого срока 22 октября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Мақсат: сверенный proposal и комплект; оба: действительные Git/YouTrack ссылки.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Проверить отличие сроков формы/этапа, имена и доступ. Реальные URLs пока не предоставлены.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 23 октября по плану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Оба: беседы, review требований/схем/UX/ML; Қайсар: аудит каталога.</w:t>
            </w:r>
          </w:p>
        </w:tc>
        <w:tc>
          <w:tcPr>
            <w:tcW w:type="dxa" w:w="410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Содержательные записи либо соглашение с заказчиком. Неуспевшие действия остаются открытыми.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 24 октября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Қайсар: запрос/обработка отзыва; Мақсат: точная версия сдачи.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Реальный отзыв, решения, работающие ссылки и tag. Наличие шаблона не закрывает evidence.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После согласования scope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Аудит архивов, class mapping, dedup manifest и splits.</w:t>
            </w:r>
          </w:p>
        </w:tc>
        <w:tc>
          <w:tcPr>
            <w:tcW w:type="dxa" w:w="410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Права и доступ подтверждены; противоречивые метки исключены/разрешены.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Первая реализуемая серия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Қайсар: feasibility и три baseline; Мақсат: минимальный API/mobile flow.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Реальные logs, bundle/parity и основной путь; время определяется первым измерением.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Интеграция и локальная оценка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Оба: системные тесты, локальные случаи, анализ ошибок.</w:t>
            </w:r>
          </w:p>
        </w:tc>
        <w:tc>
          <w:tcPr>
            <w:tcW w:type="dxa" w:w="410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Закрытый тест не использован для настройки; выводы ограничены проверенными условиями.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pStyle w:val="Heading2"/>
      </w:pPr>
      <w:r>
        <w:rPr>
          <w:color w:val="000000"/>
        </w:rPr>
        <w:t>Git и YouTrack как доказательства работы</w:t>
      </w:r>
    </w:p>
    <w:p>
      <w:r>
        <w:rPr>
          <w:b w:val="0"/>
        </w:rPr>
        <w:t>Нужен один продолжающийся GitHub/GitLab-репозиторий. Каждый студент использует собственный аккаунт и идентифицируемое авторство. README содержит тему, статус, scope, роли, технологии, ссылки и реальные команды запуска после появления кода. Документация и проектирование фиксируются содержательными изменениями наряду с программой.</w:t>
      </w:r>
    </w:p>
    <w:p>
      <w:r>
        <w:rPr>
          <w:b w:val="0"/>
        </w:rPr>
        <w:t>Каждая значимая работа получает реальную задачу, владельца, приёмку и срок. ID задачи включается в ветку и PR/MR; задача ссылается обратно на изменение. Другой участник выполняет содержательное review до merge. Сдаваемый tag обозначает точную версию и не переносится после сдачи. Предлагаемые AGRO-ID из CSV требуется сопоставить с действительными YouTrack-ID.</w:t>
      </w:r>
    </w:p>
    <w:p>
      <w:r>
        <w:rPr>
          <w:b/>
          <w:sz w:val="20"/>
        </w:rPr>
        <w:t>Свежий репозиторий и история вкладов этим пакетом не проверены; Git/YouTrack URLs не предоставлены. Нельзя задним числом создавать фиктивные commits, review, участников или даты. Честный первый импорт ранее созданных материалов допустим, но не доказывает прошлую непрерывную работу.</w:t>
      </w:r>
    </w:p>
    <w:p>
      <w:pPr>
        <w:pStyle w:val="Heading1"/>
        <w:pageBreakBefore/>
        <w:spacing w:before="0"/>
      </w:pPr>
      <w:r>
        <w:rPr>
          <w:color w:val="000000"/>
        </w:rPr>
        <w:t>10 Риски и зависимости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2448"/>
        <w:gridCol w:w="3384"/>
        <w:gridCol w:w="4392"/>
      </w:tblGrid>
      <w:tr>
        <w:trPr>
          <w:cantSplit/>
          <w:tblHeader/>
        </w:trPr>
        <w:tc>
          <w:tcPr>
            <w:tcW w:type="dxa" w:w="2448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Риск и существенность</w:t>
            </w:r>
          </w:p>
        </w:tc>
        <w:tc>
          <w:tcPr>
            <w:tcW w:type="dxa" w:w="3384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Наблюдаемый сигнал</w:t>
            </w:r>
          </w:p>
        </w:tc>
        <w:tc>
          <w:tcPr>
            <w:tcW w:type="dxa" w:w="4392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Действие и владелец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Нет реальных evidence бесед</w:t>
              <w:br/>
              <w:t>Высокая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Незаполненные I-ID, нет согласованных участников/заметок.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Мақсат: найти 3–5 представителей или реального заказчика; фиксировать пробел, не подменять обзором рынка.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Нет local data/эксперта</w:t>
              <w:br/>
              <w:t>Высокая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Есть только зарубежные корпуса; нет независимых местных меток.</w:t>
            </w:r>
          </w:p>
        </w:tc>
        <w:tc>
          <w:tcPr>
            <w:tcW w:type="dxa" w:w="439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Қайсар: партнёр и протокол сбора; ограничить вывод исследовательским прототипом.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Неясные права/версии</w:t>
              <w:br/>
              <w:t>Высокая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Нет image license, архив по запросу; v1/v2 различаются.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Қайсар: карантин, source ledger и уточнение условий; выбрать допустимый альтернативный корпус.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Утечка и ошибочный mapping</w:t>
              <w:br/>
              <w:t>Высокая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Дубли между split, crops разных частей одного фото, broad labels превращены в болезни.</w:t>
            </w:r>
          </w:p>
        </w:tc>
        <w:tc>
          <w:tcPr>
            <w:tcW w:type="dxa" w:w="439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Қайсар: dedup до split, split_group_id, экспертный словарь; перезапустить некорректное сравнение.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Слабый внешний перенос</w:t>
              <w:br/>
              <w:t>Высокая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Падение per-crop/per-class, уверенность на чужом вводе.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Оба: анализ ошибок и границ; улучшать данные/отказ, не обещать универсальный confidence threshold.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VRAM или CPU budget</w:t>
              <w:br/>
              <w:t>Средняя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OOM/NaN, высокий p95/RSS, невозможность экспорта.</w:t>
            </w:r>
          </w:p>
        </w:tc>
        <w:tc>
          <w:tcPr>
            <w:tcW w:type="dxa" w:w="439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Қайсар: microbatch/partial freeze/compact baseline, измерение; PyTorch fallback либо проверенный INT8.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Повторы и гонки</w:t>
              <w:br/>
              <w:t>Высокая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Дубли assessment, старый worker пишет result, удалённый случай оживает.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Мақсат: idempotency, атомарный commit, lease fencing, deletion/kill-restart tests.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Разрастание scope</w:t>
              <w:br/>
              <w:t>Высокая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Одновременно web, on-device, детектор, сегментация, GIS и консультационная платформа.</w:t>
            </w:r>
          </w:p>
        </w:tc>
        <w:tc>
          <w:tcPr>
            <w:tcW w:type="dxa" w:w="4392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Оба: сохранять mobile MVP и проверяемый baseline; расширение только через требование и evidence.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Отзыв/доступ к сдаче</w:t>
              <w:br/>
              <w:t>Высокая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Нет содержательного ответа руководителя или доступных ссылок.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Қайсар: конкретный review-пакет; Мақсат: доступы/tag. Статус ожидания сохранять честно.</w:t>
            </w:r>
          </w:p>
        </w:tc>
      </w:tr>
    </w:tbl>
    <w:p>
      <w:pPr>
        <w:spacing w:after="40"/>
      </w:pPr>
      <w:r>
        <w:rPr>
          <w:b w:val="0"/>
        </w:rPr>
      </w:r>
    </w:p>
    <w:p>
      <w:r>
        <w:rPr>
          <w:b w:val="0"/>
        </w:rPr>
        <w:t>Существенность — проектная оценка последствий, а не рассчитанная вероятность. Риски пересматриваются по фактам первого получения данных, измерения и пользовательской проверки. Наличие опасения не является основанием добавлять все возможные инфраструктурные компоненты заранее.</w:t>
      </w:r>
    </w:p>
    <w:p>
      <w:pPr>
        <w:pStyle w:val="Heading2"/>
      </w:pPr>
      <w:r>
        <w:rPr>
          <w:color w:val="000000"/>
        </w:rPr>
        <w:t>Ближайшая проверяемая последовательность</w:t>
      </w:r>
    </w:p>
    <w:p>
      <w:r>
        <w:rPr>
          <w:b w:val="0"/>
        </w:rPr>
        <w:t>Сверить внешние сроки и сведения команды; получить реальные беседы и содержательный отзыв; закрепить scope и каталог данных; внести реальные задачи и доказательства вклада; выполнить небольшой hardware/data sanity run; затем обучать baseline и реализовывать согласованный mobile/API flow. Личный рабочий план Мақсата предоставляется отдельно от этого коллективного отчёта.</w:t>
      </w:r>
    </w:p>
    <w:p>
      <w:pPr>
        <w:pStyle w:val="Heading1"/>
        <w:pageBreakBefore/>
        <w:spacing w:before="0"/>
      </w:pPr>
      <w:r>
        <w:rPr>
          <w:color w:val="000000"/>
        </w:rPr>
        <w:t>11 Обратная связь руководителя</w:t>
      </w:r>
    </w:p>
    <w:p>
      <w:r>
        <w:rPr>
          <w:b/>
        </w:rPr>
        <w:t>Статус на дату отчёта: содержательный отзыв руководителя на данный комплект не предоставлен. Подготовлены материалы и вопросы для рассмотрения. Они не означают проведённую встречу, согласование scope или одобрение решений.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2016"/>
        <w:gridCol w:w="4464"/>
        <w:gridCol w:w="3744"/>
      </w:tblGrid>
      <w:tr>
        <w:trPr>
          <w:cantSplit/>
          <w:tblHeader/>
        </w:trPr>
        <w:tc>
          <w:tcPr>
            <w:tcW w:type="dxa" w:w="2016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Материал для review</w:t>
            </w:r>
          </w:p>
        </w:tc>
        <w:tc>
          <w:tcPr>
            <w:tcW w:type="dxa" w:w="4464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Конкретный вопрос</w:t>
            </w:r>
          </w:p>
        </w:tc>
        <w:tc>
          <w:tcPr>
            <w:tcW w:type="dxa" w:w="3744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Требуемое свидетельство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Цель и scope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Достаточны ли многокультурный mobile-пилот и глубина инженерной задачи?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Исходное замечание, точная версия и решение команды.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Обзор и аналоги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Достаточны ли критические ограничения и обоснован ли локальный исследовательский вклад?</w:t>
            </w:r>
          </w:p>
        </w:tc>
        <w:tc>
          <w:tcPr>
            <w:tcW w:type="dxa" w:w="374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Комментарий к источнику/выводу и исправление либо основание сохранения.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Данные и ML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Реалистичны ли приоритетные культуры, ontology, split и местная проверка?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Согласованные ограничения и нерешённые зависимости.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Требования и архитектура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Согласованы ли outcomes, API, worker, model version и проверяемые Must?</w:t>
            </w:r>
          </w:p>
        </w:tc>
        <w:tc>
          <w:tcPr>
            <w:tcW w:type="dxa" w:w="374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Указанный контракт/FR/ADR и проверка изменения.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Мобильный макет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Понятны ли предварительный вывод, неопределённость и следующий шаг?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Комментарий к экрану и новая версия/обоснование.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Оценка и управление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Адекватны ли baseline, условия измерений, этапы и риски?</w:t>
            </w:r>
          </w:p>
        </w:tc>
        <w:tc>
          <w:tcPr>
            <w:tcW w:type="dxa" w:w="374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Замечания по протоколу/плану и реальные задачи.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pStyle w:val="Heading2"/>
      </w:pPr>
      <w:r>
        <w:rPr>
          <w:color w:val="000000"/>
        </w:rPr>
        <w:t>Как фиксировать полученный отзыв</w:t>
      </w:r>
    </w:p>
    <w:p>
      <w:r>
        <w:rPr>
          <w:b w:val="0"/>
        </w:rPr>
        <w:t>Журнал содержит Feedback ID, фактические дату/источник, рассмотренный материал и версию, содержание замечания, решение с основанием, исполнителя/срок, ссылку на задачу и изменение, результат проверки. Принятое замечание проходит путь «получено → в работе → исправлено → проверено». Отложенное или отклонённое замечание сохраняет причину; отсутствие ответа не маркируется как одобрение.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5" w:type="dxa"/>
          <w:right w:w="95" w:type="dxa"/>
        </w:tblCellMar>
      </w:tblPr>
      <w:tblGrid>
        <w:gridCol w:w="4320"/>
        <w:gridCol w:w="5904"/>
      </w:tblGrid>
      <w:tr>
        <w:trPr>
          <w:cantSplit/>
          <w:tblHeader/>
        </w:trPr>
        <w:tc>
          <w:tcPr>
            <w:tcW w:type="dxa" w:w="4320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Поле записи</w:t>
            </w:r>
          </w:p>
        </w:tc>
        <w:tc>
          <w:tcPr>
            <w:tcW w:type="dxa" w:w="5904"/>
            <w:vAlign w:val="center"/>
            <w:shd w:fill="244A63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Текущее состояние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Фактическая дата и канал рассмотрения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 заполнено — взаимодействие ещё требуется.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Исходные замечания руководителя</w:t>
            </w:r>
          </w:p>
        </w:tc>
        <w:tc>
          <w:tcPr>
            <w:tcW w:type="dxa" w:w="590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 предоставлены.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Решения и изменения по отзыву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Заполняются после реального отзыва с точными версиями.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Подтверждение проверки исправлений</w:t>
            </w:r>
          </w:p>
        </w:tc>
        <w:tc>
          <w:tcPr>
            <w:tcW w:type="dxa" w:w="5904"/>
            <w:vAlign w:val="center"/>
            <w:shd w:fill="F3F6F8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 получено.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pStyle w:val="Heading2"/>
      </w:pPr>
      <w:r>
        <w:rPr>
          <w:color w:val="000000"/>
        </w:rPr>
        <w:t>Готовность к предъявлению</w:t>
      </w:r>
    </w:p>
    <w:p>
      <w:r>
        <w:rPr>
          <w:b w:val="0"/>
        </w:rPr>
        <w:t>Авторская часть содержит все 11 разделов анализа и проектирования, реальные макеты и редактируемые схемы. Для фактического закрытия задания остаются внешние доказательства: состоявшиеся обсуждения/соглашение, действительные Git/YouTrack и последовательный вклад обоих студентов, а также содержательный отзыв руководителя и решения по нему. На данном этапе законченное приложение не требуется.</w:t>
      </w:r>
    </w:p>
    <w:p>
      <w:r>
        <w:rPr>
          <w:b w:val="0"/>
        </w:rPr>
        <w:t>Если данные не подтверждают необходимую область применения, каталог и формулировки выпуска сужаются. Это предусмотренное следствие исследовательского протокола, а не причина скрывать отрицательный результат.</w:t>
      </w:r>
    </w:p>
    <w:p>
      <w:pPr>
        <w:pStyle w:val="Heading1"/>
        <w:pageBreakBefore/>
        <w:spacing w:before="0"/>
      </w:pPr>
      <w:r>
        <w:rPr>
          <w:color w:val="000000"/>
        </w:rPr>
        <w:t>Источники</w:t>
      </w:r>
    </w:p>
    <w:p>
      <w:r>
        <w:rPr>
          <w:b w:val="0"/>
          <w:sz w:val="20"/>
        </w:rPr>
        <w:t>Первичные страницы, научные публикации и официальная документация проверены при подготовке материалов 21 октября 2026 года. R-ID используются в критической матрице; P/N/A/K — для аналогов; D — для датасетов; T — для технических фактов. Проектные решения и будущие критерии являются выводами команды, а не утверждениями авторов источников.</w:t>
      </w:r>
    </w:p>
    <w:p>
      <w:pPr>
        <w:pStyle w:val="Heading2"/>
      </w:pPr>
      <w:r>
        <w:rPr>
          <w:color w:val="000000"/>
        </w:rPr>
        <w:t>Научные и методические источники</w:t>
      </w:r>
    </w:p>
    <w:p>
      <w:pPr>
        <w:keepNext/>
        <w:spacing w:after="40"/>
      </w:pPr>
      <w:r>
        <w:rPr>
          <w:b w:val="0"/>
          <w:sz w:val="20"/>
        </w:rPr>
        <w:t>R1. Xu et al. (2024). Plant disease recognition datasets in the age of deep learning: challenges and opportunities. Frontiers in Plant Science, 15:1452551. Perspective.</w:t>
      </w:r>
    </w:p>
    <w:p>
      <w:pPr>
        <w:spacing w:after="140"/>
      </w:pPr>
      <w:hyperlink r:id="rId18">
        <w:r>
          <w:rPr>
            <w:color w:val="1F4E79"/>
            <w:u w:val="single"/>
            <w:sz w:val="19"/>
          </w:rPr>
          <w:t>https://doi.org/10.3389/fpls.2024.1452551</w:t>
        </w:r>
      </w:hyperlink>
    </w:p>
    <w:p>
      <w:pPr>
        <w:keepNext/>
        <w:spacing w:after="40"/>
      </w:pPr>
      <w:r>
        <w:rPr>
          <w:b w:val="0"/>
          <w:sz w:val="20"/>
        </w:rPr>
        <w:t>R2. Wu et al. (2023). From Laboratory to Field: Unsupervised Domain Adaptation for Plant Disease Recognition in the Wild. Plant Phenomics, 5:0038.</w:t>
      </w:r>
    </w:p>
    <w:p>
      <w:pPr>
        <w:spacing w:after="140"/>
      </w:pPr>
      <w:hyperlink r:id="rId19">
        <w:r>
          <w:rPr>
            <w:color w:val="1F4E79"/>
            <w:u w:val="single"/>
            <w:sz w:val="19"/>
          </w:rPr>
          <w:t>https://doi.org/10.34133/plantphenomics.0038</w:t>
        </w:r>
      </w:hyperlink>
    </w:p>
    <w:p>
      <w:pPr>
        <w:keepNext/>
        <w:spacing w:after="40"/>
      </w:pPr>
      <w:r>
        <w:rPr>
          <w:b w:val="0"/>
          <w:sz w:val="20"/>
        </w:rPr>
        <w:t>R3. Wei et al. (2024). Benchmarking In-the-wild Multimodal Disease Recognition and A Versatile Baseline. ACM Multimedia 2024.</w:t>
      </w:r>
    </w:p>
    <w:p>
      <w:pPr>
        <w:spacing w:after="140"/>
      </w:pPr>
      <w:hyperlink r:id="rId20">
        <w:r>
          <w:rPr>
            <w:color w:val="1F4E79"/>
            <w:u w:val="single"/>
            <w:sz w:val="19"/>
          </w:rPr>
          <w:t>https://doi.org/10.1145/3664647.3680599</w:t>
        </w:r>
      </w:hyperlink>
    </w:p>
    <w:p>
      <w:pPr>
        <w:keepNext/>
        <w:spacing w:after="40"/>
      </w:pPr>
      <w:r>
        <w:rPr>
          <w:b w:val="0"/>
          <w:sz w:val="20"/>
        </w:rPr>
        <w:t>R4. Wei et al. (2026). A Large-Scale In-the-wild Dataset for Plant Disease Segmentation. Scientific Data, 13:205. Data Descriptor.</w:t>
      </w:r>
    </w:p>
    <w:p>
      <w:pPr>
        <w:spacing w:after="140"/>
      </w:pPr>
      <w:hyperlink r:id="rId21">
        <w:r>
          <w:rPr>
            <w:color w:val="1F4E79"/>
            <w:u w:val="single"/>
            <w:sz w:val="19"/>
          </w:rPr>
          <w:t>https://doi.org/10.1038/s41597-025-06513-4</w:t>
        </w:r>
      </w:hyperlink>
    </w:p>
    <w:p>
      <w:pPr>
        <w:keepNext/>
        <w:spacing w:after="40"/>
      </w:pPr>
      <w:r>
        <w:rPr>
          <w:b w:val="0"/>
          <w:sz w:val="20"/>
        </w:rPr>
        <w:t>R5. Petchiammal A et al. (2023). Paddy Doctor: A Visual Image Dataset for Automated Paddy Disease Classification and Benchmarking. CODS-COMAD 2023. Препринт опубликован в 2022 году.</w:t>
      </w:r>
    </w:p>
    <w:p>
      <w:pPr>
        <w:spacing w:after="140"/>
      </w:pPr>
      <w:hyperlink r:id="rId22">
        <w:r>
          <w:rPr>
            <w:color w:val="1F4E79"/>
            <w:u w:val="single"/>
            <w:sz w:val="19"/>
          </w:rPr>
          <w:t>https://doi.org/10.1145/3570991.3570994</w:t>
        </w:r>
      </w:hyperlink>
    </w:p>
    <w:p>
      <w:pPr>
        <w:keepNext/>
        <w:spacing w:after="40"/>
      </w:pPr>
      <w:r>
        <w:rPr>
          <w:b w:val="0"/>
          <w:sz w:val="20"/>
        </w:rPr>
        <w:t>R6. Long et al. (2023). Classification of wheat diseases using deep learning networks with field and glasshouse images. Plant Pathology, 72(3):536–547; online 2022.</w:t>
      </w:r>
    </w:p>
    <w:p>
      <w:pPr>
        <w:spacing w:after="140"/>
      </w:pPr>
      <w:hyperlink r:id="rId23">
        <w:r>
          <w:rPr>
            <w:color w:val="1F4E79"/>
            <w:u w:val="single"/>
            <w:sz w:val="19"/>
          </w:rPr>
          <w:t>https://doi.org/10.1111/ppa.13684</w:t>
        </w:r>
      </w:hyperlink>
    </w:p>
    <w:p>
      <w:pPr>
        <w:keepNext/>
        <w:spacing w:after="40"/>
      </w:pPr>
      <w:r>
        <w:rPr>
          <w:b w:val="0"/>
          <w:sz w:val="20"/>
        </w:rPr>
        <w:t>R7. Imtiaz et al. (2025). Tomato leaf dataset: A dataset for multiclass disease detection and classification. Data in Brief, 60:111520. Статья ссылается на данные v2.</w:t>
      </w:r>
    </w:p>
    <w:p>
      <w:pPr>
        <w:spacing w:after="140"/>
      </w:pPr>
      <w:hyperlink r:id="rId24">
        <w:r>
          <w:rPr>
            <w:color w:val="1F4E79"/>
            <w:u w:val="single"/>
            <w:sz w:val="19"/>
          </w:rPr>
          <w:t>https://doi.org/10.1016/j.dib.2025.111520</w:t>
        </w:r>
      </w:hyperlink>
    </w:p>
    <w:p>
      <w:pPr>
        <w:keepNext/>
        <w:spacing w:after="40"/>
      </w:pPr>
      <w:r>
        <w:rPr>
          <w:b w:val="0"/>
          <w:sz w:val="20"/>
        </w:rPr>
        <w:t>R8. Rsaliyev et al. (2025). Characterizing the Genetic Basis of Winter Wheat Rust Resistance in Southern Kazakhstan. Plants, 14(7):1146.</w:t>
      </w:r>
    </w:p>
    <w:p>
      <w:pPr>
        <w:spacing w:after="140"/>
      </w:pPr>
      <w:hyperlink r:id="rId25">
        <w:r>
          <w:rPr>
            <w:color w:val="1F4E79"/>
            <w:u w:val="single"/>
            <w:sz w:val="19"/>
          </w:rPr>
          <w:t>https://doi.org/10.3390/plants14071146</w:t>
        </w:r>
      </w:hyperlink>
    </w:p>
    <w:p>
      <w:pPr>
        <w:keepNext/>
        <w:spacing w:after="40"/>
      </w:pPr>
      <w:r>
        <w:rPr>
          <w:b w:val="0"/>
          <w:sz w:val="20"/>
        </w:rPr>
        <w:t>R9. Oquab et al. (2024). DINOv2: Learning Robust Visual Features without Supervision. Transactions on Machine Learning Research, январь 2024; препринт 2023.</w:t>
      </w:r>
    </w:p>
    <w:p>
      <w:pPr>
        <w:spacing w:after="140"/>
      </w:pPr>
      <w:hyperlink r:id="rId26">
        <w:r>
          <w:rPr>
            <w:color w:val="1F4E79"/>
            <w:u w:val="single"/>
            <w:sz w:val="19"/>
          </w:rPr>
          <w:t>https://openreview.net/forum?id=a68SUt6zFt</w:t>
        </w:r>
      </w:hyperlink>
    </w:p>
    <w:p>
      <w:pPr>
        <w:keepNext/>
        <w:spacing w:after="40"/>
      </w:pPr>
      <w:r>
        <w:rPr>
          <w:b w:val="0"/>
          <w:sz w:val="20"/>
        </w:rPr>
        <w:t>R10. Mohanty S. P., Hughes D. P., Salathé M. (2016). Using Deep Learning for Image-Based Plant Disease Detection. Frontiers in Plant Science, 7:1419.</w:t>
      </w:r>
    </w:p>
    <w:p>
      <w:pPr>
        <w:spacing w:after="140"/>
      </w:pPr>
      <w:hyperlink r:id="rId27">
        <w:r>
          <w:rPr>
            <w:color w:val="1F4E79"/>
            <w:u w:val="single"/>
            <w:sz w:val="19"/>
          </w:rPr>
          <w:t>https://doi.org/10.3389/fpls.2016.01419</w:t>
        </w:r>
      </w:hyperlink>
    </w:p>
    <w:p>
      <w:pPr>
        <w:keepNext/>
        <w:spacing w:after="40"/>
      </w:pPr>
      <w:r>
        <w:rPr>
          <w:b w:val="0"/>
          <w:sz w:val="20"/>
        </w:rPr>
        <w:t>R11. Tan M., Le Q. V. (2019). EfficientNet: Rethinking Model Scaling for Convolutional Neural Networks. ICML, PMLR 97:6105–6114.</w:t>
      </w:r>
    </w:p>
    <w:p>
      <w:pPr>
        <w:spacing w:after="140"/>
      </w:pPr>
      <w:hyperlink r:id="rId28">
        <w:r>
          <w:rPr>
            <w:color w:val="1F4E79"/>
            <w:u w:val="single"/>
            <w:sz w:val="19"/>
          </w:rPr>
          <w:t>https://proceedings.mlr.press/v97/tan19a.html</w:t>
        </w:r>
      </w:hyperlink>
    </w:p>
    <w:p>
      <w:pPr>
        <w:keepNext/>
        <w:spacing w:after="40"/>
      </w:pPr>
      <w:r>
        <w:rPr>
          <w:b w:val="0"/>
          <w:sz w:val="20"/>
        </w:rPr>
        <w:t>R12. Howard et al. (2019). Searching for MobileNetV3. ICCV 2019.</w:t>
      </w:r>
    </w:p>
    <w:p>
      <w:pPr>
        <w:spacing w:after="140"/>
      </w:pPr>
      <w:hyperlink r:id="rId29">
        <w:r>
          <w:rPr>
            <w:color w:val="1F4E79"/>
            <w:u w:val="single"/>
            <w:sz w:val="19"/>
          </w:rPr>
          <w:t>https://openaccess.thecvf.com/content_ICCV_2019/html/Howard_Searching_for_MobileNetV3_ICCV_2019_paper.html</w:t>
        </w:r>
      </w:hyperlink>
    </w:p>
    <w:p>
      <w:pPr>
        <w:keepNext/>
        <w:spacing w:after="40"/>
      </w:pPr>
      <w:r>
        <w:rPr>
          <w:b w:val="0"/>
          <w:sz w:val="20"/>
        </w:rPr>
        <w:t>R13. Guo C., Pleiss G., Sun Y., Weinberger K. Q. (2017). On Calibration of Modern Neural Networks. ICML, PMLR 70:1321–1330.</w:t>
      </w:r>
    </w:p>
    <w:p>
      <w:pPr>
        <w:spacing w:after="140"/>
      </w:pPr>
      <w:hyperlink r:id="rId30">
        <w:r>
          <w:rPr>
            <w:color w:val="1F4E79"/>
            <w:u w:val="single"/>
            <w:sz w:val="19"/>
          </w:rPr>
          <w:t>https://proceedings.mlr.press/v70/guo17a.html</w:t>
        </w:r>
      </w:hyperlink>
    </w:p>
    <w:p>
      <w:pPr>
        <w:keepNext/>
        <w:spacing w:after="40"/>
      </w:pPr>
      <w:r>
        <w:rPr>
          <w:b w:val="0"/>
          <w:sz w:val="20"/>
        </w:rPr>
        <w:t>R14. Ovadia et al. (2019). Can you trust your model’s uncertainty? Evaluating predictive uncertainty under dataset shift. NeurIPS 32.</w:t>
      </w:r>
    </w:p>
    <w:p>
      <w:pPr>
        <w:spacing w:after="140"/>
      </w:pPr>
      <w:hyperlink r:id="rId31">
        <w:r>
          <w:rPr>
            <w:color w:val="1F4E79"/>
            <w:u w:val="single"/>
            <w:sz w:val="19"/>
          </w:rPr>
          <w:t>https://proceedings.neurips.cc/paper/2019/hash/8558cb408c1d76621371888657d2eb1d-Abstract.html</w:t>
        </w:r>
      </w:hyperlink>
    </w:p>
    <w:p>
      <w:pPr>
        <w:keepNext/>
        <w:spacing w:after="40"/>
      </w:pPr>
      <w:r>
        <w:rPr>
          <w:b w:val="0"/>
          <w:sz w:val="20"/>
        </w:rPr>
        <w:t>R15. Nalwanga et al. (2026). Multi-Crop Leaf Disease Recognition: A Unified Benchmark and Cross-Region Study. arXiv:2610.04456v1, 3 октября. Препринт; рецензирование не подтверждено.</w:t>
      </w:r>
    </w:p>
    <w:p>
      <w:pPr>
        <w:spacing w:after="140"/>
      </w:pPr>
      <w:hyperlink r:id="rId32">
        <w:r>
          <w:rPr>
            <w:color w:val="1F4E79"/>
            <w:u w:val="single"/>
            <w:sz w:val="19"/>
          </w:rPr>
          <w:t>https://arxiv.org/abs/2610.04456</w:t>
        </w:r>
      </w:hyperlink>
    </w:p>
    <w:p>
      <w:pPr>
        <w:keepNext/>
        <w:spacing w:after="40"/>
      </w:pPr>
      <w:r>
        <w:rPr>
          <w:b w:val="0"/>
          <w:sz w:val="20"/>
        </w:rPr>
        <w:t>R16. ONNX Runtime. Quantize ONNX models. Официальная изменяемая документация, не научная публикация.</w:t>
      </w:r>
    </w:p>
    <w:p>
      <w:pPr>
        <w:spacing w:after="140"/>
      </w:pPr>
      <w:hyperlink r:id="rId33">
        <w:r>
          <w:rPr>
            <w:color w:val="1F4E79"/>
            <w:u w:val="single"/>
            <w:sz w:val="19"/>
          </w:rPr>
          <w:t>https://onnxruntime.ai/docs/performance/model-optimizations/quantization.html</w:t>
        </w:r>
      </w:hyperlink>
    </w:p>
    <w:p>
      <w:pPr>
        <w:pStyle w:val="Heading2"/>
      </w:pPr>
      <w:r>
        <w:rPr>
          <w:color w:val="000000"/>
        </w:rPr>
        <w:t>Официальные источники существующих систем</w:t>
      </w:r>
    </w:p>
    <w:p>
      <w:pPr>
        <w:spacing w:after="100"/>
      </w:pPr>
      <w:r>
        <w:rPr>
          <w:b w:val="0"/>
          <w:sz w:val="19"/>
        </w:rPr>
        <w:t xml:space="preserve">P1. Plantix официальный сайт. </w:t>
      </w:r>
      <w:hyperlink r:id="rId34">
        <w:r>
          <w:rPr>
            <w:color w:val="1F4E79"/>
            <w:u w:val="single"/>
            <w:sz w:val="19"/>
          </w:rPr>
          <w:t>https://plantix.net/en/</w:t>
        </w:r>
      </w:hyperlink>
    </w:p>
    <w:p>
      <w:pPr>
        <w:spacing w:after="100"/>
      </w:pPr>
      <w:r>
        <w:rPr>
          <w:b w:val="0"/>
          <w:sz w:val="19"/>
        </w:rPr>
        <w:t xml:space="preserve">P2. Plantix карточка разработчика Android. </w:t>
      </w:r>
      <w:hyperlink r:id="rId35">
        <w:r>
          <w:rPr>
            <w:color w:val="1F4E79"/>
            <w:u w:val="single"/>
            <w:sz w:val="19"/>
          </w:rPr>
          <w:t>https://play.google.com/store/apps/details?hl=en&amp;id=com.peat.GartenBank</w:t>
        </w:r>
      </w:hyperlink>
    </w:p>
    <w:p>
      <w:pPr>
        <w:spacing w:after="100"/>
      </w:pPr>
      <w:r>
        <w:rPr>
          <w:b w:val="0"/>
          <w:sz w:val="19"/>
        </w:rPr>
        <w:t xml:space="preserve">P3. Plantix API Toolkit. </w:t>
      </w:r>
      <w:hyperlink r:id="rId36">
        <w:r>
          <w:rPr>
            <w:color w:val="1F4E79"/>
            <w:u w:val="single"/>
            <w:sz w:val="19"/>
          </w:rPr>
          <w:t>https://plantix.net/en/plantix-intelligence/api-toolkit/</w:t>
        </w:r>
      </w:hyperlink>
    </w:p>
    <w:p>
      <w:pPr>
        <w:spacing w:after="100"/>
      </w:pPr>
      <w:r>
        <w:rPr>
          <w:b w:val="0"/>
          <w:sz w:val="19"/>
        </w:rPr>
        <w:t xml:space="preserve">N1. PlantVillage+ текущая Android-карточка. </w:t>
      </w:r>
      <w:hyperlink r:id="rId37">
        <w:r>
          <w:rPr>
            <w:color w:val="1F4E79"/>
            <w:u w:val="single"/>
            <w:sz w:val="19"/>
          </w:rPr>
          <w:t>https://play.google.com/store/apps/details?hl=en&amp;id=plantvillage.nuru</w:t>
        </w:r>
      </w:hyperlink>
    </w:p>
    <w:p>
      <w:pPr>
        <w:spacing w:after="100"/>
      </w:pPr>
      <w:r>
        <w:rPr>
          <w:b w:val="0"/>
          <w:sz w:val="19"/>
        </w:rPr>
        <w:t xml:space="preserve">N2. Mrisho et al. 2020 исследование Nuru. </w:t>
      </w:r>
      <w:hyperlink r:id="rId38">
        <w:r>
          <w:rPr>
            <w:color w:val="1F4E79"/>
            <w:u w:val="single"/>
            <w:sz w:val="19"/>
          </w:rPr>
          <w:t>https://doi.org/10.3389/fpls.2020.590889</w:t>
        </w:r>
      </w:hyperlink>
    </w:p>
    <w:p>
      <w:pPr>
        <w:spacing w:after="100"/>
      </w:pPr>
      <w:r>
        <w:rPr>
          <w:b w:val="0"/>
          <w:sz w:val="19"/>
        </w:rPr>
        <w:t xml:space="preserve">N3. Penn State 2018 Nuru и fall armyworm. </w:t>
      </w:r>
      <w:hyperlink r:id="rId39">
        <w:r>
          <w:rPr>
            <w:color w:val="1F4E79"/>
            <w:u w:val="single"/>
            <w:sz w:val="19"/>
          </w:rPr>
          <w:t>https://www.psu.edu/news/research/story/nuru-becomes-african-farmers-newest-ally-against-fall-armyworm</w:t>
        </w:r>
      </w:hyperlink>
    </w:p>
    <w:p>
      <w:pPr>
        <w:spacing w:after="100"/>
      </w:pPr>
      <w:r>
        <w:rPr>
          <w:b w:val="0"/>
          <w:sz w:val="19"/>
        </w:rPr>
        <w:t xml:space="preserve">A1. Agrio официальный сайт. </w:t>
      </w:r>
      <w:hyperlink r:id="rId40">
        <w:r>
          <w:rPr>
            <w:color w:val="1F4E79"/>
            <w:u w:val="single"/>
            <w:sz w:val="19"/>
          </w:rPr>
          <w:t>https://agrio.app/</w:t>
        </w:r>
      </w:hyperlink>
    </w:p>
    <w:p>
      <w:pPr>
        <w:spacing w:after="100"/>
      </w:pPr>
      <w:r>
        <w:rPr>
          <w:b w:val="0"/>
          <w:sz w:val="19"/>
        </w:rPr>
        <w:t xml:space="preserve">A2. Agrio Google Play. </w:t>
      </w:r>
      <w:hyperlink r:id="rId41">
        <w:r>
          <w:rPr>
            <w:color w:val="1F4E79"/>
            <w:u w:val="single"/>
            <w:sz w:val="19"/>
          </w:rPr>
          <w:t>https://play.google.com/store/apps/details?hl=en&amp;id=com.agrio</w:t>
        </w:r>
      </w:hyperlink>
    </w:p>
    <w:p>
      <w:pPr>
        <w:spacing w:after="100"/>
      </w:pPr>
      <w:r>
        <w:rPr>
          <w:b w:val="0"/>
          <w:sz w:val="19"/>
        </w:rPr>
        <w:t xml:space="preserve">A3. Agrio App Store. </w:t>
      </w:r>
      <w:hyperlink r:id="rId42">
        <w:r>
          <w:rPr>
            <w:color w:val="1F4E79"/>
            <w:u w:val="single"/>
            <w:sz w:val="19"/>
          </w:rPr>
          <w:t>https://apps.apple.com/us/app/agrio-plant-diagnosis-app/id1239193220</w:t>
        </w:r>
      </w:hyperlink>
    </w:p>
    <w:p>
      <w:pPr>
        <w:spacing w:after="100"/>
      </w:pPr>
      <w:r>
        <w:rPr>
          <w:b w:val="0"/>
          <w:sz w:val="19"/>
        </w:rPr>
        <w:t xml:space="preserve">A4. Agrio Agriculture API. </w:t>
      </w:r>
      <w:hyperlink r:id="rId43">
        <w:r>
          <w:rPr>
            <w:color w:val="1F4E79"/>
            <w:u w:val="single"/>
            <w:sz w:val="19"/>
          </w:rPr>
          <w:t>https://agrio.app/Agriculture-API/</w:t>
        </w:r>
      </w:hyperlink>
    </w:p>
    <w:p>
      <w:pPr>
        <w:spacing w:after="100"/>
      </w:pPr>
      <w:r>
        <w:rPr>
          <w:b w:val="0"/>
          <w:sz w:val="19"/>
        </w:rPr>
        <w:t xml:space="preserve">A5. Agrio сценарий определения болезней и вредителей. </w:t>
      </w:r>
      <w:hyperlink r:id="rId44">
        <w:r>
          <w:rPr>
            <w:color w:val="1F4E79"/>
            <w:u w:val="single"/>
            <w:sz w:val="19"/>
          </w:rPr>
          <w:t>https://agrio.app/An-app-that-identifies-plant-diseases-and-pests/</w:t>
        </w:r>
      </w:hyperlink>
    </w:p>
    <w:p>
      <w:pPr>
        <w:spacing w:after="100"/>
      </w:pPr>
      <w:r>
        <w:rPr>
          <w:b w:val="0"/>
          <w:sz w:val="19"/>
        </w:rPr>
        <w:t xml:space="preserve">K1. kindwise crop.health. </w:t>
      </w:r>
      <w:hyperlink r:id="rId45">
        <w:r>
          <w:rPr>
            <w:color w:val="1F4E79"/>
            <w:u w:val="single"/>
            <w:sz w:val="19"/>
          </w:rPr>
          <w:t>https://www.kindwise.com/crop-health</w:t>
        </w:r>
      </w:hyperlink>
    </w:p>
    <w:p>
      <w:pPr>
        <w:spacing w:after="100"/>
      </w:pPr>
      <w:r>
        <w:rPr>
          <w:b w:val="0"/>
          <w:sz w:val="19"/>
        </w:rPr>
        <w:t xml:space="preserve">K2. kindwise FAQ. </w:t>
      </w:r>
      <w:hyperlink r:id="rId46">
        <w:r>
          <w:rPr>
            <w:color w:val="1F4E79"/>
            <w:u w:val="single"/>
            <w:sz w:val="19"/>
          </w:rPr>
          <w:t>https://www.kindwise.com/faq</w:t>
        </w:r>
      </w:hyperlink>
    </w:p>
    <w:p>
      <w:pPr>
        <w:spacing w:after="100"/>
      </w:pPr>
      <w:r>
        <w:rPr>
          <w:b w:val="0"/>
          <w:sz w:val="19"/>
        </w:rPr>
        <w:t xml:space="preserve">K3. kindwise Handbook. </w:t>
      </w:r>
      <w:hyperlink r:id="rId47">
        <w:r>
          <w:rPr>
            <w:color w:val="1F4E79"/>
            <w:u w:val="single"/>
            <w:sz w:val="19"/>
          </w:rPr>
          <w:t>https://www.kindwise.com/handbook</w:t>
        </w:r>
      </w:hyperlink>
    </w:p>
    <w:p>
      <w:pPr>
        <w:pStyle w:val="Heading2"/>
      </w:pPr>
      <w:r>
        <w:rPr>
          <w:color w:val="000000"/>
        </w:rPr>
        <w:t>Первичные карточки датасетов</w:t>
      </w:r>
    </w:p>
    <w:p>
      <w:r>
        <w:rPr>
          <w:b w:val="0"/>
          <w:sz w:val="19"/>
        </w:rPr>
        <w:t>Ссылки ведут к рассматриваемым карточкам/публикациям, а не подтверждают скачивание архивов. D12 включает отдельную ссылку на статью для проверки различия версии и оговорки Ethics.</w:t>
      </w:r>
    </w:p>
    <w:p>
      <w:pPr>
        <w:spacing w:after="100"/>
      </w:pPr>
      <w:r>
        <w:rPr>
          <w:b w:val="0"/>
          <w:sz w:val="19"/>
        </w:rPr>
        <w:t xml:space="preserve">D01. PlantVillage авторская карточка. </w:t>
      </w:r>
      <w:hyperlink r:id="rId48">
        <w:r>
          <w:rPr>
            <w:color w:val="1F4E79"/>
            <w:u w:val="single"/>
            <w:sz w:val="19"/>
          </w:rPr>
          <w:t>https://huggingface.co/datasets/mohanty/PlantVillage</w:t>
        </w:r>
      </w:hyperlink>
    </w:p>
    <w:p>
      <w:pPr>
        <w:spacing w:after="100"/>
      </w:pPr>
      <w:r>
        <w:rPr>
          <w:b w:val="0"/>
          <w:sz w:val="19"/>
        </w:rPr>
        <w:t xml:space="preserve">D02. PlantDoc авторский репозиторий. </w:t>
      </w:r>
      <w:hyperlink r:id="rId49">
        <w:r>
          <w:rPr>
            <w:color w:val="1F4E79"/>
            <w:u w:val="single"/>
            <w:sz w:val="19"/>
          </w:rPr>
          <w:t>https://github.com/pratikkayal/PlantDoc-Dataset</w:t>
        </w:r>
      </w:hyperlink>
    </w:p>
    <w:p>
      <w:pPr>
        <w:spacing w:after="100"/>
      </w:pPr>
      <w:r>
        <w:rPr>
          <w:b w:val="0"/>
          <w:sz w:val="19"/>
        </w:rPr>
        <w:t xml:space="preserve">D03. PlantWild авторский проект. </w:t>
      </w:r>
      <w:hyperlink r:id="rId50">
        <w:r>
          <w:rPr>
            <w:color w:val="1F4E79"/>
            <w:u w:val="single"/>
            <w:sz w:val="19"/>
          </w:rPr>
          <w:t>https://tqwei05.github.io/PlantWild/</w:t>
        </w:r>
      </w:hyperlink>
    </w:p>
    <w:p>
      <w:pPr>
        <w:spacing w:after="100"/>
      </w:pPr>
      <w:r>
        <w:rPr>
          <w:b w:val="0"/>
          <w:sz w:val="19"/>
        </w:rPr>
        <w:t xml:space="preserve">D04. PlantSeg Zenodo v7. </w:t>
      </w:r>
      <w:hyperlink r:id="rId51">
        <w:r>
          <w:rPr>
            <w:color w:val="1F4E79"/>
            <w:u w:val="single"/>
            <w:sz w:val="19"/>
          </w:rPr>
          <w:t>https://zenodo.org/records/17719108</w:t>
        </w:r>
      </w:hyperlink>
    </w:p>
    <w:p>
      <w:pPr>
        <w:spacing w:after="100"/>
      </w:pPr>
      <w:r>
        <w:rPr>
          <w:b w:val="0"/>
          <w:sz w:val="19"/>
        </w:rPr>
        <w:t xml:space="preserve">D05. Wheat Leaf Dataset v1. </w:t>
      </w:r>
      <w:hyperlink r:id="rId52">
        <w:r>
          <w:rPr>
            <w:color w:val="1F4E79"/>
            <w:u w:val="single"/>
            <w:sz w:val="19"/>
          </w:rPr>
          <w:t>https://data.mendeley.com/datasets/wgd66f8n6h/1</w:t>
        </w:r>
      </w:hyperlink>
    </w:p>
    <w:p>
      <w:pPr>
        <w:spacing w:after="100"/>
      </w:pPr>
      <w:r>
        <w:rPr>
          <w:b w:val="0"/>
          <w:sz w:val="19"/>
        </w:rPr>
        <w:t xml:space="preserve">D06. CerealConv публичная часть. </w:t>
      </w:r>
      <w:hyperlink r:id="rId53">
        <w:r>
          <w:rPr>
            <w:color w:val="1F4E79"/>
            <w:u w:val="single"/>
            <w:sz w:val="19"/>
          </w:rPr>
          <w:t>https://zenodo.org/records/7573133</w:t>
        </w:r>
      </w:hyperlink>
    </w:p>
    <w:p>
      <w:pPr>
        <w:spacing w:after="100"/>
      </w:pPr>
      <w:r>
        <w:rPr>
          <w:b w:val="0"/>
          <w:sz w:val="19"/>
        </w:rPr>
        <w:t xml:space="preserve">D07. Paddy Doctor. </w:t>
      </w:r>
      <w:hyperlink r:id="rId54">
        <w:r>
          <w:rPr>
            <w:color w:val="1F4E79"/>
            <w:u w:val="single"/>
            <w:sz w:val="19"/>
          </w:rPr>
          <w:t>https://paddydoc.github.io/dataset/</w:t>
        </w:r>
      </w:hyperlink>
    </w:p>
    <w:p>
      <w:pPr>
        <w:spacing w:after="100"/>
      </w:pPr>
      <w:r>
        <w:rPr>
          <w:b w:val="0"/>
          <w:sz w:val="19"/>
        </w:rPr>
        <w:t xml:space="preserve">D08. iCassava 2019 авторский репозиторий. </w:t>
      </w:r>
      <w:hyperlink r:id="rId55">
        <w:r>
          <w:rPr>
            <w:color w:val="1F4E79"/>
            <w:u w:val="single"/>
            <w:sz w:val="19"/>
          </w:rPr>
          <w:t>https://github.com/icassava/fgvcx-icassava</w:t>
        </w:r>
      </w:hyperlink>
    </w:p>
    <w:p>
      <w:pPr>
        <w:spacing w:after="100"/>
      </w:pPr>
      <w:r>
        <w:rPr>
          <w:b w:val="0"/>
          <w:sz w:val="19"/>
        </w:rPr>
        <w:t xml:space="preserve">D09. Maize NLB статья и указание на OSF p67rz. </w:t>
      </w:r>
      <w:hyperlink r:id="rId56">
        <w:r>
          <w:rPr>
            <w:color w:val="1F4E79"/>
            <w:u w:val="single"/>
            <w:sz w:val="19"/>
          </w:rPr>
          <w:t>https://doi.org/10.1186/s13104-018-3548-6</w:t>
        </w:r>
      </w:hyperlink>
    </w:p>
    <w:p>
      <w:pPr>
        <w:spacing w:after="100"/>
      </w:pPr>
      <w:r>
        <w:rPr>
          <w:b w:val="0"/>
          <w:sz w:val="19"/>
        </w:rPr>
        <w:t xml:space="preserve">D10. CD&amp;S авторская публикация. </w:t>
      </w:r>
      <w:hyperlink r:id="rId57">
        <w:r>
          <w:rPr>
            <w:color w:val="1F4E79"/>
            <w:u w:val="single"/>
            <w:sz w:val="19"/>
          </w:rPr>
          <w:t>https://arxiv.org/html/2110.12084v1</w:t>
        </w:r>
      </w:hyperlink>
    </w:p>
    <w:p>
      <w:pPr>
        <w:spacing w:after="100"/>
      </w:pPr>
      <w:r>
        <w:rPr>
          <w:b w:val="0"/>
          <w:sz w:val="19"/>
        </w:rPr>
        <w:t xml:space="preserve">D11. Potato uncontrolled environment v1. </w:t>
      </w:r>
      <w:hyperlink r:id="rId58">
        <w:r>
          <w:rPr>
            <w:color w:val="1F4E79"/>
            <w:u w:val="single"/>
            <w:sz w:val="19"/>
          </w:rPr>
          <w:t>https://data.mendeley.com/datasets/ptz377bwb8/1</w:t>
        </w:r>
      </w:hyperlink>
    </w:p>
    <w:p>
      <w:pPr>
        <w:spacing w:after="100"/>
      </w:pPr>
      <w:r>
        <w:rPr>
          <w:b w:val="0"/>
          <w:sz w:val="19"/>
        </w:rPr>
        <w:t xml:space="preserve">D12. Tomato Leaf Dataset v1. </w:t>
      </w:r>
      <w:hyperlink r:id="rId59">
        <w:r>
          <w:rPr>
            <w:color w:val="1F4E79"/>
            <w:u w:val="single"/>
            <w:sz w:val="19"/>
          </w:rPr>
          <w:t>https://data.mendeley.com/datasets/bpfd9cns5g/1</w:t>
        </w:r>
      </w:hyperlink>
    </w:p>
    <w:p>
      <w:pPr>
        <w:spacing w:after="100"/>
      </w:pPr>
      <w:r>
        <w:rPr>
          <w:b w:val="0"/>
          <w:sz w:val="19"/>
        </w:rPr>
        <w:t xml:space="preserve">D12a. Tomato статья с ссылкой на v2 и Ethics Statement. </w:t>
      </w:r>
      <w:hyperlink r:id="rId60">
        <w:r>
          <w:rPr>
            <w:color w:val="1F4E79"/>
            <w:u w:val="single"/>
            <w:sz w:val="19"/>
          </w:rPr>
          <w:t>https://pmc.ncbi.nlm.nih.gov/articles/PMC12008584/</w:t>
        </w:r>
      </w:hyperlink>
    </w:p>
    <w:p>
      <w:pPr>
        <w:spacing w:after="100"/>
      </w:pPr>
      <w:r>
        <w:rPr>
          <w:b w:val="0"/>
          <w:sz w:val="19"/>
        </w:rPr>
        <w:t xml:space="preserve">D13. Sun Flower Fruits and Leaves v1. </w:t>
      </w:r>
      <w:hyperlink r:id="rId61">
        <w:r>
          <w:rPr>
            <w:color w:val="1F4E79"/>
            <w:u w:val="single"/>
            <w:sz w:val="19"/>
          </w:rPr>
          <w:t>https://data.mendeley.com/datasets/b83hmrzth8/1</w:t>
        </w:r>
      </w:hyperlink>
    </w:p>
    <w:p>
      <w:pPr>
        <w:spacing w:after="100"/>
      </w:pPr>
      <w:r>
        <w:rPr>
          <w:b w:val="0"/>
          <w:sz w:val="19"/>
        </w:rPr>
        <w:t xml:space="preserve">D14. Barley foliar disease segmentation v1. </w:t>
      </w:r>
      <w:hyperlink r:id="rId62">
        <w:r>
          <w:rPr>
            <w:color w:val="1F4E79"/>
            <w:u w:val="single"/>
            <w:sz w:val="19"/>
          </w:rPr>
          <w:t>https://data.mendeley.com/datasets/4ny92p2r8f/1</w:t>
        </w:r>
      </w:hyperlink>
    </w:p>
    <w:p>
      <w:pPr>
        <w:pStyle w:val="Heading2"/>
      </w:pPr>
      <w:r>
        <w:rPr>
          <w:color w:val="000000"/>
        </w:rPr>
        <w:t>Техническая документация и местный контекст</w:t>
      </w:r>
    </w:p>
    <w:p>
      <w:pPr>
        <w:spacing w:after="100"/>
      </w:pPr>
      <w:r>
        <w:rPr>
          <w:b w:val="0"/>
          <w:sz w:val="19"/>
        </w:rPr>
        <w:t xml:space="preserve">C1. Министерство сельского хозяйства Казахстана посевная 2026. </w:t>
      </w:r>
      <w:hyperlink r:id="rId63">
        <w:r>
          <w:rPr>
            <w:color w:val="1F4E79"/>
            <w:u w:val="single"/>
            <w:sz w:val="19"/>
          </w:rPr>
          <w:t>https://www.gov.kz/org/moa/press/news/details/1236048?lang=ru</w:t>
        </w:r>
      </w:hyperlink>
    </w:p>
    <w:p>
      <w:pPr>
        <w:spacing w:after="100"/>
      </w:pPr>
      <w:r>
        <w:rPr>
          <w:b w:val="0"/>
          <w:sz w:val="19"/>
        </w:rPr>
        <w:t xml:space="preserve">T1. FastAPI. </w:t>
      </w:r>
      <w:hyperlink r:id="rId64">
        <w:r>
          <w:rPr>
            <w:color w:val="1F4E79"/>
            <w:u w:val="single"/>
            <w:sz w:val="19"/>
          </w:rPr>
          <w:t>https://fastapi.tiangolo.com/</w:t>
        </w:r>
      </w:hyperlink>
    </w:p>
    <w:p>
      <w:pPr>
        <w:spacing w:after="100"/>
      </w:pPr>
      <w:r>
        <w:rPr>
          <w:b w:val="0"/>
          <w:sz w:val="19"/>
        </w:rPr>
        <w:t xml:space="preserve">T2. Django REST Framework. </w:t>
      </w:r>
      <w:hyperlink r:id="rId65">
        <w:r>
          <w:rPr>
            <w:color w:val="1F4E79"/>
            <w:u w:val="single"/>
            <w:sz w:val="19"/>
          </w:rPr>
          <w:t>https://www.django-rest-framework.org/</w:t>
        </w:r>
      </w:hyperlink>
    </w:p>
    <w:p>
      <w:pPr>
        <w:spacing w:after="100"/>
      </w:pPr>
      <w:r>
        <w:rPr>
          <w:b w:val="0"/>
          <w:sz w:val="19"/>
        </w:rPr>
        <w:t xml:space="preserve">T3. NestJS. </w:t>
      </w:r>
      <w:hyperlink r:id="rId66">
        <w:r>
          <w:rPr>
            <w:color w:val="1F4E79"/>
            <w:u w:val="single"/>
            <w:sz w:val="19"/>
          </w:rPr>
          <w:t>https://docs.nestjs.com/</w:t>
        </w:r>
      </w:hyperlink>
    </w:p>
    <w:p>
      <w:pPr>
        <w:spacing w:after="100"/>
      </w:pPr>
      <w:r>
        <w:rPr>
          <w:b w:val="0"/>
          <w:sz w:val="19"/>
        </w:rPr>
        <w:t xml:space="preserve">T4. FastAPI Background Tasks. </w:t>
      </w:r>
      <w:hyperlink r:id="rId67">
        <w:r>
          <w:rPr>
            <w:color w:val="1F4E79"/>
            <w:u w:val="single"/>
            <w:sz w:val="19"/>
          </w:rPr>
          <w:t>https://fastapi.tiangolo.com/tutorial/background-tasks/</w:t>
        </w:r>
      </w:hyperlink>
    </w:p>
    <w:p>
      <w:pPr>
        <w:spacing w:after="100"/>
      </w:pPr>
      <w:r>
        <w:rPr>
          <w:b w:val="0"/>
          <w:sz w:val="19"/>
        </w:rPr>
        <w:t xml:space="preserve">T5. PostgreSQL SELECT и locking clause. </w:t>
      </w:r>
      <w:hyperlink r:id="rId68">
        <w:r>
          <w:rPr>
            <w:color w:val="1F4E79"/>
            <w:u w:val="single"/>
            <w:sz w:val="19"/>
          </w:rPr>
          <w:t>https://www.postgresql.org/docs/current/sql-select.html</w:t>
        </w:r>
      </w:hyperlink>
    </w:p>
    <w:p>
      <w:pPr>
        <w:spacing w:after="100"/>
      </w:pPr>
      <w:r>
        <w:rPr>
          <w:b w:val="0"/>
          <w:sz w:val="19"/>
        </w:rPr>
        <w:t xml:space="preserve">T6. AWS S3 presigned URLs. </w:t>
      </w:r>
      <w:hyperlink r:id="rId69">
        <w:r>
          <w:rPr>
            <w:color w:val="1F4E79"/>
            <w:u w:val="single"/>
            <w:sz w:val="19"/>
          </w:rPr>
          <w:t>https://docs.aws.amazon.com/AmazonS3/latest/userguide/using-presigned-url.html</w:t>
        </w:r>
      </w:hyperlink>
    </w:p>
    <w:p>
      <w:pPr>
        <w:spacing w:after="100"/>
      </w:pPr>
      <w:r>
        <w:rPr>
          <w:b w:val="0"/>
          <w:sz w:val="19"/>
        </w:rPr>
        <w:t xml:space="preserve">T7. SQLite Appropriate uses. </w:t>
      </w:r>
      <w:hyperlink r:id="rId70">
        <w:r>
          <w:rPr>
            <w:color w:val="1F4E79"/>
            <w:u w:val="single"/>
            <w:sz w:val="19"/>
          </w:rPr>
          <w:t>https://sqlite.org/whentouse.html</w:t>
        </w:r>
      </w:hyperlink>
    </w:p>
    <w:p>
      <w:pPr>
        <w:spacing w:after="100"/>
      </w:pPr>
      <w:r>
        <w:rPr>
          <w:b w:val="0"/>
          <w:sz w:val="19"/>
        </w:rPr>
        <w:t xml:space="preserve">T8. Celery Introduction. </w:t>
      </w:r>
      <w:hyperlink r:id="rId71">
        <w:r>
          <w:rPr>
            <w:color w:val="1F4E79"/>
            <w:u w:val="single"/>
            <w:sz w:val="19"/>
          </w:rPr>
          <w:t>https://docs.celeryq.dev/en/stable/getting-started/introduction.html</w:t>
        </w:r>
      </w:hyperlink>
    </w:p>
    <w:p>
      <w:pPr>
        <w:spacing w:after="100"/>
      </w:pPr>
      <w:r>
        <w:rPr>
          <w:b w:val="0"/>
          <w:sz w:val="19"/>
        </w:rPr>
        <w:t xml:space="preserve">T9. ONNX Runtime Python. </w:t>
      </w:r>
      <w:hyperlink r:id="rId72">
        <w:r>
          <w:rPr>
            <w:color w:val="1F4E79"/>
            <w:u w:val="single"/>
            <w:sz w:val="19"/>
          </w:rPr>
          <w:t>https://onnxruntime.ai/docs/get-started/with-python.html</w:t>
        </w:r>
      </w:hyperlink>
    </w:p>
    <w:p>
      <w:pPr>
        <w:spacing w:after="100"/>
      </w:pPr>
      <w:r>
        <w:rPr>
          <w:b w:val="0"/>
          <w:sz w:val="19"/>
        </w:rPr>
        <w:t xml:space="preserve">T10. ONNX Runtime React Native. </w:t>
      </w:r>
      <w:hyperlink r:id="rId73">
        <w:r>
          <w:rPr>
            <w:color w:val="1F4E79"/>
            <w:u w:val="single"/>
            <w:sz w:val="19"/>
          </w:rPr>
          <w:t>https://onnxruntime.ai/docs/get-started/with-javascript/react-native.html</w:t>
        </w:r>
      </w:hyperlink>
    </w:p>
    <w:p>
      <w:pPr>
        <w:spacing w:after="100"/>
      </w:pPr>
      <w:r>
        <w:rPr>
          <w:b w:val="0"/>
          <w:sz w:val="19"/>
        </w:rPr>
        <w:t xml:space="preserve">T11. pnpm Workspaces. </w:t>
      </w:r>
      <w:hyperlink r:id="rId74">
        <w:r>
          <w:rPr>
            <w:color w:val="1F4E79"/>
            <w:u w:val="single"/>
            <w:sz w:val="19"/>
          </w:rPr>
          <w:t>https://pnpm.io/workspaces</w:t>
        </w:r>
      </w:hyperlink>
    </w:p>
    <w:p>
      <w:pPr>
        <w:spacing w:after="100"/>
      </w:pPr>
      <w:r>
        <w:rPr>
          <w:b w:val="0"/>
          <w:sz w:val="19"/>
        </w:rPr>
        <w:t xml:space="preserve">T12. Expo Monorepos. </w:t>
      </w:r>
      <w:hyperlink r:id="rId75">
        <w:r>
          <w:rPr>
            <w:color w:val="1F4E79"/>
            <w:u w:val="single"/>
            <w:sz w:val="19"/>
          </w:rPr>
          <w:t>https://docs.expo.dev/guides/monorepos/</w:t>
        </w:r>
      </w:hyperlink>
    </w:p>
    <w:p>
      <w:pPr>
        <w:spacing w:after="100"/>
      </w:pPr>
      <w:r>
        <w:rPr>
          <w:b w:val="0"/>
          <w:sz w:val="19"/>
        </w:rPr>
        <w:t xml:space="preserve">T13. uv Workspaces. </w:t>
      </w:r>
      <w:hyperlink r:id="rId76">
        <w:r>
          <w:rPr>
            <w:color w:val="1F4E79"/>
            <w:u w:val="single"/>
            <w:sz w:val="19"/>
          </w:rPr>
          <w:t>https://docs.astral.sh/uv/concepts/projects/workspaces/</w:t>
        </w:r>
      </w:hyperlink>
    </w:p>
    <w:p>
      <w:pPr>
        <w:spacing w:after="100"/>
      </w:pPr>
      <w:r>
        <w:rPr>
          <w:b w:val="0"/>
          <w:sz w:val="19"/>
        </w:rPr>
        <w:t xml:space="preserve">T14. PyTorch Automatic Mixed Precision. </w:t>
      </w:r>
      <w:hyperlink r:id="rId77">
        <w:r>
          <w:rPr>
            <w:color w:val="1F4E79"/>
            <w:u w:val="single"/>
            <w:sz w:val="19"/>
          </w:rPr>
          <w:t>https://docs.pytorch.org/docs/stable/amp.html</w:t>
        </w:r>
      </w:hyperlink>
    </w:p>
    <w:p>
      <w:pPr>
        <w:spacing w:after="100"/>
      </w:pPr>
      <w:r>
        <w:rPr>
          <w:b w:val="0"/>
          <w:sz w:val="19"/>
        </w:rPr>
        <w:t xml:space="preserve">T15. PyTorch Distributed Data Parallel. </w:t>
      </w:r>
      <w:hyperlink r:id="rId78">
        <w:r>
          <w:rPr>
            <w:color w:val="1F4E79"/>
            <w:u w:val="single"/>
            <w:sz w:val="19"/>
          </w:rPr>
          <w:t>https://docs.pytorch.org/tutorials/intermediate/ddp_tutorial.html</w:t>
        </w:r>
      </w:hyperlink>
    </w:p>
    <w:p>
      <w:pPr>
        <w:spacing w:after="100"/>
      </w:pPr>
      <w:r>
        <w:rPr>
          <w:b w:val="0"/>
          <w:sz w:val="19"/>
        </w:rPr>
        <w:t xml:space="preserve">T16. PyTorch ONNX export. </w:t>
      </w:r>
      <w:hyperlink r:id="rId79">
        <w:r>
          <w:rPr>
            <w:color w:val="1F4E79"/>
            <w:u w:val="single"/>
            <w:sz w:val="19"/>
          </w:rPr>
          <w:t>https://docs.pytorch.org/docs/stable/onnx.html</w:t>
        </w:r>
      </w:hyperlink>
    </w:p>
    <w:p>
      <w:r>
        <w:rPr>
          <w:b w:val="0"/>
          <w:sz w:val="19"/>
        </w:rPr>
        <w:t>Предоставленное командой задание на октябрь 2026 года является основанием структуры 11 разделов и правил доказательности. Полные исходные разделы и библиография в формате BibTeX находятся в сопровождающем пакете.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10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 w:cs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 w:eastAsia="Arial" w:cs="Arial"/>
      <w:b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www.figma.com/design/07cVYgjO4tZw4IaR7kUxEz?node-id=4-49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doi.org/10.3389/fpls.2024.1452551" TargetMode="External"/><Relationship Id="rId19" Type="http://schemas.openxmlformats.org/officeDocument/2006/relationships/hyperlink" Target="https://doi.org/10.34133/plantphenomics.0038" TargetMode="External"/><Relationship Id="rId20" Type="http://schemas.openxmlformats.org/officeDocument/2006/relationships/hyperlink" Target="https://doi.org/10.1145/3664647.3680599" TargetMode="External"/><Relationship Id="rId21" Type="http://schemas.openxmlformats.org/officeDocument/2006/relationships/hyperlink" Target="https://doi.org/10.1038/s41597-025-06513-4" TargetMode="External"/><Relationship Id="rId22" Type="http://schemas.openxmlformats.org/officeDocument/2006/relationships/hyperlink" Target="https://doi.org/10.1145/3570991.3570994" TargetMode="External"/><Relationship Id="rId23" Type="http://schemas.openxmlformats.org/officeDocument/2006/relationships/hyperlink" Target="https://doi.org/10.1111/ppa.13684" TargetMode="External"/><Relationship Id="rId24" Type="http://schemas.openxmlformats.org/officeDocument/2006/relationships/hyperlink" Target="https://doi.org/10.1016/j.dib.2025.111520" TargetMode="External"/><Relationship Id="rId25" Type="http://schemas.openxmlformats.org/officeDocument/2006/relationships/hyperlink" Target="https://doi.org/10.3390/plants14071146" TargetMode="External"/><Relationship Id="rId26" Type="http://schemas.openxmlformats.org/officeDocument/2006/relationships/hyperlink" Target="https://openreview.net/forum?id=a68SUt6zFt" TargetMode="External"/><Relationship Id="rId27" Type="http://schemas.openxmlformats.org/officeDocument/2006/relationships/hyperlink" Target="https://doi.org/10.3389/fpls.2016.01419" TargetMode="External"/><Relationship Id="rId28" Type="http://schemas.openxmlformats.org/officeDocument/2006/relationships/hyperlink" Target="https://proceedings.mlr.press/v97/tan19a.html" TargetMode="External"/><Relationship Id="rId29" Type="http://schemas.openxmlformats.org/officeDocument/2006/relationships/hyperlink" Target="https://openaccess.thecvf.com/content_ICCV_2019/html/Howard_Searching_for_MobileNetV3_ICCV_2019_paper.html" TargetMode="External"/><Relationship Id="rId30" Type="http://schemas.openxmlformats.org/officeDocument/2006/relationships/hyperlink" Target="https://proceedings.mlr.press/v70/guo17a.html" TargetMode="External"/><Relationship Id="rId31" Type="http://schemas.openxmlformats.org/officeDocument/2006/relationships/hyperlink" Target="https://proceedings.neurips.cc/paper/2019/hash/8558cb408c1d76621371888657d2eb1d-Abstract.html" TargetMode="External"/><Relationship Id="rId32" Type="http://schemas.openxmlformats.org/officeDocument/2006/relationships/hyperlink" Target="https://arxiv.org/abs/2610.04456" TargetMode="External"/><Relationship Id="rId33" Type="http://schemas.openxmlformats.org/officeDocument/2006/relationships/hyperlink" Target="https://onnxruntime.ai/docs/performance/model-optimizations/quantization.html" TargetMode="External"/><Relationship Id="rId34" Type="http://schemas.openxmlformats.org/officeDocument/2006/relationships/hyperlink" Target="https://plantix.net/en/" TargetMode="External"/><Relationship Id="rId35" Type="http://schemas.openxmlformats.org/officeDocument/2006/relationships/hyperlink" Target="https://play.google.com/store/apps/details?hl=en&amp;id=com.peat.GartenBank" TargetMode="External"/><Relationship Id="rId36" Type="http://schemas.openxmlformats.org/officeDocument/2006/relationships/hyperlink" Target="https://plantix.net/en/plantix-intelligence/api-toolkit/" TargetMode="External"/><Relationship Id="rId37" Type="http://schemas.openxmlformats.org/officeDocument/2006/relationships/hyperlink" Target="https://play.google.com/store/apps/details?hl=en&amp;id=plantvillage.nuru" TargetMode="External"/><Relationship Id="rId38" Type="http://schemas.openxmlformats.org/officeDocument/2006/relationships/hyperlink" Target="https://doi.org/10.3389/fpls.2020.590889" TargetMode="External"/><Relationship Id="rId39" Type="http://schemas.openxmlformats.org/officeDocument/2006/relationships/hyperlink" Target="https://www.psu.edu/news/research/story/nuru-becomes-african-farmers-newest-ally-against-fall-armyworm" TargetMode="External"/><Relationship Id="rId40" Type="http://schemas.openxmlformats.org/officeDocument/2006/relationships/hyperlink" Target="https://agrio.app/" TargetMode="External"/><Relationship Id="rId41" Type="http://schemas.openxmlformats.org/officeDocument/2006/relationships/hyperlink" Target="https://play.google.com/store/apps/details?hl=en&amp;id=com.agrio" TargetMode="External"/><Relationship Id="rId42" Type="http://schemas.openxmlformats.org/officeDocument/2006/relationships/hyperlink" Target="https://apps.apple.com/us/app/agrio-plant-diagnosis-app/id1239193220" TargetMode="External"/><Relationship Id="rId43" Type="http://schemas.openxmlformats.org/officeDocument/2006/relationships/hyperlink" Target="https://agrio.app/Agriculture-API/" TargetMode="External"/><Relationship Id="rId44" Type="http://schemas.openxmlformats.org/officeDocument/2006/relationships/hyperlink" Target="https://agrio.app/An-app-that-identifies-plant-diseases-and-pests/" TargetMode="External"/><Relationship Id="rId45" Type="http://schemas.openxmlformats.org/officeDocument/2006/relationships/hyperlink" Target="https://www.kindwise.com/crop-health" TargetMode="External"/><Relationship Id="rId46" Type="http://schemas.openxmlformats.org/officeDocument/2006/relationships/hyperlink" Target="https://www.kindwise.com/faq" TargetMode="External"/><Relationship Id="rId47" Type="http://schemas.openxmlformats.org/officeDocument/2006/relationships/hyperlink" Target="https://www.kindwise.com/handbook" TargetMode="External"/><Relationship Id="rId48" Type="http://schemas.openxmlformats.org/officeDocument/2006/relationships/hyperlink" Target="https://huggingface.co/datasets/mohanty/PlantVillage" TargetMode="External"/><Relationship Id="rId49" Type="http://schemas.openxmlformats.org/officeDocument/2006/relationships/hyperlink" Target="https://github.com/pratikkayal/PlantDoc-Dataset" TargetMode="External"/><Relationship Id="rId50" Type="http://schemas.openxmlformats.org/officeDocument/2006/relationships/hyperlink" Target="https://tqwei05.github.io/PlantWild/" TargetMode="External"/><Relationship Id="rId51" Type="http://schemas.openxmlformats.org/officeDocument/2006/relationships/hyperlink" Target="https://zenodo.org/records/17719108" TargetMode="External"/><Relationship Id="rId52" Type="http://schemas.openxmlformats.org/officeDocument/2006/relationships/hyperlink" Target="https://data.mendeley.com/datasets/wgd66f8n6h/1" TargetMode="External"/><Relationship Id="rId53" Type="http://schemas.openxmlformats.org/officeDocument/2006/relationships/hyperlink" Target="https://zenodo.org/records/7573133" TargetMode="External"/><Relationship Id="rId54" Type="http://schemas.openxmlformats.org/officeDocument/2006/relationships/hyperlink" Target="https://paddydoc.github.io/dataset/" TargetMode="External"/><Relationship Id="rId55" Type="http://schemas.openxmlformats.org/officeDocument/2006/relationships/hyperlink" Target="https://github.com/icassava/fgvcx-icassava" TargetMode="External"/><Relationship Id="rId56" Type="http://schemas.openxmlformats.org/officeDocument/2006/relationships/hyperlink" Target="https://doi.org/10.1186/s13104-018-3548-6" TargetMode="External"/><Relationship Id="rId57" Type="http://schemas.openxmlformats.org/officeDocument/2006/relationships/hyperlink" Target="https://arxiv.org/html/2110.12084v1" TargetMode="External"/><Relationship Id="rId58" Type="http://schemas.openxmlformats.org/officeDocument/2006/relationships/hyperlink" Target="https://data.mendeley.com/datasets/ptz377bwb8/1" TargetMode="External"/><Relationship Id="rId59" Type="http://schemas.openxmlformats.org/officeDocument/2006/relationships/hyperlink" Target="https://data.mendeley.com/datasets/bpfd9cns5g/1" TargetMode="External"/><Relationship Id="rId60" Type="http://schemas.openxmlformats.org/officeDocument/2006/relationships/hyperlink" Target="https://pmc.ncbi.nlm.nih.gov/articles/PMC12008584/" TargetMode="External"/><Relationship Id="rId61" Type="http://schemas.openxmlformats.org/officeDocument/2006/relationships/hyperlink" Target="https://data.mendeley.com/datasets/b83hmrzth8/1" TargetMode="External"/><Relationship Id="rId62" Type="http://schemas.openxmlformats.org/officeDocument/2006/relationships/hyperlink" Target="https://data.mendeley.com/datasets/4ny92p2r8f/1" TargetMode="External"/><Relationship Id="rId63" Type="http://schemas.openxmlformats.org/officeDocument/2006/relationships/hyperlink" Target="https://www.gov.kz/org/moa/press/news/details/1236048?lang=ru" TargetMode="External"/><Relationship Id="rId64" Type="http://schemas.openxmlformats.org/officeDocument/2006/relationships/hyperlink" Target="https://fastapi.tiangolo.com/" TargetMode="External"/><Relationship Id="rId65" Type="http://schemas.openxmlformats.org/officeDocument/2006/relationships/hyperlink" Target="https://www.django-rest-framework.org/" TargetMode="External"/><Relationship Id="rId66" Type="http://schemas.openxmlformats.org/officeDocument/2006/relationships/hyperlink" Target="https://docs.nestjs.com/" TargetMode="External"/><Relationship Id="rId67" Type="http://schemas.openxmlformats.org/officeDocument/2006/relationships/hyperlink" Target="https://fastapi.tiangolo.com/tutorial/background-tasks/" TargetMode="External"/><Relationship Id="rId68" Type="http://schemas.openxmlformats.org/officeDocument/2006/relationships/hyperlink" Target="https://www.postgresql.org/docs/current/sql-select.html" TargetMode="External"/><Relationship Id="rId69" Type="http://schemas.openxmlformats.org/officeDocument/2006/relationships/hyperlink" Target="https://docs.aws.amazon.com/AmazonS3/latest/userguide/using-presigned-url.html" TargetMode="External"/><Relationship Id="rId70" Type="http://schemas.openxmlformats.org/officeDocument/2006/relationships/hyperlink" Target="https://sqlite.org/whentouse.html" TargetMode="External"/><Relationship Id="rId71" Type="http://schemas.openxmlformats.org/officeDocument/2006/relationships/hyperlink" Target="https://docs.celeryq.dev/en/stable/getting-started/introduction.html" TargetMode="External"/><Relationship Id="rId72" Type="http://schemas.openxmlformats.org/officeDocument/2006/relationships/hyperlink" Target="https://onnxruntime.ai/docs/get-started/with-python.html" TargetMode="External"/><Relationship Id="rId73" Type="http://schemas.openxmlformats.org/officeDocument/2006/relationships/hyperlink" Target="https://onnxruntime.ai/docs/get-started/with-javascript/react-native.html" TargetMode="External"/><Relationship Id="rId74" Type="http://schemas.openxmlformats.org/officeDocument/2006/relationships/hyperlink" Target="https://pnpm.io/workspaces" TargetMode="External"/><Relationship Id="rId75" Type="http://schemas.openxmlformats.org/officeDocument/2006/relationships/hyperlink" Target="https://docs.expo.dev/guides/monorepos/" TargetMode="External"/><Relationship Id="rId76" Type="http://schemas.openxmlformats.org/officeDocument/2006/relationships/hyperlink" Target="https://docs.astral.sh/uv/concepts/projects/workspaces/" TargetMode="External"/><Relationship Id="rId77" Type="http://schemas.openxmlformats.org/officeDocument/2006/relationships/hyperlink" Target="https://docs.pytorch.org/docs/stable/amp.html" TargetMode="External"/><Relationship Id="rId78" Type="http://schemas.openxmlformats.org/officeDocument/2006/relationships/hyperlink" Target="https://docs.pytorch.org/tutorials/intermediate/ddp_tutorial.html" TargetMode="External"/><Relationship Id="rId79" Type="http://schemas.openxmlformats.org/officeDocument/2006/relationships/hyperlink" Target="https://docs.pytorch.org/docs/stable/onn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AgroVision Исследование и проектирование системы диагностики растений</dc:title>
  <dc:subject>Материалы к этапу 24 октября 2026 года</dc:subject>
  <dc:creator>Команда проекта AgroVision</dc:creator>
  <cp:keywords>AgroVision, plant disease, Kazakhstan, project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