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7.png" ContentType="image/png"/>
  <Override PartName="/word/media/rId30.pdf" ContentType="application/pdf"/>
  <Override PartName="/word/media/rId35.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to</w:t>
      </w:r>
      <w:r>
        <w:t xml:space="preserve"> </w:t>
      </w:r>
      <w:r>
        <w:t xml:space="preserve">understand</w:t>
      </w:r>
      <w:r>
        <w:t xml:space="preserve"> </w:t>
      </w:r>
      <w:r>
        <w:t xml:space="preserve">anthropogenic</w:t>
      </w:r>
      <w:r>
        <w:t xml:space="preserve"> </w:t>
      </w:r>
      <w:r>
        <w:t xml:space="preserve">impacts</w:t>
      </w:r>
      <w:r>
        <w:t xml:space="preserve"> </w:t>
      </w:r>
      <w:r>
        <w:t xml:space="preserve">on</w:t>
      </w:r>
      <w:r>
        <w:t xml:space="preserve"> </w:t>
      </w:r>
      <w:r>
        <w:t xml:space="preserve">the</w:t>
      </w:r>
      <w:r>
        <w:t xml:space="preserve"> </w:t>
      </w:r>
      <w:r>
        <w:t xml:space="preserve">environment</w:t>
      </w:r>
      <w:r>
        <w:t xml:space="preserve"> </w:t>
      </w:r>
      <w:r>
        <w:t xml:space="preserve">have</w:t>
      </w:r>
      <w:r>
        <w:t xml:space="preserve"> </w:t>
      </w:r>
      <w:r>
        <w:t xml:space="preserve">led</w:t>
      </w:r>
      <w:r>
        <w:t xml:space="preserve"> </w:t>
      </w:r>
      <w:r>
        <w:t xml:space="preserve">to</w:t>
      </w:r>
      <w:r>
        <w:t xml:space="preserve"> </w:t>
      </w:r>
      <w:r>
        <w:t xml:space="preserve">a</w:t>
      </w:r>
      <w:r>
        <w:t xml:space="preserve"> </w:t>
      </w:r>
      <w:r>
        <w:t xml:space="preserve">considerable</w:t>
      </w:r>
      <w:r>
        <w:t xml:space="preserve"> </w:t>
      </w:r>
      <w:r>
        <w:t xml:space="preserve">amount</w:t>
      </w:r>
      <w:r>
        <w:t xml:space="preserve"> </w:t>
      </w:r>
      <w:r>
        <w:t xml:space="preserve">of</w:t>
      </w:r>
      <w:r>
        <w:t xml:space="preserve"> </w:t>
      </w:r>
      <w:r>
        <w:t xml:space="preserve">studies</w:t>
      </w:r>
      <w:r>
        <w:t xml:space="preserve"> </w:t>
      </w:r>
      <w:r>
        <w:t xml:space="preserve">that</w:t>
      </w:r>
      <w:r>
        <w:t xml:space="preserve"> </w:t>
      </w:r>
      <w:r>
        <w:t xml:space="preserve">focus</w:t>
      </w:r>
      <w:r>
        <w:t xml:space="preserve"> </w:t>
      </w:r>
      <w:r>
        <w:t xml:space="preserve">on</w:t>
      </w:r>
      <w:r>
        <w:t xml:space="preserve"> </w:t>
      </w:r>
      <w:r>
        <w:t xml:space="preserve">sedimentary</w:t>
      </w:r>
      <w:r>
        <w:t xml:space="preserve"> </w:t>
      </w:r>
      <w:r>
        <w:t xml:space="preserve">records</w:t>
      </w:r>
      <w:r>
        <w:t xml:space="preserve"> </w:t>
      </w:r>
      <w:r>
        <w:t xml:space="preserve">of</w:t>
      </w:r>
      <w:r>
        <w:t xml:space="preserve"> </w:t>
      </w:r>
      <m:oMath>
        <m:r>
          <m:t>∼</m:t>
        </m:r>
      </m:oMath>
      <w:r>
        <w:t xml:space="preserve"> </w:t>
      </w:r>
      <w:r>
        <w:t xml:space="preserve">100</w:t>
      </w:r>
      <w:r>
        <w:t xml:space="preserve"> </w:t>
      </w:r>
      <w:r>
        <w:t xml:space="preserve">-</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the</w:t>
      </w:r>
      <w:r>
        <w:t xml:space="preserve"> </w:t>
      </w:r>
      <w:r>
        <w:t xml:space="preserve">poor</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Instead,</w:t>
      </w:r>
      <w:r>
        <w:t xml:space="preserve"> </w:t>
      </w:r>
      <w:r>
        <w:t xml:space="preserve">sediment</w:t>
      </w:r>
      <w:r>
        <w:t xml:space="preserve"> </w:t>
      </w:r>
      <w:r>
        <w:t xml:space="preserve">dating</w:t>
      </w:r>
      <w:r>
        <w:t xml:space="preserve"> </w:t>
      </w:r>
      <w:r>
        <w:t xml:space="preserve">with</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widely</w:t>
      </w:r>
      <w:r>
        <w:t xml:space="preserve"> </w:t>
      </w:r>
      <w:r>
        <w:t xml:space="preserve">used</w:t>
      </w:r>
      <w:r>
        <w:t xml:space="preserve"> </w:t>
      </w:r>
      <w:r>
        <w:t xml:space="preserve">it</w:t>
      </w:r>
      <w:r>
        <w:t xml:space="preserve"> </w:t>
      </w:r>
      <w:r>
        <w:t xml:space="preserve">provides</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m:oMath>
        <m:r>
          <m:t>∼</m:t>
        </m:r>
      </m:oMath>
      <w:r>
        <w:t xml:space="preserve"> </w:t>
      </w:r>
      <w:r>
        <w:t xml:space="preserve">100</w:t>
      </w:r>
      <w:r>
        <w:t xml:space="preserve"> </w:t>
      </w:r>
      <w:r>
        <w:t xml:space="preserve">–</w:t>
      </w:r>
      <w:r>
        <w:t xml:space="preserve"> </w:t>
      </w:r>
      <w:r>
        <w:t xml:space="preserve">150</w:t>
      </w:r>
      <w:r>
        <w:t xml:space="preserve"> </w:t>
      </w:r>
      <w:r>
        <w:t xml:space="preserve">years.</w:t>
      </w:r>
      <w:r>
        <w:t xml:space="preserve"> </w:t>
      </w:r>
      <w:r>
        <w:t xml:space="preserve">The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also</w:t>
      </w:r>
      <w:r>
        <w:t xml:space="preserve"> </w:t>
      </w:r>
      <w:r>
        <w:t xml:space="preserve">known</w:t>
      </w:r>
      <w:r>
        <w:t xml:space="preserve"> </w:t>
      </w:r>
      <w:r>
        <w:t xml:space="preserve">as</w:t>
      </w:r>
      <w:r>
        <w:t xml:space="preserve"> </w:t>
      </w:r>
      <w:r>
        <w:t xml:space="preserve">Constant</w:t>
      </w:r>
      <w:r>
        <w:t xml:space="preserve"> </w:t>
      </w:r>
      <w:r>
        <w:t xml:space="preserve">Flux</w:t>
      </w:r>
      <w:r>
        <w:t xml:space="preserve"> </w:t>
      </w:r>
      <w:r>
        <w:t xml:space="preserve">-</w:t>
      </w:r>
      <w:r>
        <w:t xml:space="preserve"> </w:t>
      </w:r>
      <w:r>
        <w:t xml:space="preserve">CF)</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as</w:t>
      </w:r>
      <w:r>
        <w:t xml:space="preserve"> </w:t>
      </w:r>
      <w:r>
        <w:t xml:space="preserve">a</w:t>
      </w:r>
      <w:r>
        <w:t xml:space="preserve"> </w:t>
      </w:r>
      <w:r>
        <w:t xml:space="preserve">age-depth</w:t>
      </w:r>
      <w:r>
        <w:t xml:space="preserve"> </w:t>
      </w:r>
      <w:r>
        <w:t xml:space="preserve">relationship</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r>
        <w:t xml:space="preserve"> </w:t>
      </w:r>
      <w:r>
        <w:t xml:space="preserve">In</w:t>
      </w:r>
      <w:r>
        <w:t xml:space="preserve"> </w:t>
      </w:r>
      <w:r>
        <w:t xml:space="preserve">this</w:t>
      </w:r>
      <w:r>
        <w:t xml:space="preserve"> </w:t>
      </w:r>
      <w:r>
        <w:t xml:space="preserve">work,</w:t>
      </w:r>
      <w:r>
        <w:t xml:space="preserve"> </w:t>
      </w:r>
      <w:r>
        <w:t xml:space="preserve">we</w:t>
      </w:r>
      <w:r>
        <w:t xml:space="preserve"> </w:t>
      </w:r>
      <w:r>
        <w:t xml:space="preserve">compare</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For</w:t>
      </w:r>
      <w:r>
        <w:t xml:space="preserve"> </w:t>
      </w:r>
      <w:r>
        <w:t xml:space="preserve">this,</w:t>
      </w:r>
      <w:r>
        <w:t xml:space="preserve"> </w:t>
      </w:r>
      <w:r>
        <w:t xml:space="preserve">we</w:t>
      </w:r>
      <w:r>
        <w:t xml:space="preserve"> </w:t>
      </w:r>
      <w:r>
        <w:t xml:space="preserve">created</w:t>
      </w:r>
      <w:r>
        <w:t xml:space="preserve"> </w:t>
      </w:r>
      <w:r>
        <w:t xml:space="preserve">simulated</w:t>
      </w:r>
      <w:r>
        <w:t xml:space="preserve"> </w:t>
      </w:r>
      <m:oMath>
        <m:sSup>
          <m:e>
            <m:r>
              <m:t>​</m:t>
            </m:r>
          </m:e>
          <m:sup>
            <m:r>
              <m:t>210</m:t>
            </m:r>
          </m:sup>
        </m:sSup>
      </m:oMath>
      <w:r>
        <w:t xml:space="preserve">Pb</w:t>
      </w:r>
      <w:r>
        <w:t xml:space="preserve"> </w:t>
      </w:r>
      <w:r>
        <w:t xml:space="preserve">profiles</w:t>
      </w:r>
      <w:r>
        <w:t xml:space="preserve"> </w:t>
      </w:r>
      <w:r>
        <w:t xml:space="preserve">following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complying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and</w:t>
      </w:r>
      <w:r>
        <w:t xml:space="preserve"> </w:t>
      </w:r>
      <w:r>
        <w:t xml:space="preserve">analysed</w:t>
      </w:r>
      <w:r>
        <w:t xml:space="preserve"> </w:t>
      </w:r>
      <w:r>
        <w:t xml:space="preserve">them</w:t>
      </w:r>
      <w:r>
        <w:t xml:space="preserve"> </w:t>
      </w:r>
      <w:r>
        <w:t xml:space="preserve">with</w:t>
      </w:r>
      <w:r>
        <w:t xml:space="preserve"> </w:t>
      </w:r>
      <w:r>
        <w:t xml:space="preserve">both</w:t>
      </w:r>
      <w:r>
        <w:t xml:space="preserve"> </w:t>
      </w:r>
      <w:r>
        <w:t xml:space="preserve">approaches.</w:t>
      </w:r>
      <w:r>
        <w:t xml:space="preserve"> </w:t>
      </w:r>
      <w:r>
        <w:t xml:space="preserve">Results</w:t>
      </w:r>
      <w:r>
        <w:t xml:space="preserve"> </w:t>
      </w:r>
      <w:r>
        <w:t xml:space="preserve">indicate</w:t>
      </w:r>
      <w:r>
        <w:t xml:space="preserve"> </w:t>
      </w:r>
      <w:r>
        <w:t xml:space="preserve">that</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nor</w:t>
      </w:r>
      <w:r>
        <w:t xml:space="preserve"> </w:t>
      </w:r>
      <w:r>
        <w:t xml:space="preserve">improves</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(Plum)</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improves</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radionuclide,part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w:t>
      </w:r>
      <m:oMath>
        <m:r>
          <m:t>±</m:t>
        </m:r>
      </m:oMath>
      <w:r>
        <w:t xml:space="preserve">0.12 years, is commonly used to date recent recently accumulated sediments (</w:t>
      </w:r>
      <m:oMath>
        <m:r>
          <m:t>&lt;</m:t>
        </m:r>
        <m:r>
          <m:t>150</m:t>
        </m:r>
      </m:oMath>
      <w:r>
        <w:t xml:space="preserve">years).</w:t>
      </w:r>
      <w:r>
        <w:t xml:space="preserve"> </w:t>
      </w:r>
      <w:r>
        <w:t xml:space="preserve">Unlike to other dating techniques such as</w:t>
      </w:r>
      <w:r>
        <w:t xml:space="preserve"> </w:t>
      </w:r>
      <m:oMath>
        <m:sSup>
          <m:e>
            <m:r>
              <m:t>​</m:t>
            </m:r>
          </m:e>
          <m:sup>
            <m:r>
              <m:t>14</m:t>
            </m:r>
          </m:sup>
        </m:sSup>
      </m:oMath>
      <w:r>
        <w:t xml:space="preserve">C (radiocarbon dating), using a single measurement of</w:t>
      </w:r>
      <w:r>
        <w:t xml:space="preserve"> </w:t>
      </w:r>
      <m:oMath>
        <m:sSup>
          <m:e>
            <m:r>
              <m:t>​</m:t>
            </m:r>
          </m:e>
          <m:sup>
            <m:r>
              <m:t>210</m:t>
            </m:r>
          </m:sup>
        </m:sSup>
      </m:oMath>
      <w:r>
        <w:t xml:space="preserve">Pb is not possible for dating; it is only when a suitable portion of the excess-</w:t>
      </w:r>
      <m:oMath>
        <m:sSup>
          <m:e>
            <m:r>
              <m:t>​</m:t>
            </m:r>
          </m:e>
          <m:sup>
            <m:r>
              <m:t>210</m:t>
            </m:r>
          </m:sup>
        </m:sSup>
      </m:oMath>
      <w:r>
        <w:t xml:space="preserve">Pb decay curve (total inventory) is measured and with certain assumptions about the sedimentation process are met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evaluate human impacts on the environment.</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must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Constant Initial Concentration</w:t>
      </w:r>
      <w:r>
        <w:t xml:space="preserve"> </w:t>
      </w:r>
      <w:r>
        <w:t xml:space="preserve">, also known as Constant Activity</w:t>
      </w:r>
      <w:r>
        <w:t xml:space="preserve"> </w:t>
      </w:r>
      <w:r>
        <w:t xml:space="preserve">, the Constant Flux : Constant sedimentation</w:t>
      </w:r>
      <w:r>
        <w:t xml:space="preserve"> </w:t>
      </w:r>
      <w:r>
        <w:t xml:space="preserve"> </w:t>
      </w:r>
      <w:r>
        <w:t xml:space="preserve">and the Constant Rate of Supply</w:t>
      </w:r>
      <w:r>
        <w:t xml:space="preserve"> </w:t>
      </w:r>
      <w:r>
        <w:t xml:space="preserve"> </w:t>
      </w:r>
      <w:r>
        <w:t xml:space="preserve">also known as the Constant Flux model (CF).</w:t>
      </w:r>
      <w:r>
        <w:t xml:space="preserve"> </w:t>
      </w:r>
      <w:r>
        <w:t xml:space="preserve">The CRS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It assumes a constant supply of atmospheric</w:t>
      </w:r>
      <w:r>
        <w:t xml:space="preserve"> </w:t>
      </w:r>
      <m:oMath>
        <m:sSup>
          <m:e>
            <m:r>
              <m:t>​</m:t>
            </m:r>
          </m:e>
          <m:sup>
            <m:r>
              <m:t>210</m:t>
            </m:r>
          </m:sup>
        </m:sSup>
      </m:oMath>
      <w:r>
        <w:t xml:space="preserve">Pb (also known as excess</w:t>
      </w:r>
      <w:r>
        <w:t xml:space="preserve"> </w:t>
      </w:r>
      <m:oMath>
        <m:sSup>
          <m:e>
            <m:r>
              <m:t>​</m:t>
            </m:r>
          </m:e>
          <m:sup>
            <m:r>
              <m:t>210</m:t>
            </m:r>
          </m:sup>
        </m:sSup>
      </m:oMath>
      <w:r>
        <w:t xml:space="preserve">Pb ) to the sediment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excess-</w:t>
      </w:r>
      <m:oMath>
        <m:sSup>
          <m:e>
            <m:r>
              <m:t>​</m:t>
            </m:r>
          </m:e>
          <m:sup>
            <m:r>
              <m:t>210</m:t>
            </m:r>
          </m:sup>
        </m:sSup>
        <m:r>
          <m:t>P</m:t>
        </m:r>
        <m:r>
          <m:t>b</m:t>
        </m:r>
      </m:oMath>
      <w:r>
        <w:t xml:space="preserve"> </w:t>
      </w:r>
      <w:r>
        <w:t xml:space="preserve">activity accumulated in the sediment column, between the surface and the equilibrium depth, where excess-</w:t>
      </w:r>
      <m:oMath>
        <m:sSup>
          <m:e>
            <m:r>
              <m:t>​</m:t>
            </m:r>
          </m:e>
          <m:sup>
            <m:r>
              <m:t>210</m:t>
            </m:r>
          </m:sup>
        </m:sSup>
      </m:oMath>
      <w:r>
        <w:t xml:space="preserve">Pb can no longer be found) and the remaining inventory from depth</w:t>
      </w:r>
      <w:r>
        <w:t xml:space="preserve"> </w:t>
      </w:r>
      <m:oMath>
        <m:r>
          <m:t>x</m:t>
        </m:r>
      </m:oMath>
      <w:r>
        <w:t xml:space="preserve"> </w:t>
      </w:r>
      <w:r>
        <w:t xml:space="preserve">to the previously defined equilibrium depth, (</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0.03118</m:t>
        </m:r>
        <m:r>
          <m:t>±</m:t>
        </m:r>
        <m:r>
          <m:t>0.00017</m:t>
        </m:r>
      </m:oMath>
      <w:r>
        <w:t xml:space="preserve"> </w:t>
      </w:r>
      <w:r>
        <w:t xml:space="preserve">yr</w:t>
      </w:r>
      <m:oMath>
        <m:sSup>
          <m:e>
            <m:r>
              <m:t>​</m:t>
            </m:r>
          </m:e>
          <m:sup>
            <m:r>
              <m:t>−</m:t>
            </m:r>
            <m:r>
              <m:t>1</m:t>
            </m:r>
          </m:sup>
        </m:sSup>
      </m:oMath>
      <w:r>
        <w:t xml:space="preserve">).</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Other, more restrictive, models such as CFCS and CIC also requiere the assumption of a constant flux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model,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accuracy and applicability.</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profiles), laminated sediments, tephras, contaminated layers (known sedimentary events)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 it is important to note that each laboratory applied their preferred model, in most cases the CRS model was calculated.</w:t>
      </w:r>
      <w:r>
        <w:t xml:space="preserve"> </w:t>
      </w:r>
      <w:r>
        <w:t xml:space="preserve">This experiment resulted in a wide range of chronologies, independently of the model used, providing different chronologies even when the same model and dataset was used.</w:t>
      </w:r>
      <w:r>
        <w:t xml:space="preserve"> </w:t>
      </w:r>
      <w:r>
        <w:t xml:space="preserve">The authors reinforced the need to use of independent time markers (independent dating sources) to validate of the chronologies as suggested in previews studies</w:t>
      </w:r>
      <w:r>
        <w:t xml:space="preserve"> </w:t>
      </w:r>
      <w:r>
        <w:t xml:space="preserve">.</w:t>
      </w:r>
      <w:r>
        <w:t xml:space="preserve"> </w:t>
      </w:r>
      <w:r>
        <w:t xml:space="preserve">This research clearly and critically shows the impact that user decisions have on the resulting chronologies, which becomes extremely important when trying to replicate and/or update the resulting chronologies.</w:t>
      </w:r>
      <w:r>
        <w:t xml:space="preserve"> </w:t>
      </w:r>
      <w:r>
        <w:t xml:space="preserve">This requires not only need access to the raw data but also to every user decision leading to the resulting chronology; unfortunately, these raw data sets and decisions are rarely reported.</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forward model that includes both the sedimentation process and the radioactive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the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between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 excess</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as the latter uses the decay equation to obtain the age-depth function resulting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Provided that the CRS model has several alterations, as shown by</w:t>
      </w:r>
      <w:r>
        <w:t xml:space="preserve"> </w:t>
      </w:r>
      <w:r>
        <w:t xml:space="preserve">, we decided to apply the original version provided by</w:t>
      </w:r>
      <w:r>
        <w:t xml:space="preserve"> </w:t>
      </w:r>
      <w:r>
        <w:t xml:space="preserve">, with its suggested error propagation calculation.</w:t>
      </w:r>
      <w:r>
        <w:t xml:space="preserve"> </w:t>
      </w:r>
      <w:r>
        <w:t xml:space="preserve">We acknowledge that this version may be the less suitable for some particular cases and then expert knowledge can greatly improve the precision and accuracy of the model.</w:t>
      </w:r>
      <w:r>
        <w:t xml:space="preserve"> </w:t>
      </w:r>
      <w:r>
        <w:t xml:space="preserve">Provided that there are so many alterations of the CRS model and that the objective of this study is to observe the behaviour of both models with minimal user interaction, the use of the original equations is the most sensible alternative.</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4" w:name="experiment-setup-simulations"/>
    <w:p>
      <w:pPr>
        <w:pStyle w:val="Heading1"/>
      </w:pPr>
      <w:r>
        <w:t xml:space="preserve">Experiment Setup: Simulations</w:t>
      </w:r>
    </w:p>
    <w:p>
      <w:pPr>
        <w:pStyle w:val="FirstParagraph"/>
      </w:pPr>
      <w:r>
        <w:t xml:space="preserve">In order to observe the accuracy and precision of any model,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to simulate sedimentation processes, including with their own age-depth functions and parameters.</w:t>
      </w:r>
      <w:r>
        <w:t xml:space="preserve"> </w:t>
      </w:r>
      <w:r>
        <w:t xml:space="preserve">These scenarios were selected as they provide three key challenges for the models: Scenario 1 presents an age-depth function which is the result of increasing sedimentation and less compaction towards present (surface), this is quite common for recent sediments; Scenario 2 presents a challenging core structure as the function has a drastic and rapid shift in sediment accumulation around depth 15 cm depth; and lastly Scenario 3 presents a cyclic and periodic change in accumulation rates.</w:t>
      </w:r>
      <w:r>
        <w:t xml:space="preserve"> </w:t>
      </w:r>
      <w:r>
        <w:t xml:space="preserve">Using the age-depth functions and defined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Although 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we replicated the</w:t>
      </w:r>
      <w:r>
        <w:t xml:space="preserve"> </w:t>
      </w:r>
      <m:oMath>
        <m:sSup>
          <m:e>
            <m:r>
              <m:t>​</m:t>
            </m:r>
          </m:e>
          <m:sup>
            <m:r>
              <m:t>210</m:t>
            </m:r>
          </m:sup>
        </m:sSup>
      </m:oMath>
      <w:r>
        <w:t xml:space="preserve">Pb activity uncertainty, following a similar methodology to</w:t>
      </w:r>
      <w:r>
        <w:t xml:space="preserve"> </w:t>
      </w:r>
      <w:r>
        <w:t xml:space="preserve">.</w:t>
      </w:r>
      <w:r>
        <w:t xml:space="preserve"> </w:t>
      </w:r>
      <w:r>
        <w:t xml:space="preserve">This methodology was chosen as it introduces different sources of uncertainty related to different steps of the measurement process.</w:t>
      </w:r>
      <w:r>
        <w:t xml:space="preserve"> </w:t>
      </w:r>
      <w:r>
        <w:t xml:space="preserve">Even if other uncertainty methodologies could be used, but as longest the same methodology and uncertainty is provided to both models the comparison remains valid.</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Start w:id="33" w:name="model-consideration"/>
    <w:p>
      <w:pPr>
        <w:pStyle w:val="Heading2"/>
      </w:pPr>
      <w:r>
        <w:t xml:space="preserve">Model consideration</w:t>
      </w:r>
    </w:p>
    <w:p>
      <w:pPr>
        <w:pStyle w:val="FirstParagraph"/>
      </w:pPr>
      <w:r>
        <w:t xml:space="preserve">In order to create a comparison with minimal each model will be run in an automatic matter.</w:t>
      </w:r>
      <w:r>
        <w:t xml:space="preserve"> </w:t>
      </w:r>
      <w:r>
        <w:t xml:space="preserve">In the case of</w:t>
      </w:r>
      <w:r>
        <w:t xml:space="preserve"> </w:t>
      </w:r>
      <w:r>
        <w:rPr>
          <w:i/>
        </w:rPr>
        <w:t xml:space="preserve">Plum</w:t>
      </w:r>
      <w:r>
        <w:t xml:space="preserve">, automatic settings will be used in order to minimize user interaction.</w:t>
      </w:r>
      <w:r>
        <w:t xml:space="preserve"> </w:t>
      </w:r>
      <w:r>
        <w:t xml:space="preserve">As the CRS model assumes that background has been reached, in order to reduce user manipulation, we decided to fix the last sample (30 cm depth) for every case.</w:t>
      </w:r>
      <w:r>
        <w:t xml:space="preserve"> </w:t>
      </w:r>
      <w:r>
        <w:t xml:space="preserve">This step not only guarantees the consistent application of the CRS model, it also provides the model with a single bottom-most depth to be removed as it is common practice when using the CRS model.</w:t>
      </w:r>
      <w:r>
        <w:t xml:space="preserve"> </w:t>
      </w:r>
      <w:r>
        <w:t xml:space="preserve">Because of this,</w:t>
      </w:r>
      <w:r>
        <w:t xml:space="preserve"> </w:t>
      </w:r>
      <w:r>
        <w:rPr>
          <w:i/>
        </w:rPr>
        <w:t xml:space="preserve">Plum</w:t>
      </w:r>
      <w:r>
        <w:t xml:space="preserve">’s resulting chronology will always reach 30 cm and as default 1 cm bacon sections will be used for every simulation.</w:t>
      </w:r>
      <w:r>
        <w:t xml:space="preserve"> </w:t>
      </w:r>
      <w:r>
        <w:t xml:space="preserve">On the other hand, the CRS model only models the excess</w:t>
      </w:r>
      <w:r>
        <w:t xml:space="preserve"> </w:t>
      </w:r>
      <m:oMath>
        <m:sSup>
          <m:e>
            <m:r>
              <m:t>​</m:t>
            </m:r>
          </m:e>
          <m:sup>
            <m:r>
              <m:t>210</m:t>
            </m:r>
          </m:sup>
        </m:sSup>
      </m:oMath>
      <w:r>
        <w:t xml:space="preserve">Pb (the total</w:t>
      </w:r>
      <w:r>
        <w:t xml:space="preserve"> </w:t>
      </w:r>
      <m:oMath>
        <m:sSup>
          <m:e>
            <m:r>
              <m:t>​</m:t>
            </m:r>
          </m:e>
          <m:sup>
            <m:r>
              <m:t>210</m:t>
            </m:r>
          </m:sup>
        </m:sSup>
      </m:oMath>
      <w:r>
        <w:t xml:space="preserve">Pb minus the supported</w:t>
      </w:r>
      <w:r>
        <w:t xml:space="preserve"> </w:t>
      </w:r>
      <m:oMath>
        <m:sSup>
          <m:e>
            <m:r>
              <m:t>​</m:t>
            </m:r>
          </m:e>
          <m:sup>
            <m:r>
              <m:t>210</m:t>
            </m:r>
          </m:sup>
        </m:sSup>
      </m:oMath>
      <w:r>
        <w:t xml:space="preserve">Pb), because of this if certain excess activities fall below zero, the chronology will only be calculated up to such depth.</w:t>
      </w:r>
      <w:r>
        <w:t xml:space="preserve"> </w:t>
      </w:r>
      <w:r>
        <w:t xml:space="preserve">Regarding the supported</w:t>
      </w:r>
      <w:r>
        <w:t xml:space="preserve"> </w:t>
      </w:r>
      <m:oMath>
        <m:sSup>
          <m:e>
            <m:r>
              <m:t>​</m:t>
            </m:r>
          </m:e>
          <m:sup>
            <m:r>
              <m:t>210</m:t>
            </m:r>
          </m:sup>
        </m:sSup>
      </m:oMath>
      <w:r>
        <w:t xml:space="preserve">Pb,</w:t>
      </w:r>
      <w:r>
        <w:t xml:space="preserve"> </w:t>
      </w:r>
      <w:r>
        <w:rPr>
          <w:i/>
        </w:rPr>
        <w:t xml:space="preserve">Plum</w:t>
      </w:r>
      <w:r>
        <w:t xml:space="preserve"> </w:t>
      </w:r>
      <w:r>
        <w:t xml:space="preserve">deals with this variable as part of the inference and it only requires a user decision if it should be calculated at every depth or as constant throughout the core.</w:t>
      </w:r>
      <w:r>
        <w:t xml:space="preserve"> </w:t>
      </w:r>
      <w:r>
        <w:t xml:space="preserve">In order to provide the best possible estimate for this variable, for both models, a constant level of supported</w:t>
      </w:r>
      <w:r>
        <w:t xml:space="preserve"> </w:t>
      </w:r>
      <m:oMath>
        <m:sSup>
          <m:e>
            <m:r>
              <m:t>​</m:t>
            </m:r>
          </m:e>
          <m:sup>
            <m:r>
              <m:t>210</m:t>
            </m:r>
          </m:sup>
        </m:sSup>
      </m:oMath>
      <w:r>
        <w:t xml:space="preserve">Pb was assumed.</w:t>
      </w:r>
      <w:r>
        <w:t xml:space="preserve"> </w:t>
      </w:r>
      <w:r>
        <w:t xml:space="preserve">For the CRS model, the mean of the supported</w:t>
      </w:r>
      <w:r>
        <w:t xml:space="preserve"> </w:t>
      </w:r>
      <m:oMath>
        <m:sSup>
          <m:e>
            <m:r>
              <m:t>​</m:t>
            </m:r>
          </m:e>
          <m:sup>
            <m:r>
              <m:t>210</m:t>
            </m:r>
          </m:sup>
        </m:sSup>
      </m:oMath>
      <w:r>
        <w:t xml:space="preserve">Pb estimated was calculated and then subtracted from the total</w:t>
      </w:r>
      <w:r>
        <w:t xml:space="preserve"> </w:t>
      </w:r>
      <m:oMath>
        <m:sSup>
          <m:e>
            <m:r>
              <m:t>​</m:t>
            </m:r>
          </m:e>
          <m:sup>
            <m:r>
              <m:t>210</m:t>
            </m:r>
          </m:sup>
        </m:sSup>
      </m:oMath>
      <w:r>
        <w:t xml:space="preserve">Pb to obtain the excess</w:t>
      </w:r>
      <w:r>
        <w:t xml:space="preserve"> </w:t>
      </w:r>
      <m:oMath>
        <m:sSup>
          <m:e>
            <m:r>
              <m:t>​</m:t>
            </m:r>
          </m:e>
          <m:sup>
            <m:r>
              <m:t>210</m:t>
            </m:r>
          </m:sup>
        </m:sSup>
      </m:oMath>
      <w:r>
        <w:t xml:space="preserve">Pb, as it is common practice when using the CRS model.</w:t>
      </w:r>
    </w:p>
    <w:p>
      <w:pPr>
        <w:pStyle w:val="BodyText"/>
      </w:pPr>
      <w:r>
        <w:t xml:space="preserve">In order to provide an objective comparison we will calculated the offset to the true age-depth model (in yr), length of the 95% intervals (in yr), as well as normalized accuracy indicating the distance of modelled ages from the true value given the model’s own uncertainty at each depth.</w:t>
      </w:r>
      <w:r>
        <w:t xml:space="preserve"> </w:t>
      </w:r>
      <w:r>
        <w:t xml:space="preserve">The main discussion will revolve around the normalized offset as it provide a intuitive measure for the accuracy a model by taking into account the levels of uncertainty provided by each model.</w:t>
      </w:r>
    </w:p>
    <w:bookmarkEnd w:id="33"/>
    <w:bookmarkEnd w:id="34"/>
    <w:bookmarkStart w:id="41" w:name="model-comparison"/>
    <w:p>
      <w:pPr>
        <w:pStyle w:val="Heading1"/>
      </w:pPr>
      <w:r>
        <w:t xml:space="preserve">Model Comparison</w:t>
      </w:r>
    </w:p>
    <w:p>
      <w:pPr>
        <w:pStyle w:val="FirstParagraph"/>
      </w:pPr>
      <w:r>
        <w:t xml:space="preserve">To allow for a reasonable comparison between models, and to evaluate the effect that different amount of information may have on the accuracy and precision of</w:t>
      </w:r>
      <w:r>
        <w:t xml:space="preserve"> </w:t>
      </w:r>
      <m:oMath>
        <m:sSup>
          <m:e>
            <m:r>
              <m:t>​</m:t>
            </m:r>
          </m:e>
          <m:sup>
            <m:r>
              <m:t>210</m:t>
            </m:r>
          </m:sup>
        </m:sSup>
      </m:oMath>
      <w:r>
        <w:t xml:space="preserve">Pb models, we used our three simulated data sets (see Supplementary Material</w:t>
      </w:r>
      <w:r>
        <w:t xml:space="preserve"> </w:t>
      </w:r>
      <w:hyperlink w:anchor="sec:supp_mat">
        <w:r>
          <w:rPr>
            <w:rStyle w:val="Hyperlink"/>
          </w:rPr>
          <w:t xml:space="preserve">5</w:t>
        </w:r>
      </w:hyperlink>
      <w:r>
        <w:t xml:space="preserve">).</w:t>
      </w:r>
      <w:r>
        <w:t xml:space="preserve"> </w:t>
      </w:r>
      <w:r>
        <w:t xml:space="preserve">For these simulated cores, samples were randomly created given a percentage of information (e.g. for a 20% information data set, 6 random 1-cm samples were selected of a possible total 30 1-cm samples).</w:t>
      </w:r>
      <w:r>
        <w:t xml:space="preserve"> </w:t>
      </w:r>
      <w:r>
        <w:t xml:space="preserve">100 of these samples were randomly created for information percentages from 10% to 95% at 5% intervals (i.e., 10%, 15%, 20%,...,95%),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w:t>
      </w:r>
      <w:r>
        <w:t xml:space="preserve"> </w:t>
      </w:r>
      <w:r>
        <w:t xml:space="preserve">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w:t>
      </w:r>
      <w:r>
        <w:t xml:space="preserve"> </w:t>
      </w:r>
      <w:r>
        <w:t xml:space="preserve">Both sets of outputs were then compared against the true known age value.</w:t>
      </w:r>
    </w:p>
    <w:p>
      <w:pPr>
        <w:pStyle w:val="CaptionedFigure"/>
      </w:pPr>
      <w:bookmarkStart w:id="36"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Vertical right axis shows how many standard deviations is each model from the true age. " title="" id="1" name="Picture"/>
            <a:graphic>
              <a:graphicData uri="http://schemas.openxmlformats.org/drawingml/2006/picture">
                <pic:pic>
                  <pic:nvPicPr>
                    <pic:cNvPr descr="comparison1.png" id="0" name="Picture"/>
                    <pic:cNvPicPr>
                      <a:picLocks noChangeArrowheads="1" noChangeAspect="1"/>
                    </pic:cNvPicPr>
                  </pic:nvPicPr>
                  <pic:blipFill>
                    <a:blip r:embed="rId35"/>
                    <a:stretch>
                      <a:fillRect/>
                    </a:stretch>
                  </pic:blipFill>
                  <pic:spPr bwMode="auto">
                    <a:xfrm>
                      <a:off x="0" y="0"/>
                      <a:ext cx="5334000" cy="4918461"/>
                    </a:xfrm>
                    <a:prstGeom prst="rect">
                      <a:avLst/>
                    </a:prstGeom>
                    <a:noFill/>
                    <a:ln w="9525">
                      <a:noFill/>
                      <a:headEnd/>
                      <a:tailEnd/>
                    </a:ln>
                  </pic:spPr>
                </pic:pic>
              </a:graphicData>
            </a:graphic>
          </wp:inline>
        </w:drawing>
      </w:r>
      <w:bookmarkEnd w:id="36"/>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 Vertical right axis shows how many standard deviations is each model from the true age.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 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8"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7"/>
                    <a:stretch>
                      <a:fillRect/>
                    </a:stretch>
                  </pic:blipFill>
                  <pic:spPr bwMode="auto">
                    <a:xfrm>
                      <a:off x="0" y="0"/>
                      <a:ext cx="5334000" cy="6661354"/>
                    </a:xfrm>
                    <a:prstGeom prst="rect">
                      <a:avLst/>
                    </a:prstGeom>
                    <a:noFill/>
                    <a:ln w="9525">
                      <a:noFill/>
                      <a:headEnd/>
                      <a:tailEnd/>
                    </a:ln>
                  </pic:spPr>
                </pic:pic>
              </a:graphicData>
            </a:graphic>
          </wp:inline>
        </w:drawing>
      </w:r>
      <w:bookmarkEnd w:id="38"/>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consider both the effects of both the offset and length of the interval together.</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CRS estimates smaller uncertainties, it does so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w:t>
      </w:r>
      <w:r>
        <w:t xml:space="preserve"> </w:t>
      </w:r>
      <w:r>
        <w:rPr>
          <w:i/>
        </w:rPr>
        <w:t xml:space="preserve">Plum</w:t>
      </w:r>
      <w:r>
        <w:t xml:space="preserve"> </w:t>
      </w:r>
      <w:r>
        <w:t xml:space="preserve">provides a smaller offset in comparison to the CRS model; this in combination with slightly larger modelled uncertainties results in more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CRS model. Furthermore, only 0.54% (29/5333) of the CRS model runs remain under the 1 standard deviation, which is the most commonly reported interval when reporting 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 a better chronology as more information is available, whereas the CRS model does not appears to improve its capability of capturing the true value from additional data.</w:t>
      </w:r>
    </w:p>
    <w:p>
      <w:pPr>
        <w:pStyle w:val="BodyText"/>
      </w:pPr>
      <w:r>
        <w:t xml:space="preserve">These results are presented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40"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9"/>
                    <a:stretch>
                      <a:fillRect/>
                    </a:stretch>
                  </pic:blipFill>
                  <pic:spPr bwMode="auto">
                    <a:xfrm>
                      <a:off x="0" y="0"/>
                      <a:ext cx="5334000" cy="4618382"/>
                    </a:xfrm>
                    <a:prstGeom prst="rect">
                      <a:avLst/>
                    </a:prstGeom>
                    <a:noFill/>
                    <a:ln w="9525">
                      <a:noFill/>
                      <a:headEnd/>
                      <a:tailEnd/>
                    </a:ln>
                  </pic:spPr>
                </pic:pic>
              </a:graphicData>
            </a:graphic>
          </wp:inline>
        </w:drawing>
      </w:r>
      <w:bookmarkEnd w:id="40"/>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normalized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driven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1"/>
    <w:bookmarkStart w:id="42" w:name="discussion-and-conclusions"/>
    <w:p>
      <w:pPr>
        <w:pStyle w:val="Heading1"/>
      </w:pPr>
      <w:r>
        <w:t xml:space="preserve">Discussion and Conclusions</w:t>
      </w:r>
    </w:p>
    <w:p>
      <w:pPr>
        <w:pStyle w:val="FirstParagraph"/>
      </w:pPr>
      <w:r>
        <w:t xml:space="preserve">These results clearly show concerning considerations regarding the CRS model.</w:t>
      </w:r>
      <w:r>
        <w:t xml:space="preserve"> </w:t>
      </w:r>
      <w:r>
        <w:t xml:space="preserve"> </w:t>
      </w:r>
      <w:r>
        <w:t xml:space="preserve">proposes that the bias related to the CRS model is the product of the use of a logarithmic function for the age-depth model.</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Other confidence intervals can be calculated for this model but as</w:t>
      </w:r>
      <w:r>
        <w:t xml:space="preserve"> </w:t>
      </w:r>
      <w:r>
        <w:t xml:space="preserve"> </w:t>
      </w:r>
      <w:r>
        <w:t xml:space="preserve">mentioned these intervals are “were sensibly smaller" by error propagation</w:t>
      </w:r>
      <w:r>
        <w:t xml:space="preserve"> </w:t>
      </w:r>
      <w:r>
        <w:t xml:space="preserve"> </w:t>
      </w:r>
      <w:r>
        <w:t xml:space="preserve">which is of concern.</w:t>
      </w:r>
    </w:p>
    <w:p>
      <w:pPr>
        <w:pStyle w:val="BodyText"/>
      </w:pPr>
      <w:r>
        <w:t xml:space="preserve">It is important to note that given the number of modifications to the core CRS model as well as the numerous ways of calculating the uncertainty of the model, it is impossible to come to definite conclusion of the actual accuracy of the CRS model.</w:t>
      </w:r>
      <w:r>
        <w:t xml:space="preserve"> </w:t>
      </w:r>
      <w:r>
        <w:t xml:space="preserve">These results centred on a minimal user interaction with minimal modification of the method.</w:t>
      </w:r>
      <w:r>
        <w:t xml:space="preserve"> </w:t>
      </w:r>
      <w:r>
        <w:t xml:space="preserve">Revisions such as those presented by</w:t>
      </w:r>
      <w:r>
        <w:t xml:space="preserve"> </w:t>
      </w:r>
      <w:r>
        <w:t xml:space="preserve"> </w:t>
      </w:r>
      <w:r>
        <w:t xml:space="preserve">may provide better results but using any particular modification would take form the general objective of this paper which was to provide a comparison with minimal interaction.</w:t>
      </w:r>
      <w:r>
        <w:t xml:space="preserve"> </w:t>
      </w:r>
      <w:r>
        <w:t xml:space="preserve">CRS models which are analysed by an expert have shown to provide accurate results as shown by</w:t>
      </w:r>
      <w:r>
        <w:t xml:space="preserve"> </w:t>
      </w:r>
      <w:r>
        <w:t xml:space="preserve">, where the only discussion lies on the unrealistic uncertainties provided by the model, where low levels of information are provided.</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confirm that the 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 which may be a result of the unrealistic uncertainty provided by the method.</w:t>
      </w:r>
      <w:r>
        <w:t xml:space="preserve"> </w:t>
      </w:r>
      <w:r>
        <w:t xml:space="preserve">This explains why over the years, many authors have specially insisted in the use of other dating techniques to validate the chronologies provided by the CRS model</w:t>
      </w:r>
      <w:r>
        <w:t xml:space="preserve"> </w:t>
      </w:r>
      <w:r>
        <w:t xml:space="preserve">.</w:t>
      </w:r>
      <w:r>
        <w:t xml:space="preserve"> </w:t>
      </w:r>
      <w:r>
        <w:t xml:space="preserve">Even when validation is recommended in any dating methodology, this results support the insistence to always validate</w:t>
      </w:r>
      <w:r>
        <w:t xml:space="preserve"> </w:t>
      </w:r>
      <m:oMath>
        <m:sSup>
          <m:e>
            <m:r>
              <m:t>​</m:t>
            </m:r>
          </m:e>
          <m:sup>
            <m:r>
              <m:t>210</m:t>
            </m:r>
          </m:sup>
        </m:sSup>
      </m:oMath>
      <w:r>
        <w:t xml:space="preserve">Pb dating with independent dating techniques.</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 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CRS age-depth model model.</w:t>
      </w:r>
    </w:p>
    <w:p>
      <w:pPr>
        <w:pStyle w:val="BodyText"/>
      </w:pPr>
      <w:r>
        <w:t xml:space="preserve">In conclusion, the use of 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2"/>
    <w:bookmarkStart w:id="43"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à</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7" Target="media/rId37.png" /><Relationship Type="http://schemas.openxmlformats.org/officeDocument/2006/relationships/image" Id="rId30" Target="media/rId30.pdf" /><Relationship Type="http://schemas.openxmlformats.org/officeDocument/2006/relationships/image" Id="rId35" Target="media/rId35.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2020-11-28T00:00:08Z</dcterms:created>
  <dcterms:modified xsi:type="dcterms:W3CDTF">2020-11-28T00:00:08Z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to understand anthropogenic impacts on the environment have led to a considerable amount of studies that focus on sedimentary records of \sim 100 - 200 years. Dating this period is often complicated by the poor resolution and large errors associated with radiocarbon (14C) ages, which is the most popular dating technique. Instead, sediment dating with lead-210 (^210Pb) is widely used it provides absolute and continuous dates for \sim 100 – 150 years. The ^210Pb dating method has traditionally relied on the Constant Rate of Supply (CRS, also known as Constant Flux - CF) model which uses the radioactive decay equation as a age-depth relationship resulting in a restrictive model to approximate dates. In this work, we compare the classical approach to ^210Pb dating (CRS) and its Bayesian alternative (Plum). For this, we created simulated ^210Pb profiles following three different sedimentation processes, complying the assumptions imposed by the CRS model, and analysed them with both approaches. Results indicate that the CRS model does not capture the true values even when the sediment is entirely dated, nor improves its accuracy as more information is available. On the other hand, the Bayesian alternative (Plum) provides consistently accurate results even with few samples, and its accuracy and precision constantly improves as more information is available.</vt:lpwstr>
  </property>
  <property fmtid="{D5CDD505-2E9C-101B-9397-08002B2CF9AE}" pid="3" name="bibliography">
    <vt:lpwstr>bibliography.bib</vt:lpwstr>
  </property>
  <property fmtid="{D5CDD505-2E9C-101B-9397-08002B2CF9AE}" pid="4" name="date">
    <vt:lpwstr> </vt:lpwstr>
  </property>
</Properties>
</file>