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5.pdf" ContentType="application/pdf"/>
  <Override PartName="/word/media/rId30.pdf" ContentType="application/pdf"/>
  <Override PartName="/word/media/rId35.pdf" ContentType="application/pdf"/>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 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In recent decades, increasing amounts of palaeoecological and pollution studies have focused on these recent sediments</w:t>
      </w:r>
      <w:r>
        <w:t xml:space="preserve"> </w:t>
      </w:r>
      <w:r>
        <w:t xml:space="preserve">[e.g.,@Courtney2019]</w:t>
      </w:r>
      <w:r>
        <w:t xml:space="preserve"> </w:t>
      </w:r>
      <w:r>
        <w:t xml:space="preserve">in order to evaluate human impacts on the environment.</w:t>
      </w:r>
      <w:r>
        <w:t xml:space="preserve"> </w:t>
      </w:r>
      <w:r>
        <w:t xml:space="preserve">Unlike to other dating techniques such as</w:t>
      </w:r>
      <w:r>
        <w:t xml:space="preserve"> </w:t>
      </w:r>
      <m:oMath>
        <m:sSup>
          <m:e>
            <m:r>
              <m:t>​</m:t>
            </m:r>
          </m:e>
          <m:sup>
            <m:r>
              <m:t>14</m:t>
            </m:r>
          </m:sup>
        </m:sSup>
      </m:oMath>
      <w:r>
        <w:t xml:space="preserve">C (radiocarbon dating), dating sediment is impossible from single measurement of</w:t>
      </w:r>
      <w:r>
        <w:t xml:space="preserve"> </w:t>
      </w:r>
      <m:oMath>
        <m:sSup>
          <m:e>
            <m:r>
              <m:t>​</m:t>
            </m:r>
          </m:e>
          <m:sup>
            <m:r>
              <m:t>210</m:t>
            </m:r>
          </m:sup>
        </m:sSup>
      </m:oMath>
      <w:r>
        <w:t xml:space="preserve">Pb; it is only when a suitable portion of the excess-</w:t>
      </w:r>
      <m:oMath>
        <m:sSup>
          <m:e>
            <m:r>
              <m:t>​</m:t>
            </m:r>
          </m:e>
          <m:sup>
            <m:r>
              <m:t>210</m:t>
            </m:r>
          </m:sup>
        </m:sSup>
      </m:oMath>
      <w:r>
        <w:t xml:space="preserve">Pb (atmospheric</w:t>
      </w:r>
      <w:r>
        <w:t xml:space="preserve"> </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[@Aquino2018]</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e.g. the Constant Initial Concentration</w:t>
      </w:r>
      <w:r>
        <w:t xml:space="preserve"> </w:t>
      </w:r>
      <w:r>
        <w:t xml:space="preserve">[CIC,@Goldberg1963]</w:t>
      </w:r>
      <w:r>
        <w:t xml:space="preserve">, also known as Constant Activity</w:t>
      </w:r>
      <w:r>
        <w:t xml:space="preserve"> </w:t>
      </w:r>
      <w:r>
        <w:t xml:space="preserve">[CA,@Robbins1975]</w:t>
      </w:r>
      <w:r>
        <w:t xml:space="preserve">, the Constant Flux : Constant sedimentation</w:t>
      </w:r>
      <w:r>
        <w:t xml:space="preserve"> </w:t>
      </w:r>
      <w:r>
        <w:t xml:space="preserve">[CFCS,@Crozaz1964]</w:t>
      </w:r>
      <w:r>
        <w:t xml:space="preserve"> </w:t>
      </w:r>
      <w:r>
        <w:t xml:space="preserve">and the Constant Rate of Supply</w:t>
      </w:r>
      <w:r>
        <w:t xml:space="preserve"> </w:t>
      </w:r>
      <w:r>
        <w:t xml:space="preserve">[CRS,@Appleby1978; @Robbins1978; @Sanchez-Cabeza2012]</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w:r>
        <w:t xml:space="preserve"> </w:t>
      </w:r>
      <m:oMath>
        <m:sSup>
          <m:e>
            <m:r>
              <m:t>​</m:t>
            </m:r>
          </m:e>
          <m:sup>
            <m:r>
              <m:t>210</m:t>
            </m:r>
          </m:sup>
        </m:sSup>
        <m:r>
          <m:t>P</m:t>
        </m:r>
        <m:r>
          <m:t>b</m:t>
        </m:r>
      </m:oMath>
      <w:r>
        <w:t xml:space="preserve"> </w:t>
      </w:r>
      <w:r>
        <w:t xml:space="preserve">activity accumulated in the sediment column, between the surface and the equilibrium depth, where excess</w:t>
      </w:r>
      <w:r>
        <w:t xml:space="preserve"> </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4114800" cy="3657600"/>
            <wp:effectExtent b="0" l="0" r="0" t="0"/>
            <wp:docPr descr="Figure 1: Frequency of ^{210}Pb dating models used in papers between 1964 and 2017. Data gathered by [@Courtney2019] from a literature review of 271 papers. The models include CF:CS model The Constant Flux - Constant Sedimentation;[The Constant Flux - Constant Sedimentation;@Robbins1978], CIC (Constant Initial Concentration) [@Goldberg1963; @Crozaz1964; @Robbins1978] and CRS - Constant Rate of Supply;[Constant Rate of Supply;@Appleby1978; @Robbins1978]. " title="" id="1" name="Picture"/>
            <a:graphic>
              <a:graphicData uri="http://schemas.openxmlformats.org/drawingml/2006/picture">
                <pic:pic>
                  <pic:nvPicPr>
                    <pic:cNvPr descr="barras.pdf" id="0" name="Picture"/>
                    <pic:cNvPicPr>
                      <a:picLocks noChangeArrowheads="1" noChangeAspect="1"/>
                    </pic:cNvPicPr>
                  </pic:nvPicPr>
                  <pic:blipFill>
                    <a:blip r:embed="rId25"/>
                    <a:stretch>
                      <a:fillRect/>
                    </a:stretch>
                  </pic:blipFill>
                  <pic:spPr bwMode="auto">
                    <a:xfrm>
                      <a:off x="0" y="0"/>
                      <a:ext cx="4114800" cy="3657600"/>
                    </a:xfrm>
                    <a:prstGeom prst="rect">
                      <a:avLst/>
                    </a:prstGeom>
                    <a:noFill/>
                    <a:ln w="9525">
                      <a:noFill/>
                      <a:headEnd/>
                      <a:tailEnd/>
                    </a:ln>
                  </pic:spPr>
                </pic:pic>
              </a:graphicData>
            </a:graphic>
          </wp:inline>
        </w:drawing>
      </w:r>
      <w:bookmarkEnd w:id="26"/>
    </w:p>
    <w:p>
      <w:pPr>
        <w:pStyle w:val="ImageCaption"/>
      </w:pPr>
      <w:r>
        <w:t xml:space="preserve">Figure 1: Frequency of</w:t>
      </w:r>
      <w:r>
        <w:t xml:space="preserve"> </w:t>
      </w:r>
      <m:oMath>
        <m:sSup>
          <m:e>
            <m:r>
              <m:t>​</m:t>
            </m:r>
          </m:e>
          <m:sup>
            <m:r>
              <m:t>210</m:t>
            </m:r>
          </m:sup>
        </m:sSup>
      </m:oMath>
      <w:r>
        <w:t xml:space="preserve">Pb dating models used in papers between 1964 and 2017. Data gathered by</w:t>
      </w:r>
      <w:r>
        <w:t xml:space="preserve"> </w:t>
      </w:r>
      <w:r>
        <w:t xml:space="preserve">[@Courtney2019]</w:t>
      </w:r>
      <w:r>
        <w:t xml:space="preserve"> </w:t>
      </w:r>
      <w:r>
        <w:t xml:space="preserve">from a literature review of 271 papers. The models include CF:CS model</w:t>
      </w:r>
      <w:r>
        <w:t xml:space="preserve"> </w:t>
      </w:r>
      <w:r>
        <w:t xml:space="preserve">[The Constant Flux - Constant Sedimentation;@Robbins1978]</w:t>
      </w:r>
      <w:r>
        <w:t xml:space="preserve">, CIC (Constant Initial Concentration)</w:t>
      </w:r>
      <w:r>
        <w:t xml:space="preserve"> </w:t>
      </w:r>
      <w:r>
        <w:t xml:space="preserve">[@Goldberg1963; @Crozaz1964; @Robbins1978]</w:t>
      </w:r>
      <w:r>
        <w:t xml:space="preserve"> </w:t>
      </w:r>
      <w:r>
        <w:t xml:space="preserve">and CRS -</w:t>
      </w:r>
      <w:r>
        <w:t xml:space="preserve"> </w:t>
      </w:r>
      <w:r>
        <w:t xml:space="preserve">[Constant Rate of Supply;@Appleby1978; @Robbins1978]</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applicability and precision.</w:t>
      </w:r>
      <w:r>
        <w:t xml:space="preserve"> </w:t>
      </w:r>
      <w:r>
        <w:t xml:space="preserve">There are two types of revisions to this model: (1) revisions to its uncertainty estimates</w:t>
      </w:r>
      <w:r>
        <w:t xml:space="preserve"> </w:t>
      </w:r>
      <w:r>
        <w:t xml:space="preserve">[eg. @Binford1990; @Appleby2001; @Sanchez-Cabeza2014]</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[eg.@Appleby1998; @Appleby2001; @Appleby2008]</w:t>
      </w:r>
      <w:r>
        <w:t xml:space="preserve">.</w:t>
      </w:r>
    </w:p>
    <w:p>
      <w:pPr>
        <w:pStyle w:val="BodyText"/>
      </w:pPr>
      <w:r>
        <w:t xml:space="preserve">A recent inter-laboratory model comparison experiment</w:t>
      </w:r>
      <w:r>
        <w:t xml:space="preserve"> </w:t>
      </w:r>
      <w:r>
        <w:t xml:space="preserve">[@Barsanti2020]</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previously by</w:t>
      </w:r>
      <w:r>
        <w:t xml:space="preserve"> </w:t>
      </w:r>
      <w:r>
        <w:t xml:space="preserve">[@Smith2001]</w:t>
      </w:r>
      <w:r>
        <w:t xml:space="preserve">.</w:t>
      </w:r>
      <w:r>
        <w:t xml:space="preserve"> </w:t>
      </w:r>
      <w:r>
        <w:t xml:space="preserve">This comparison experiment clearly and critically shows the impact that user decisions have on the resulting chronologies.</w:t>
      </w:r>
      <w:r>
        <w:t xml:space="preserve"> </w:t>
      </w:r>
      <w:r>
        <w:t xml:space="preserve">In order to replicate and/or update any given chronology these user decisions becomes extremely important.</w:t>
      </w:r>
      <w:r>
        <w:t xml:space="preserve"> </w:t>
      </w:r>
      <w:r>
        <w:t xml:space="preserve">Additionally to the user’s decisions the raw data is also required; unfortunately, both the raw data sets and/or user’s decisions are rarely reported.</w:t>
      </w:r>
    </w:p>
    <w:p>
      <w:pPr>
        <w:pStyle w:val="BodyText"/>
      </w:pPr>
      <w:r>
        <w:t xml:space="preserve">Recently</w:t>
      </w:r>
      <w:r>
        <w:t xml:space="preserve"> </w:t>
      </w:r>
      <w:r>
        <w:t xml:space="preserve">[@Aquino2018]</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rPr>
          <w:i/>
        </w:rPr>
        <w:t xml:space="preserve">Plum</w:t>
      </w:r>
      <w:r>
        <w:t xml:space="preserve"> </w:t>
      </w:r>
      <w:r>
        <w:t xml:space="preserve">also uses an assumption of constant rate of supply to the sediment (this assumption can be relax at the cost of computational power), similar to the CRS model.</w:t>
      </w:r>
      <w:r>
        <w:t xml:space="preserve"> </w:t>
      </w:r>
      <w:r>
        <w:t xml:space="preserve">Another important difference between the CRS and</w:t>
      </w:r>
      <w:r>
        <w:t xml:space="preserve"> </w:t>
      </w:r>
      <w:r>
        <w:rPr>
          <w:i/>
        </w:rPr>
        <w:t xml:space="preserve">Plum</w:t>
      </w:r>
      <w:r>
        <w:t xml:space="preserve"> </w:t>
      </w:r>
      <w:r>
        <w:t xml:space="preserve">is that this last one incorporates the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w:t>
      </w:r>
      <w:r>
        <w:t xml:space="preserve"> </w:t>
      </w:r>
      <w:r>
        <w:t xml:space="preserve">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[@Blaauw2011]</w:t>
      </w:r>
      <w:r>
        <w:t xml:space="preserve">, see</w:t>
      </w:r>
      <w:r>
        <w:t xml:space="preserve"> </w:t>
      </w:r>
      <w:r>
        <w:t xml:space="preserve">[@Aquino2018]</w:t>
      </w:r>
      <w:r>
        <w:t xml:space="preserve"> </w:t>
      </w:r>
      <w:r>
        <w:t xml:space="preserve">for details.</w:t>
      </w:r>
    </w:p>
    <w:p>
      <w:pPr>
        <w:pStyle w:val="BodyText"/>
      </w:pPr>
      <w:r>
        <w:t xml:space="preserve">This treatment of the data allows for a formal statistical inference on a well defined model with specific parameters.</w:t>
      </w:r>
      <w:r>
        <w:t xml:space="preserve"> </w:t>
      </w:r>
      <w:r>
        <w:t xml:space="preserve">In order to infer the parameters of the model Bayesian approach used.</w:t>
      </w:r>
      <w:r>
        <w:t xml:space="preserve"> </w:t>
      </w:r>
      <w:r>
        <w:t xml:space="preserve">This differs from the CRS model as the latter does not provide a formal statistical inference.</w:t>
      </w:r>
      <w:r>
        <w:t xml:space="preserve"> </w:t>
      </w:r>
      <w:r>
        <w:t xml:space="preserve">This model uses the decay equation to obtain the age-depth function resulting in a more restrictive age-depth model and only dears with the excess</w:t>
      </w:r>
      <w:r>
        <w:t xml:space="preserve"> </w:t>
      </w:r>
      <m:oMath>
        <m:sSup>
          <m:e>
            <m:r>
              <m:t>​</m:t>
            </m:r>
          </m:e>
          <m:sup>
            <m:r>
              <m:t>210</m:t>
            </m:r>
          </m:sup>
        </m:sSup>
      </m:oMath>
      <w:r>
        <w:t xml:space="preserve">Pb, the estimated supported</w:t>
      </w:r>
      <w:r>
        <w:t xml:space="preserve"> </w:t>
      </w:r>
      <m:oMath>
        <m:sSup>
          <m:e>
            <m:r>
              <m:t>​</m:t>
            </m:r>
          </m:e>
          <m:sup>
            <m:r>
              <m:t>210</m:t>
            </m:r>
          </m:sup>
        </m:sSup>
      </m:oMath>
      <w:r>
        <w:t xml:space="preserve">Pb is previously removed before modelling.</w:t>
      </w:r>
      <w:r>
        <w:t xml:space="preserve"> </w:t>
      </w:r>
      <w:r>
        <w:rPr>
          <w:i/>
        </w:rPr>
        <w:t xml:space="preserve">Plum</w:t>
      </w:r>
      <w:r>
        <w:t xml:space="preserve"> </w:t>
      </w:r>
      <w:r>
        <w:t xml:space="preserve">has shown to provide accurate results with a realistic precision on different case scenarios</w:t>
      </w:r>
      <w:r>
        <w:t xml:space="preserve"> </w:t>
      </w:r>
      <w:r>
        <w:t xml:space="preserve">[@Aquino2018; @Aquino2020]</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[@Aquino2020]</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[@Blaauw2018]</w:t>
      </w: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[@Blaauw2018]</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revisions, as shown by</w:t>
      </w:r>
      <w:r>
        <w:t xml:space="preserve"> </w:t>
      </w:r>
      <w:r>
        <w:t xml:space="preserve">[@Barsanti2020]</w:t>
      </w:r>
      <w:r>
        <w:t xml:space="preserve">, we decided to apply the original version of the equations provided by</w:t>
      </w:r>
      <w:r>
        <w:t xml:space="preserve"> </w:t>
      </w:r>
      <w:r>
        <w:t xml:space="preserve">[@Appleby2001]</w:t>
      </w:r>
      <w:r>
        <w:t xml:space="preserve">, with its suggested error propagation calculation, we will call this version of the CRS the “classical implementation of the CRS" (CI-CRS).</w:t>
      </w:r>
      <w:r>
        <w:t xml:space="preserve"> </w:t>
      </w:r>
      <w:r>
        <w:t xml:space="preserve">We acknowledge that this implementation may be the less suitable for some particular cases and then expert knowledge can greatly improve the precision and accuracy of the model, but this will reduce the impact of any particular implementation has on our results.</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Xb70ddbf93510ded36a69bc92923c6b55329c4ae"/>
    <w:p>
      <w:pPr>
        <w:pStyle w:val="Heading1"/>
      </w:pPr>
      <w:r>
        <w:t xml:space="preserve">Experiment Setup: Simulations, Model Considerations</w:t>
      </w:r>
    </w:p>
    <w:p>
      <w:pPr>
        <w:pStyle w:val="FirstParagraph"/>
      </w:pPr>
      <w:r>
        <w:t xml:space="preserve">In order to observe the accuracy and precision of any chronology, a known true age-depth function is required.</w:t>
      </w:r>
      <w:r>
        <w:t xml:space="preserve"> </w:t>
      </w:r>
      <w:r>
        <w:t xml:space="preserve">[@Blaauw2018]</w:t>
      </w:r>
      <w:r>
        <w:t xml:space="preserve"> </w:t>
      </w:r>
      <w:r>
        <w:t xml:space="preserve">presented a methodology for simulating radiocarbon dates and their uncertainties, while</w:t>
      </w:r>
      <w:r>
        <w:t xml:space="preserve"> </w:t>
      </w:r>
      <w:r>
        <w:t xml:space="preserve">[@Aquino2018]</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[@Appleby1978; @Robbins1978]</w:t>
      </w:r>
      <w:r>
        <w:t xml:space="preserve"> </w:t>
      </w:r>
      <w:r>
        <w:t xml:space="preserve">guaranteeing that the CRS assumptions are met.</w:t>
      </w:r>
      <w:r>
        <w:t xml:space="preserve"> </w:t>
      </w:r>
      <w:r>
        <w:t xml:space="preserve">By using the approach presented by</w:t>
      </w:r>
      <w:r>
        <w:t xml:space="preserve"> </w:t>
      </w:r>
      <w:r>
        <w:t xml:space="preserve">[@Aquino2018]</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[@Blaauw2018]</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[@Blaauw2018]</w:t>
      </w:r>
      <w:r>
        <w:t xml:space="preserve">.</w:t>
      </w:r>
      <w:r>
        <w:t xml:space="preserve"> </w:t>
      </w:r>
      <w:r>
        <w:t xml:space="preserve">This methodology was chosen as it introduces different sources of uncertainty related to different steps of the measurement process.</w:t>
      </w:r>
      <w:r>
        <w:t xml:space="preserve"> </w:t>
      </w:r>
      <w:r>
        <w:t xml:space="preserve">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Figure 2: 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Figure 2: 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[@Blaauw2018]</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[@Aquino2018]</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s"/>
    <w:p>
      <w:pPr>
        <w:pStyle w:val="Heading2"/>
      </w:pPr>
      <w:r>
        <w:t xml:space="preserve">Model Considerations</w:t>
      </w:r>
    </w:p>
    <w:p>
      <w:pPr>
        <w:pStyle w:val="FirstParagraph"/>
      </w:pPr>
      <w:r>
        <w:t xml:space="preserve">In order to create a comparison with minimal user interaction each model will be run automatically.</w:t>
      </w:r>
      <w:r>
        <w:t xml:space="preserve"> </w:t>
      </w:r>
      <w:r>
        <w:t xml:space="preserve">In the case of</w:t>
      </w:r>
      <w:r>
        <w:t xml:space="preserve"> </w:t>
      </w:r>
      <w:r>
        <w:rPr>
          <w:i/>
        </w:rPr>
        <w:t xml:space="preserve">Plum</w:t>
      </w:r>
      <w:r>
        <w:t xml:space="preserve">, default settings will be used in order to minimize user interaction.</w:t>
      </w:r>
      <w:r>
        <w:t xml:space="preserve"> </w:t>
      </w:r>
      <w:r>
        <w:t xml:space="preserve">As the CI-CRS model assumes that background has been reached, in order to reduce user manipulation, we decided to fix the last sample (30 cm depth) for every case.</w:t>
      </w:r>
      <w:r>
        <w:t xml:space="preserve"> </w:t>
      </w:r>
      <w:r>
        <w:t xml:space="preserve">This step not only guarantees the consistent application of the CI-CRS model, it also provides the model with a single bottom-most depth to be removed as it is common practice when using the CI-CRS model.</w:t>
      </w:r>
      <w:r>
        <w:t xml:space="preserve"> </w:t>
      </w:r>
      <w:r>
        <w:t xml:space="preserve">Because of this,</w:t>
      </w:r>
      <w:r>
        <w:t xml:space="preserve"> </w:t>
      </w:r>
      <w:r>
        <w:rPr>
          <w:i/>
        </w:rPr>
        <w:t xml:space="preserve">Plum</w:t>
      </w:r>
      <w:r>
        <w:t xml:space="preserve">’s resulting chronology will always reach 30 cm and as default 1 cm sections will be used for every simulation.</w:t>
      </w:r>
      <w:r>
        <w:t xml:space="preserve"> </w:t>
      </w:r>
      <w:r>
        <w:t xml:space="preserve">On the other hand, the CI-CRS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automatically,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CI-CRS model, the mean of the supported</w:t>
      </w:r>
      <w:r>
        <w:t xml:space="preserve"> </w:t>
      </w:r>
      <m:oMath>
        <m:sSup>
          <m:e>
            <m:r>
              <m:t>​</m:t>
            </m:r>
          </m:e>
          <m:sup>
            <m:r>
              <m:t>210</m:t>
            </m:r>
          </m:sup>
        </m:sSup>
      </m:oMath>
      <w:r>
        <w:t xml:space="preserve">Pb measurements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CI-CRS model.</w:t>
      </w:r>
    </w:p>
    <w:p>
      <w:pPr>
        <w:pStyle w:val="BodyText"/>
      </w:pPr>
      <w:r>
        <w:t xml:space="preserve">In order to provide an objective comparison, the offset of the true age-depth model (in yr), length of the 95% intervals (in yr) and normalized accuracy was calculated (the normalized offset indicating the distance of modelled ages from the true value given the model’s own uncertainty).</w:t>
      </w:r>
      <w:r>
        <w:t xml:space="preserve"> </w:t>
      </w:r>
      <w:r>
        <w:t xml:space="preserve">The main discussion will revolve around the normalized offset as it provide a intuitive measure of the accuracy a modelby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a dataset with 6 random 1-cm samples -of a possible total 30 1-cm samples- is created) in order to create a sub-dataset, which is then use to create a chronology.</w:t>
      </w:r>
      <w:r>
        <w:t xml:space="preserve"> </w:t>
      </w:r>
      <w:r>
        <w:t xml:space="preserve">100 of these sub-datasets were created for information percentages from 10% to 95% at 5% intervals (i.e., 10%, 15%, 20%,...,95%), the complete dataset was also used (i.e 100% percentage of information sample).</w:t>
      </w:r>
      <w:r>
        <w:t xml:space="preserve"> </w:t>
      </w:r>
      <w:r>
        <w:t xml:space="preserve">After a dataset is created, both the CRS model and</w:t>
      </w:r>
      <w:r>
        <w:t xml:space="preserve"> </w:t>
      </w:r>
      <w:r>
        <w:rPr>
          <w:i/>
        </w:rPr>
        <w:t xml:space="preserve">Plum</w:t>
      </w:r>
      <w:r>
        <w:t xml:space="preserve"> </w:t>
      </w:r>
      <w:r>
        <w:t xml:space="preserve">were applied.</w:t>
      </w:r>
      <w:r>
        <w:t xml:space="preserve"> </w:t>
      </w:r>
      <w:r>
        <w:t xml:space="preserve">Both sets of outputs were then compared against the true known age value, see Figure</w:t>
      </w:r>
      <w:r>
        <w:t xml:space="preserve"> </w:t>
      </w:r>
      <w:hyperlink w:anchor="fig:comparison1r">
        <w:r>
          <w:rPr>
            <w:rStyle w:val="Hyperlink"/>
          </w:rPr>
          <w:t xml:space="preserve">3</w:t>
        </w:r>
      </w:hyperlink>
      <w:r>
        <w:t xml:space="preserve">.</w:t>
      </w:r>
    </w:p>
    <w:p>
      <w:pPr>
        <w:pStyle w:val="CaptionedFigure"/>
      </w:pPr>
      <w:bookmarkStart w:id="36" w:name="fig:comparison1r"/>
      <w:r>
        <w:drawing>
          <wp:inline>
            <wp:extent cx="5334000" cy="4849090"/>
            <wp:effectExtent b="0" l="0" r="0" t="0"/>
            <wp:docPr descr="Figure 3: Comparison between Plum and the CI-CRS model against the true age-depth model using 95% of the information percentage (using 1-cm samples at depths at every depth except 13 and 19 cm). Lines show the age estimates with the 95% credible intervals (Plum) and the 95% confidence interval (CI-CRS). Dots show the normalized offset, distance between the inferred age and the true age in relation to the standard error (the standard deviation in the case of the CI-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df"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bookmarkEnd w:id="36"/>
    </w:p>
    <w:p>
      <w:pPr>
        <w:pStyle w:val="ImageCaption"/>
      </w:pPr>
      <w:r>
        <w:t xml:space="preserve">Figure 3: Comparison between</w:t>
      </w:r>
      <w:r>
        <w:t xml:space="preserve"> </w:t>
      </w:r>
      <w:r>
        <w:rPr>
          <w:i/>
        </w:rPr>
        <w:t xml:space="preserve">Plum</w:t>
      </w:r>
      <w:r>
        <w:t xml:space="preserve"> </w:t>
      </w:r>
      <w:r>
        <w:t xml:space="preserve">and the CI-CRS model against the true age-depth model using 95% of the information percentage (using 1-cm samples at depths at every depth except 13 and 19 cm). Lines show the age estimates with the 95% credible intervals (</w:t>
      </w:r>
      <w:r>
        <w:rPr>
          <w:i/>
        </w:rPr>
        <w:t xml:space="preserve">Plum</w:t>
      </w:r>
      <w:r>
        <w:t xml:space="preserve">) and the 95% confidence interval (CI-CRS). Dots show the normalized offset, distance between the inferred age and the true age in relation to the standard error (the standard deviation in the case of the CI-CRS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Figure 4: Top panel A) shows the offset between the modelled and true age of the CI-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I-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Figure 4: Top panel A) shows the offset between the modelled and true age of the CI-CRS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CI-CRS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[@Blaauw2018]</w:t>
      </w:r>
      <w:r>
        <w:t xml:space="preserve">.</w:t>
      </w:r>
      <w:r>
        <w:t xml:space="preserve"> </w:t>
      </w:r>
      <w:r>
        <w:t xml:space="preserve">The classical model (CI-CRS)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It is important to note that the CI-CRS model’s offset improves as more information is available.</w:t>
      </w:r>
      <w:r>
        <w:t xml:space="preserve"> </w:t>
      </w:r>
      <w:r>
        <w:t xml:space="preserve">Unfortunately, if we do not consider both the effects of both the offset and length of the interval together the results are not favorable to the CI-CRS.</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CI-CRS estimates smaller uncertainties and its ages improve as more data is available, it does so at the cost of its accuracy and the improvements are not sufficient to capture the true age.</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[@Blaauw2018]</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CI-CRS model; this in combination with slightly larger modelled uncertainties (more realistic) results in more consistently accurate age-depth model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compared those obtained by the CI-CRS.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CI-CRS model. Furthermore, only 0.54% (29/5333) of the CI-CRS model runs remain under the 1 standard deviation, which is the most commonly reported interval when reporting CI-CRS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CI-CRS model does not appears to improve its capability of capturing the true value from additional data.</w:t>
      </w:r>
    </w:p>
    <w:p>
      <w:pPr>
        <w:pStyle w:val="BodyText"/>
      </w:pPr>
      <w:r>
        <w:t xml:space="preserve">These results are valid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Figure 5: Normalized offset of every sampling sample at every depth for the three simulated scenarios - CI-CRS age estimates at samples depths and Plum’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Figure 5: Normalized offset of every sampling sample at every depth for the three simulated scenarios - CI-CRS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CI-CRS model, contrary to the results obtained by</w:t>
      </w:r>
      <w:r>
        <w:t xml:space="preserve"> </w:t>
      </w:r>
      <w:r>
        <w:rPr>
          <w:i/>
        </w:rPr>
        <w:t xml:space="preserve">Plum</w:t>
      </w:r>
      <w:r>
        <w:t xml:space="preserve">.</w:t>
      </w:r>
      <w:r>
        <w:t xml:space="preserve"> </w:t>
      </w:r>
      <w:r>
        <w:t xml:space="preserve">It is important to note that the inaccuracies of the CI-CRS model are not exclusive to any particular sections of the chronology; this is most likely driven by the small uncertainties estimated by the CI-CRS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CI-CRS model.</w:t>
      </w:r>
      <w:r>
        <w:t xml:space="preserve"> </w:t>
      </w:r>
      <w:r>
        <w:t xml:space="preserve">[@Aquino2018]</w:t>
      </w:r>
      <w:r>
        <w:t xml:space="preserve"> </w:t>
      </w:r>
      <w:r>
        <w:t xml:space="preserve">proposes that the bias related to the CI-CRS model is the product of the use of a logarithmic function for the age-depth model.</w:t>
      </w:r>
      <w:r>
        <w:t xml:space="preserve"> </w:t>
      </w:r>
      <w:r>
        <w:t xml:space="preserve">It is also evident from these results that the CI-CRS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It is important to note that in this study the error propagation method proposed by</w:t>
      </w:r>
      <w:r>
        <w:t xml:space="preserve"> </w:t>
      </w:r>
      <w:r>
        <w:t xml:space="preserve">[@Appleby2001]</w:t>
      </w:r>
      <w:r>
        <w:t xml:space="preserve"> </w:t>
      </w:r>
      <w:r>
        <w:t xml:space="preserve">was used.</w:t>
      </w:r>
      <w:r>
        <w:t xml:space="preserve"> </w:t>
      </w:r>
      <w:r>
        <w:t xml:space="preserve">This method is not the only method to calculate CI-CRS’s uncertainties, another alternative is</w:t>
      </w:r>
      <w:r>
        <w:t xml:space="preserve"> </w:t>
      </w:r>
      <w:r>
        <w:t xml:space="preserve">[@Sanchez-Cabeza2014]</w:t>
      </w:r>
      <w:r>
        <w:t xml:space="preserve">, this methodology uses Monte Carlo simulations to estimate the uncertainty of the CI-CRS ages.</w:t>
      </w:r>
      <w:r>
        <w:t xml:space="preserve"> </w:t>
      </w:r>
      <w:r>
        <w:t xml:space="preserve">In this work, we chose not to use this way to calculate the uncertainty of the CI-CRS as the author mentioned the calculated standard deviations are smaller to those obtained by error propagation.</w:t>
      </w:r>
      <w:r>
        <w:t xml:space="preserve"> </w:t>
      </w:r>
      <w:r>
        <w:t xml:space="preserve">Provided the results obtained by this experiment this may be of concern and farther work is required to determine which is the best method to calculate the uncertainties.</w:t>
      </w:r>
    </w:p>
    <w:p>
      <w:pPr>
        <w:pStyle w:val="BodyText"/>
      </w:pPr>
      <w:r>
        <w:t xml:space="preserve">It is important to note that given the number of modifications to the core CI-CRS model as well as the numerous ways of calculating the uncertainty of the model, it is impossible to come to definite conclusion of the actual accuracy of the CI-CRS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[@Sanchez-Cabeza2012]</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CI-CRS models which are analysed by an expert have shown to provide accurate results as shown by</w:t>
      </w:r>
      <w:r>
        <w:t xml:space="preserve"> </w:t>
      </w:r>
      <w:r>
        <w:t xml:space="preserve">[@Aquino2020]</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[@Barsanti2020]</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CI-CRS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CI-CRS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CI-CRS model</w:t>
      </w:r>
      <w:r>
        <w:t xml:space="preserve"> </w:t>
      </w:r>
      <w:r>
        <w:t xml:space="preserve">[@Sanchez-Cabeza2012; @Barsanti2020; @Aquino2020]</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CI-CRS age-depth model model.</w:t>
      </w:r>
    </w:p>
    <w:p>
      <w:pPr>
        <w:pStyle w:val="BodyText"/>
      </w:pPr>
      <w:r>
        <w:t xml:space="preserve">In conclusion, the use of CI-CRS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[@Aquino2018; @Aquino2020]</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image" Id="rId35" Target="media/rId35.pdf"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2020-12-01T01:06:36Z</dcterms:created>
  <dcterms:modified xsi:type="dcterms:W3CDTF">2020-12-01T01:06:36Z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bibliography.bib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ate">
    <vt:lpwstr>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