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904D8D" w14:textId="134ED18D" w:rsidR="00086909" w:rsidRPr="00B772BD" w:rsidRDefault="00033137">
      <w:pPr>
        <w:pStyle w:val="Ttulo1"/>
        <w:spacing w:line="480" w:lineRule="auto"/>
        <w:jc w:val="center"/>
        <w:rPr>
          <w:rFonts w:ascii="Google Sans" w:eastAsia="Google Sans" w:hAnsi="Google Sans" w:cs="Google Sans"/>
          <w:lang w:val="es-ES"/>
        </w:rPr>
      </w:pPr>
      <w:r w:rsidRPr="00B772BD">
        <w:rPr>
          <w:rFonts w:ascii="Google Sans" w:eastAsia="Google Sans" w:hAnsi="Google Sans" w:cs="Google Sans"/>
          <w:lang w:val="es-ES"/>
        </w:rPr>
        <w:t xml:space="preserve">Informe de evaluación de riesgos de seguridad </w:t>
      </w:r>
    </w:p>
    <w:p w14:paraId="72FBE4B3" w14:textId="77777777" w:rsidR="00086909" w:rsidRPr="00B772BD" w:rsidRDefault="00086909">
      <w:pPr>
        <w:spacing w:line="480" w:lineRule="auto"/>
        <w:rPr>
          <w:rFonts w:ascii="Google Sans" w:eastAsia="Google Sans" w:hAnsi="Google Sans" w:cs="Google Sans"/>
          <w:b/>
          <w:sz w:val="26"/>
          <w:szCs w:val="26"/>
          <w:lang w:val="es-ES"/>
        </w:rPr>
      </w:pPr>
    </w:p>
    <w:tbl>
      <w:tblPr>
        <w:tblStyle w:val="a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086909" w:rsidRPr="00B772BD" w14:paraId="3A6431ED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195FF" w14:textId="77777777" w:rsidR="00086909" w:rsidRPr="00B772BD" w:rsidRDefault="0003313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B772BD">
              <w:rPr>
                <w:rFonts w:ascii="Google Sans" w:eastAsia="Google Sans" w:hAnsi="Google Sans" w:cs="Google Sans"/>
                <w:b/>
                <w:sz w:val="24"/>
                <w:szCs w:val="24"/>
                <w:lang w:val="es-ES"/>
              </w:rPr>
              <w:t>Parte 1: Seleccione hasta tres herramientas y métodos de endurecimiento para implementar</w:t>
            </w:r>
          </w:p>
        </w:tc>
      </w:tr>
      <w:tr w:rsidR="00086909" w:rsidRPr="00B772BD" w14:paraId="08B2F303" w14:textId="77777777">
        <w:trPr>
          <w:trHeight w:val="300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C2638" w14:textId="77777777" w:rsidR="00086909" w:rsidRPr="00B772BD" w:rsidRDefault="0008690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</w:p>
        </w:tc>
      </w:tr>
      <w:tr w:rsidR="00086909" w:rsidRPr="00B772BD" w14:paraId="200DD584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16433" w14:textId="77777777" w:rsidR="00086909" w:rsidRPr="00B772BD" w:rsidRDefault="00086909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</w:p>
        </w:tc>
      </w:tr>
    </w:tbl>
    <w:p w14:paraId="4DC4EC63" w14:textId="77777777" w:rsidR="00086909" w:rsidRPr="00B772BD" w:rsidRDefault="00086909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  <w:lang w:val="es-ES"/>
        </w:rPr>
      </w:pPr>
    </w:p>
    <w:tbl>
      <w:tblPr>
        <w:tblW w:w="96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89"/>
        <w:gridCol w:w="2835"/>
        <w:gridCol w:w="4140"/>
      </w:tblGrid>
      <w:tr w:rsidR="00033137" w:rsidRPr="00B772BD" w14:paraId="0FD5EE5D" w14:textId="77777777" w:rsidTr="00033137">
        <w:trPr>
          <w:trHeight w:val="300"/>
        </w:trPr>
        <w:tc>
          <w:tcPr>
            <w:tcW w:w="2689" w:type="dxa"/>
            <w:shd w:val="clear" w:color="auto" w:fill="auto"/>
            <w:vAlign w:val="center"/>
            <w:hideMark/>
          </w:tcPr>
          <w:p w14:paraId="6B69DCC8" w14:textId="77777777" w:rsidR="00033137" w:rsidRPr="00B772BD" w:rsidRDefault="00033137" w:rsidP="00033137">
            <w:pPr>
              <w:spacing w:line="240" w:lineRule="auto"/>
              <w:rPr>
                <w:rFonts w:ascii="Google Sans" w:eastAsia="Times New Roman" w:hAnsi="Google Sans"/>
                <w:b/>
                <w:bCs/>
                <w:color w:val="000000"/>
                <w:lang w:val="es-ES"/>
              </w:rPr>
            </w:pPr>
            <w:r w:rsidRPr="00B772BD">
              <w:rPr>
                <w:rFonts w:ascii="Google Sans" w:eastAsia="Times New Roman" w:hAnsi="Google Sans"/>
                <w:b/>
                <w:bCs/>
                <w:color w:val="000000"/>
                <w:lang w:val="es-ES"/>
              </w:rPr>
              <w:t>Tarea de refuerzo de la seguridad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5747C78F" w14:textId="77777777" w:rsidR="00033137" w:rsidRPr="00B772BD" w:rsidRDefault="00033137" w:rsidP="00033137">
            <w:pPr>
              <w:spacing w:line="240" w:lineRule="auto"/>
              <w:rPr>
                <w:rFonts w:ascii="Google Sans" w:eastAsia="Times New Roman" w:hAnsi="Google Sans"/>
                <w:b/>
                <w:bCs/>
                <w:color w:val="000000"/>
                <w:lang w:val="es-ES"/>
              </w:rPr>
            </w:pPr>
            <w:r w:rsidRPr="00B772BD">
              <w:rPr>
                <w:rFonts w:ascii="Google Sans" w:eastAsia="Times New Roman" w:hAnsi="Google Sans"/>
                <w:b/>
                <w:bCs/>
                <w:color w:val="000000"/>
                <w:lang w:val="es-ES"/>
              </w:rPr>
              <w:t>Descripción</w:t>
            </w:r>
          </w:p>
        </w:tc>
        <w:tc>
          <w:tcPr>
            <w:tcW w:w="4140" w:type="dxa"/>
            <w:shd w:val="clear" w:color="auto" w:fill="auto"/>
            <w:vAlign w:val="center"/>
            <w:hideMark/>
          </w:tcPr>
          <w:p w14:paraId="77BFB028" w14:textId="77777777" w:rsidR="00033137" w:rsidRPr="00B772BD" w:rsidRDefault="00033137" w:rsidP="00033137">
            <w:pPr>
              <w:spacing w:line="240" w:lineRule="auto"/>
              <w:rPr>
                <w:rFonts w:ascii="Google Sans" w:eastAsia="Times New Roman" w:hAnsi="Google Sans"/>
                <w:b/>
                <w:bCs/>
                <w:color w:val="000000"/>
                <w:lang w:val="es-ES"/>
              </w:rPr>
            </w:pPr>
            <w:r w:rsidRPr="00B772BD">
              <w:rPr>
                <w:rFonts w:ascii="Google Sans" w:eastAsia="Times New Roman" w:hAnsi="Google Sans"/>
                <w:b/>
                <w:bCs/>
                <w:color w:val="000000"/>
                <w:lang w:val="es-ES"/>
              </w:rPr>
              <w:t>Usos comunes</w:t>
            </w:r>
          </w:p>
        </w:tc>
      </w:tr>
      <w:tr w:rsidR="00033137" w:rsidRPr="00B772BD" w14:paraId="41F5FB7F" w14:textId="77777777" w:rsidTr="00033137">
        <w:trPr>
          <w:trHeight w:val="1425"/>
        </w:trPr>
        <w:tc>
          <w:tcPr>
            <w:tcW w:w="2689" w:type="dxa"/>
            <w:shd w:val="clear" w:color="auto" w:fill="auto"/>
            <w:vAlign w:val="center"/>
            <w:hideMark/>
          </w:tcPr>
          <w:p w14:paraId="439DE3AB" w14:textId="77777777" w:rsidR="00033137" w:rsidRPr="00B772BD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B772BD">
              <w:rPr>
                <w:rFonts w:ascii="Google Sans Text" w:eastAsia="Times New Roman" w:hAnsi="Google Sans Text"/>
                <w:color w:val="000000"/>
                <w:lang w:val="es-ES"/>
              </w:rPr>
              <w:t>Mantenimiento del cortafuegos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1B33DF81" w14:textId="77777777" w:rsidR="00033137" w:rsidRPr="00B772BD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B772BD">
              <w:rPr>
                <w:rFonts w:ascii="Google Sans Text" w:eastAsia="Times New Roman" w:hAnsi="Google Sans Text"/>
                <w:color w:val="000000"/>
                <w:lang w:val="es-ES"/>
              </w:rPr>
              <w:t>El mantenimiento del cortafuegos implica comprobar y actualizar las configuraciones de seguridad con regularidad para adelantarse a las posibles amenazas.</w:t>
            </w:r>
          </w:p>
        </w:tc>
        <w:tc>
          <w:tcPr>
            <w:tcW w:w="4140" w:type="dxa"/>
            <w:shd w:val="clear" w:color="auto" w:fill="auto"/>
            <w:vAlign w:val="center"/>
            <w:hideMark/>
          </w:tcPr>
          <w:p w14:paraId="30121D2C" w14:textId="77777777" w:rsidR="00033137" w:rsidRPr="00B772BD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B772BD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Esto puede suceder regularmente. Las reglas de firewall se pueden actualizar en respuesta a un evento que permita un tráfico de red anormal en la red. Esta medida se puede utilizar para protegerse contra varios ataques </w:t>
            </w:r>
            <w:proofErr w:type="spellStart"/>
            <w:r w:rsidRPr="00B772BD">
              <w:rPr>
                <w:rFonts w:ascii="Google Sans Text" w:eastAsia="Times New Roman" w:hAnsi="Google Sans Text"/>
                <w:color w:val="000000"/>
                <w:lang w:val="es-ES"/>
              </w:rPr>
              <w:t>DDoS</w:t>
            </w:r>
            <w:proofErr w:type="spellEnd"/>
            <w:r w:rsidRPr="00B772BD">
              <w:rPr>
                <w:rFonts w:ascii="Google Sans Text" w:eastAsia="Times New Roman" w:hAnsi="Google Sans Text"/>
                <w:color w:val="000000"/>
                <w:lang w:val="es-ES"/>
              </w:rPr>
              <w:t>.</w:t>
            </w:r>
          </w:p>
        </w:tc>
      </w:tr>
      <w:tr w:rsidR="00033137" w:rsidRPr="00B772BD" w14:paraId="10FE9F4F" w14:textId="77777777" w:rsidTr="00033137">
        <w:trPr>
          <w:trHeight w:val="1995"/>
        </w:trPr>
        <w:tc>
          <w:tcPr>
            <w:tcW w:w="2689" w:type="dxa"/>
            <w:shd w:val="clear" w:color="auto" w:fill="auto"/>
            <w:vAlign w:val="center"/>
            <w:hideMark/>
          </w:tcPr>
          <w:p w14:paraId="2C4A7881" w14:textId="77777777" w:rsidR="00033137" w:rsidRPr="00B772BD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B772BD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Autenticación </w:t>
            </w:r>
            <w:proofErr w:type="spellStart"/>
            <w:r w:rsidRPr="00B772BD">
              <w:rPr>
                <w:rFonts w:ascii="Google Sans Text" w:eastAsia="Times New Roman" w:hAnsi="Google Sans Text"/>
                <w:color w:val="000000"/>
                <w:lang w:val="es-ES"/>
              </w:rPr>
              <w:t>multifactor</w:t>
            </w:r>
            <w:proofErr w:type="spellEnd"/>
            <w:r w:rsidRPr="00B772BD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 (MFA)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3FFDB83E" w14:textId="77777777" w:rsidR="00033137" w:rsidRPr="00B772BD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B772BD">
              <w:rPr>
                <w:rFonts w:ascii="Google Sans Text" w:eastAsia="Times New Roman" w:hAnsi="Google Sans Text"/>
                <w:color w:val="000000"/>
                <w:lang w:val="es-ES"/>
              </w:rPr>
              <w:t>Una medida de seguridad que requiere que un usuario verifique su identidad de dos o más maneras para acceder a un sistema o red. Las opciones de MFA incluyen una contraseña, un número PIN, una credencial, una contraseña de un solo uso (OTP) enviada a un teléfono móvil, una huella dactilar y mucho más.</w:t>
            </w:r>
          </w:p>
        </w:tc>
        <w:tc>
          <w:tcPr>
            <w:tcW w:w="4140" w:type="dxa"/>
            <w:shd w:val="clear" w:color="auto" w:fill="auto"/>
            <w:vAlign w:val="center"/>
            <w:hideMark/>
          </w:tcPr>
          <w:p w14:paraId="0391F207" w14:textId="77777777" w:rsidR="00033137" w:rsidRPr="00B772BD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B772BD">
              <w:rPr>
                <w:rFonts w:ascii="Google Sans Text" w:eastAsia="Times New Roman" w:hAnsi="Google Sans Text"/>
                <w:color w:val="000000"/>
                <w:lang w:val="es-ES"/>
              </w:rPr>
              <w:t>Puede ayudar a protegerse contra ataques de fuerza bruta y eventos de seguridad similares. MFA se puede implementar en cualquier momento, y es principalmente una técnica que se configura una vez que luego se mantiene.</w:t>
            </w:r>
          </w:p>
        </w:tc>
      </w:tr>
      <w:tr w:rsidR="00033137" w:rsidRPr="00B772BD" w14:paraId="7DECD203" w14:textId="77777777" w:rsidTr="00033137">
        <w:trPr>
          <w:trHeight w:val="1710"/>
        </w:trPr>
        <w:tc>
          <w:tcPr>
            <w:tcW w:w="2689" w:type="dxa"/>
            <w:shd w:val="clear" w:color="auto" w:fill="auto"/>
            <w:vAlign w:val="center"/>
            <w:hideMark/>
          </w:tcPr>
          <w:p w14:paraId="133245FC" w14:textId="77777777" w:rsidR="00033137" w:rsidRPr="00B772BD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B772BD">
              <w:rPr>
                <w:rFonts w:ascii="Google Sans Text" w:eastAsia="Times New Roman" w:hAnsi="Google Sans Text"/>
                <w:color w:val="000000"/>
                <w:lang w:val="es-ES"/>
              </w:rPr>
              <w:t>Privilegios de acceso a la red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0AB39570" w14:textId="77777777" w:rsidR="00033137" w:rsidRPr="00B772BD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B772BD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Los privilegios de acceso a la red implican permitir, limitar y/o bloquear privilegios de acceso a los activos de la red para personas, roles, grupos, direcciones IP, direcciones MAC, etc. </w:t>
            </w:r>
          </w:p>
        </w:tc>
        <w:tc>
          <w:tcPr>
            <w:tcW w:w="4140" w:type="dxa"/>
            <w:shd w:val="clear" w:color="auto" w:fill="auto"/>
            <w:vAlign w:val="center"/>
            <w:hideMark/>
          </w:tcPr>
          <w:p w14:paraId="2678A8B4" w14:textId="77777777" w:rsidR="00033137" w:rsidRPr="00B772BD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B772BD">
              <w:rPr>
                <w:rFonts w:ascii="Google Sans Text" w:eastAsia="Times New Roman" w:hAnsi="Google Sans Text"/>
                <w:color w:val="000000"/>
                <w:lang w:val="es-ES"/>
              </w:rPr>
              <w:t xml:space="preserve">Reduce el riesgo de que usuarios no autorizados y tráfico externo accedan a la red interna. Esto se puede implementar una vez, o volver a revisarlo dependiendo de la probabilidad de ingeniería social o ataques de fuerza bruta. </w:t>
            </w:r>
          </w:p>
        </w:tc>
      </w:tr>
      <w:tr w:rsidR="00033137" w:rsidRPr="00B772BD" w14:paraId="12107B03" w14:textId="77777777" w:rsidTr="00033137">
        <w:trPr>
          <w:trHeight w:val="2280"/>
        </w:trPr>
        <w:tc>
          <w:tcPr>
            <w:tcW w:w="2689" w:type="dxa"/>
            <w:shd w:val="clear" w:color="auto" w:fill="auto"/>
            <w:vAlign w:val="center"/>
            <w:hideMark/>
          </w:tcPr>
          <w:p w14:paraId="1B9E358D" w14:textId="77777777" w:rsidR="00033137" w:rsidRPr="00B772BD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B772BD">
              <w:rPr>
                <w:rFonts w:ascii="Google Sans Text" w:eastAsia="Times New Roman" w:hAnsi="Google Sans Text"/>
                <w:color w:val="000000"/>
                <w:lang w:val="es-ES"/>
              </w:rPr>
              <w:lastRenderedPageBreak/>
              <w:t>Políticas de contraseñas</w:t>
            </w:r>
          </w:p>
        </w:tc>
        <w:tc>
          <w:tcPr>
            <w:tcW w:w="2835" w:type="dxa"/>
            <w:shd w:val="clear" w:color="auto" w:fill="auto"/>
            <w:vAlign w:val="center"/>
            <w:hideMark/>
          </w:tcPr>
          <w:p w14:paraId="1F792EA7" w14:textId="77777777" w:rsidR="00033137" w:rsidRPr="00B772BD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B772BD">
              <w:rPr>
                <w:rFonts w:ascii="Google Sans Text" w:eastAsia="Times New Roman" w:hAnsi="Google Sans Text"/>
                <w:color w:val="000000"/>
                <w:lang w:val="es-ES"/>
              </w:rPr>
              <w:t>Las últimas recomendaciones del Instituto Nacional de Estándares y Tecnología (NIST, por sus siglas en inglés) para las políticas de contraseñas se centran en el uso de métodos para sal y hash de contraseñas, en lugar de requerir contraseñas demasiado complejas o imponer cambios frecuentes en las contraseñas.</w:t>
            </w:r>
          </w:p>
        </w:tc>
        <w:tc>
          <w:tcPr>
            <w:tcW w:w="4140" w:type="dxa"/>
            <w:shd w:val="clear" w:color="auto" w:fill="auto"/>
            <w:vAlign w:val="center"/>
            <w:hideMark/>
          </w:tcPr>
          <w:p w14:paraId="06FF7AA3" w14:textId="77777777" w:rsidR="00033137" w:rsidRPr="00B772BD" w:rsidRDefault="00033137" w:rsidP="00033137">
            <w:pPr>
              <w:spacing w:line="240" w:lineRule="auto"/>
              <w:rPr>
                <w:rFonts w:ascii="Google Sans Text" w:eastAsia="Times New Roman" w:hAnsi="Google Sans Text"/>
                <w:color w:val="000000"/>
                <w:lang w:val="es-ES"/>
              </w:rPr>
            </w:pPr>
            <w:r w:rsidRPr="00B772BD">
              <w:rPr>
                <w:rFonts w:ascii="Google Sans Text" w:eastAsia="Times New Roman" w:hAnsi="Google Sans Text"/>
                <w:color w:val="000000"/>
                <w:lang w:val="es-ES"/>
              </w:rPr>
              <w:t>Las políticas de contraseñas se utilizan para evitar que los atacantes adivinen fácilmente las contraseñas de los usuarios, ya sea manualmente o mediante el uso de un script para intentar miles de contraseñas robadas (comúnmente llamado ataque de fuerza bruta).</w:t>
            </w:r>
          </w:p>
        </w:tc>
      </w:tr>
    </w:tbl>
    <w:p w14:paraId="4D30A04A" w14:textId="77777777" w:rsidR="00033137" w:rsidRPr="00B772BD" w:rsidRDefault="00033137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  <w:lang w:val="es-ES"/>
        </w:rPr>
      </w:pPr>
    </w:p>
    <w:p w14:paraId="63B6C4A2" w14:textId="77777777" w:rsidR="00033137" w:rsidRPr="00B772BD" w:rsidRDefault="00033137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  <w:lang w:val="es-ES"/>
        </w:rPr>
      </w:pPr>
    </w:p>
    <w:tbl>
      <w:tblPr>
        <w:tblStyle w:val="a0"/>
        <w:tblW w:w="871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086909" w:rsidRPr="00B772BD" w14:paraId="18CAEFF4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D7E17" w14:textId="77777777" w:rsidR="00086909" w:rsidRPr="00B772BD" w:rsidRDefault="00033137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  <w:lang w:val="es-ES"/>
              </w:rPr>
            </w:pPr>
            <w:r w:rsidRPr="00B772BD">
              <w:rPr>
                <w:rFonts w:ascii="Google Sans" w:eastAsia="Google Sans" w:hAnsi="Google Sans" w:cs="Google Sans"/>
                <w:b/>
                <w:sz w:val="24"/>
                <w:szCs w:val="24"/>
                <w:lang w:val="es-ES"/>
              </w:rPr>
              <w:t>Parte 2: Explica tus recomendaciones</w:t>
            </w:r>
          </w:p>
        </w:tc>
      </w:tr>
      <w:tr w:rsidR="00086909" w:rsidRPr="00B772BD" w14:paraId="6B4FB819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47796" w14:textId="515E6C6A" w:rsidR="00086909" w:rsidRPr="00B772BD" w:rsidRDefault="00CC70D1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B772BD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Es importante establecer una </w:t>
            </w:r>
            <w:r w:rsidR="00B772BD" w:rsidRPr="00B772BD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Política</w:t>
            </w:r>
            <w:r w:rsidRPr="00B772BD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de</w:t>
            </w:r>
            <w:r w:rsidR="00B772BD" w:rsidRPr="00B772BD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contraseñas para que los atacantes no les sea fácil acceder al sistema ya que actualmente la empresa no cuenta con esta política esto en conjunto con la Autenticación </w:t>
            </w:r>
            <w:proofErr w:type="spellStart"/>
            <w:r w:rsidR="00B772BD" w:rsidRPr="00B772BD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multifactor</w:t>
            </w:r>
            <w:proofErr w:type="spellEnd"/>
            <w:r w:rsidR="00B772BD" w:rsidRPr="00B772BD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 xml:space="preserve"> ayudará de disminuir los futuros ataques o amenazas.</w:t>
            </w:r>
          </w:p>
          <w:p w14:paraId="21369756" w14:textId="77777777" w:rsidR="00B772BD" w:rsidRPr="00B772BD" w:rsidRDefault="00B772B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</w:p>
          <w:p w14:paraId="3C6434F0" w14:textId="3E884909" w:rsidR="00B772BD" w:rsidRPr="00B772BD" w:rsidRDefault="00B772BD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</w:pPr>
            <w:r w:rsidRPr="00B772BD">
              <w:rPr>
                <w:rFonts w:ascii="Google Sans" w:eastAsia="Google Sans" w:hAnsi="Google Sans" w:cs="Google Sans"/>
                <w:sz w:val="24"/>
                <w:szCs w:val="24"/>
                <w:lang w:val="es-ES"/>
              </w:rPr>
              <w:t>Además, se recomienda mantener los cortafuegos actualizados para evitar el tráfico de red anormal y se evitará que el servidor se bloquee.</w:t>
            </w:r>
          </w:p>
        </w:tc>
      </w:tr>
    </w:tbl>
    <w:p w14:paraId="6C5679E9" w14:textId="77777777" w:rsidR="00086909" w:rsidRPr="00B772BD" w:rsidRDefault="00086909">
      <w:pPr>
        <w:spacing w:line="480" w:lineRule="auto"/>
        <w:rPr>
          <w:rFonts w:ascii="Google Sans" w:eastAsia="Google Sans" w:hAnsi="Google Sans" w:cs="Google Sans"/>
          <w:b/>
          <w:color w:val="38761D"/>
          <w:sz w:val="26"/>
          <w:szCs w:val="26"/>
          <w:lang w:val="es-ES"/>
        </w:rPr>
      </w:pPr>
    </w:p>
    <w:p w14:paraId="4C8FCFF6" w14:textId="77777777" w:rsidR="00086909" w:rsidRPr="00B772BD" w:rsidRDefault="00086909">
      <w:pPr>
        <w:spacing w:after="200"/>
        <w:rPr>
          <w:rFonts w:ascii="Google Sans" w:eastAsia="Google Sans" w:hAnsi="Google Sans" w:cs="Google Sans"/>
          <w:lang w:val="es-ES"/>
        </w:rPr>
      </w:pPr>
    </w:p>
    <w:p w14:paraId="4429F4FF" w14:textId="77777777" w:rsidR="00086909" w:rsidRPr="00B772BD" w:rsidRDefault="00086909">
      <w:pPr>
        <w:rPr>
          <w:lang w:val="es-ES"/>
        </w:rPr>
      </w:pPr>
    </w:p>
    <w:p w14:paraId="18A8B24E" w14:textId="03D8129D" w:rsidR="00086909" w:rsidRPr="00B772BD" w:rsidRDefault="00086909">
      <w:pPr>
        <w:rPr>
          <w:lang w:val="es-ES"/>
        </w:rPr>
      </w:pPr>
    </w:p>
    <w:sectPr w:rsidR="00086909" w:rsidRPr="00B772B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5B0D3C1B-4F7B-4BF9-BD7E-90B3F09E6EC9}"/>
    <w:embedBold r:id="rId2" w:fontKey="{BE56944C-1CC5-44F6-9332-C38C52265EE2}"/>
  </w:font>
  <w:font w:name="Google Sans Text">
    <w:altName w:val="Cambria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AE52509B-9776-4F6C-A3CA-23E371DA5E5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0D42E35C-5F47-4093-8117-7583D6FA47F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6909"/>
    <w:rsid w:val="00033137"/>
    <w:rsid w:val="00086909"/>
    <w:rsid w:val="00356A87"/>
    <w:rsid w:val="00B772BD"/>
    <w:rsid w:val="00CC7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60FC1B"/>
  <w15:docId w15:val="{79A5F494-A316-488F-893A-37CC28A5D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Textodelmarcadordeposicin">
    <w:name w:val="Placeholder Text"/>
    <w:basedOn w:val="Fuentedeprrafopredeter"/>
    <w:uiPriority w:val="99"/>
    <w:semiHidden/>
    <w:rsid w:val="00CC70D1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835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4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7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35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A9A7C3-91F5-4DEF-BD07-2ADB3CBAF1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411</Words>
  <Characters>2264</Characters>
  <Application>Microsoft Office Word</Application>
  <DocSecurity>0</DocSecurity>
  <Lines>18</Lines>
  <Paragraphs>5</Paragraphs>
  <ScaleCrop>false</ScaleCrop>
  <Company/>
  <LinksUpToDate>false</LinksUpToDate>
  <CharactersWithSpaces>2670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Gutiérrez Sajché</dc:creator>
  <cp:lastModifiedBy>Gutiérrez Sajché</cp:lastModifiedBy>
  <cp:revision>2</cp:revision>
  <dcterms:created xsi:type="dcterms:W3CDTF">2024-10-11T11:11:00Z</dcterms:created>
  <dcterms:modified xsi:type="dcterms:W3CDTF">2024-10-11T11:26:00Z</dcterms:modified>
</cp:coreProperties>
</file>