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E30E5F" w14:textId="7767C619" w:rsidR="00F47E1E" w:rsidRDefault="0096342C">
      <w:pPr>
        <w:pStyle w:val="Ttulo2"/>
        <w:ind w:left="-360"/>
        <w:rPr>
          <w:color w:val="4A86E8"/>
          <w:sz w:val="32"/>
          <w:szCs w:val="32"/>
        </w:rPr>
      </w:pPr>
      <w:r>
        <w:rPr>
          <w:color w:val="4A86E8"/>
          <w:sz w:val="32"/>
          <w:szCs w:val="32"/>
        </w:rPr>
        <w:t>NIST SP 800-30 Rev. 1</w:t>
      </w:r>
    </w:p>
    <w:p w14:paraId="23AB38CA" w14:textId="77777777" w:rsidR="00F47E1E" w:rsidRDefault="00000000">
      <w:pPr>
        <w:pStyle w:val="Ttulo2"/>
        <w:ind w:left="-360"/>
        <w:rPr>
          <w:sz w:val="32"/>
          <w:szCs w:val="32"/>
        </w:rPr>
      </w:pPr>
      <w:bookmarkStart w:id="0" w:name="_ekl67tysisut" w:colFirst="0" w:colLast="0"/>
      <w:bookmarkEnd w:id="0"/>
      <w:r>
        <w:pict w14:anchorId="31A97D3C">
          <v:rect id="_x0000_i1025" style="width:0;height:1.5pt" o:hralign="center" o:hrstd="t" o:hr="t" fillcolor="#a0a0a0" stroked="f"/>
        </w:pict>
      </w:r>
    </w:p>
    <w:p w14:paraId="7AAE74F9" w14:textId="77777777" w:rsidR="00F47E1E" w:rsidRDefault="0096342C">
      <w:pPr>
        <w:pStyle w:val="Ttulo3"/>
        <w:spacing w:after="200" w:line="360" w:lineRule="auto"/>
        <w:ind w:left="-360"/>
        <w:rPr>
          <w:b/>
        </w:rPr>
      </w:pPr>
      <w:bookmarkStart w:id="1" w:name="_d24nmev6lr6a" w:colFirst="0" w:colLast="0"/>
      <w:bookmarkEnd w:id="1"/>
      <w:r>
        <w:rPr>
          <w:b/>
        </w:rPr>
        <w:t>Guía para evaluar el riesgo</w:t>
      </w:r>
    </w:p>
    <w:p w14:paraId="11CA5B43" w14:textId="77777777" w:rsidR="00F47E1E" w:rsidRDefault="0096342C">
      <w:pPr>
        <w:spacing w:line="276" w:lineRule="auto"/>
        <w:ind w:left="-360" w:right="-360"/>
        <w:rPr>
          <w:color w:val="000000"/>
        </w:rPr>
      </w:pPr>
      <w:r>
        <w:rPr>
          <w:color w:val="000000"/>
        </w:rPr>
        <w:t>NIST SP 800-30 es una publicación que proporciona orientación sobre la realización de evaluaciones de riesgos. Describe estrategias para identificar, analizar y remediar los riesgos. Las organizaciones utilizan NIST SP 800-30 para obtener información sobre la probabilidad y la gravedad potenciales de los riesgos, lo que les ayuda a tomar decisiones informadas sobre la asignación de recursos, la implementación de controles y la priorización de los esfuerzos de corrección.</w:t>
      </w:r>
    </w:p>
    <w:p w14:paraId="1B1BD4E9" w14:textId="77777777" w:rsidR="00F47E1E" w:rsidRDefault="00F47E1E">
      <w:pPr>
        <w:spacing w:before="0" w:line="276" w:lineRule="auto"/>
        <w:ind w:left="-360" w:right="-360"/>
        <w:rPr>
          <w:color w:val="000000"/>
        </w:rPr>
      </w:pPr>
    </w:p>
    <w:p w14:paraId="15C3B1A2" w14:textId="77777777" w:rsidR="00F47E1E" w:rsidRDefault="0096342C">
      <w:pPr>
        <w:spacing w:before="0" w:line="276" w:lineRule="auto"/>
        <w:ind w:left="-360" w:right="-360"/>
        <w:rPr>
          <w:color w:val="000000"/>
        </w:rPr>
      </w:pPr>
      <w:r>
        <w:rPr>
          <w:color w:val="000000"/>
        </w:rPr>
        <w:t>Este documento de cuatro páginas es una adaptación de NIST SP 800-30 Rev. 1. El término "Rev. 1" significa que es la primera versión actualizada de esta publicación. De vez en cuando, el NIST revisa sus documentos para incorporar nueva información, reflejar los cambios en la tecnología y los requisitos normativos, o abordar los comentarios.</w:t>
      </w:r>
    </w:p>
    <w:p w14:paraId="0F82562B" w14:textId="77777777" w:rsidR="00F47E1E" w:rsidRDefault="00F47E1E">
      <w:pPr>
        <w:spacing w:before="0" w:line="276" w:lineRule="auto"/>
        <w:ind w:left="-360" w:right="-360"/>
        <w:rPr>
          <w:color w:val="000000"/>
        </w:rPr>
      </w:pPr>
    </w:p>
    <w:p w14:paraId="16305995" w14:textId="77777777" w:rsidR="00F47E1E" w:rsidRDefault="0096342C">
      <w:pPr>
        <w:spacing w:before="0" w:line="276" w:lineRule="auto"/>
        <w:ind w:left="-360" w:right="-360"/>
        <w:rPr>
          <w:color w:val="000000"/>
        </w:rPr>
      </w:pPr>
      <w:r>
        <w:rPr>
          <w:b/>
          <w:color w:val="000000"/>
        </w:rPr>
        <w:t xml:space="preserve">Nota: El </w:t>
      </w:r>
      <w:r>
        <w:rPr>
          <w:color w:val="000000"/>
        </w:rPr>
        <w:t>Centro de Recursos de Seguridad Informática</w:t>
      </w:r>
      <w:hyperlink r:id="rId7">
        <w:r>
          <w:rPr>
            <w:color w:val="1155CC"/>
            <w:u w:val="single"/>
          </w:rPr>
          <w:t xml:space="preserve"> del NIST </w:t>
        </w:r>
      </w:hyperlink>
      <w:r>
        <w:rPr>
          <w:color w:val="000000"/>
        </w:rPr>
        <w:t xml:space="preserve"> contiene más información sobre SP 800-30 Rev. 1.</w:t>
      </w:r>
    </w:p>
    <w:p w14:paraId="57E9782D" w14:textId="77777777" w:rsidR="00F47E1E" w:rsidRDefault="00F47E1E">
      <w:pPr>
        <w:spacing w:before="0" w:line="360" w:lineRule="auto"/>
        <w:ind w:left="-360" w:right="-360"/>
        <w:rPr>
          <w:color w:val="000000"/>
        </w:rPr>
      </w:pPr>
    </w:p>
    <w:p w14:paraId="32B44864" w14:textId="77777777" w:rsidR="00F47E1E" w:rsidRDefault="0096342C">
      <w:pPr>
        <w:pStyle w:val="Ttulo3"/>
        <w:spacing w:before="0" w:line="360" w:lineRule="auto"/>
        <w:ind w:left="-360" w:right="-360"/>
        <w:rPr>
          <w:b/>
          <w:color w:val="000000"/>
        </w:rPr>
      </w:pPr>
      <w:bookmarkStart w:id="2" w:name="_mptljh80haez" w:colFirst="0" w:colLast="0"/>
      <w:bookmarkEnd w:id="2"/>
      <w:r>
        <w:rPr>
          <w:b/>
          <w:color w:val="000000"/>
        </w:rPr>
        <w:t>Fuentes de amenazas</w:t>
      </w:r>
    </w:p>
    <w:p w14:paraId="4949E956" w14:textId="77777777" w:rsidR="00F47E1E" w:rsidRDefault="0096342C">
      <w:pPr>
        <w:ind w:left="-360" w:right="-360"/>
      </w:pPr>
      <w:r>
        <w:rPr>
          <w:color w:val="000000"/>
        </w:rPr>
        <w:t>NIST SP 800-30 define y categoriza las fuentes de amenazas como entidades o circunstancias que pueden afectar negativamente a los sistemas de información de una organización. Esta información es útil para identificar y evaluar los riesgos potenciales. Al hacer referencia a él, tenga en cuenta la intención o las capacidades de las fuentes de amenazas internas y externas.</w:t>
      </w:r>
    </w:p>
    <w:p w14:paraId="33896D3F" w14:textId="77777777" w:rsidR="00F47E1E" w:rsidRDefault="0096342C">
      <w:pPr>
        <w:ind w:left="-360" w:right="-360"/>
        <w:rPr>
          <w:color w:val="000000"/>
        </w:rPr>
      </w:pPr>
      <w:r>
        <w:rPr>
          <w:b/>
          <w:color w:val="000000"/>
        </w:rPr>
        <w:t>Nota:</w:t>
      </w:r>
      <w:r>
        <w:rPr>
          <w:color w:val="000000"/>
        </w:rPr>
        <w:t xml:space="preserve"> En la siguiente tabla se enumeran algunas posibles </w:t>
      </w:r>
      <w:r>
        <w:rPr>
          <w:i/>
          <w:color w:val="000000"/>
        </w:rPr>
        <w:t>fuentes de amenazas</w:t>
      </w:r>
      <w:r>
        <w:rPr>
          <w:color w:val="000000"/>
        </w:rPr>
        <w:t xml:space="preserve"> que podrían poner en peligro un servidor de bases de datos de acceso público.</w:t>
      </w:r>
    </w:p>
    <w:p w14:paraId="3A30DE08" w14:textId="77777777" w:rsidR="00F47E1E" w:rsidRDefault="00F47E1E">
      <w:pPr>
        <w:ind w:left="-360" w:right="-360"/>
      </w:pPr>
    </w:p>
    <w:tbl>
      <w:tblPr>
        <w:tblStyle w:val="a"/>
        <w:tblW w:w="10095"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3810"/>
        <w:gridCol w:w="5385"/>
      </w:tblGrid>
      <w:tr w:rsidR="00F47E1E" w14:paraId="1A60FF74" w14:textId="77777777">
        <w:tc>
          <w:tcPr>
            <w:tcW w:w="900" w:type="dxa"/>
            <w:shd w:val="clear" w:color="auto" w:fill="D9D9D9"/>
            <w:tcMar>
              <w:top w:w="100" w:type="dxa"/>
              <w:left w:w="100" w:type="dxa"/>
              <w:bottom w:w="100" w:type="dxa"/>
              <w:right w:w="100" w:type="dxa"/>
            </w:tcMar>
          </w:tcPr>
          <w:p w14:paraId="7FC2B211" w14:textId="77777777" w:rsidR="00F47E1E" w:rsidRDefault="0096342C">
            <w:pPr>
              <w:widowControl w:val="0"/>
              <w:spacing w:before="0" w:line="240" w:lineRule="auto"/>
              <w:ind w:left="-360" w:right="-360"/>
              <w:jc w:val="center"/>
              <w:rPr>
                <w:b/>
              </w:rPr>
            </w:pPr>
            <w:r>
              <w:rPr>
                <w:b/>
              </w:rPr>
              <w:t>Tipo</w:t>
            </w:r>
          </w:p>
        </w:tc>
        <w:tc>
          <w:tcPr>
            <w:tcW w:w="3810" w:type="dxa"/>
            <w:shd w:val="clear" w:color="auto" w:fill="D9D9D9"/>
            <w:tcMar>
              <w:top w:w="100" w:type="dxa"/>
              <w:left w:w="100" w:type="dxa"/>
              <w:bottom w:w="100" w:type="dxa"/>
              <w:right w:w="100" w:type="dxa"/>
            </w:tcMar>
          </w:tcPr>
          <w:p w14:paraId="6B363C38" w14:textId="77777777" w:rsidR="00F47E1E" w:rsidRDefault="0096342C">
            <w:pPr>
              <w:widowControl w:val="0"/>
              <w:spacing w:before="0" w:line="240" w:lineRule="auto"/>
              <w:rPr>
                <w:b/>
              </w:rPr>
            </w:pPr>
            <w:r>
              <w:rPr>
                <w:b/>
              </w:rPr>
              <w:t>Ejemplos</w:t>
            </w:r>
          </w:p>
        </w:tc>
        <w:tc>
          <w:tcPr>
            <w:tcW w:w="5385" w:type="dxa"/>
            <w:shd w:val="clear" w:color="auto" w:fill="D9D9D9"/>
            <w:tcMar>
              <w:top w:w="100" w:type="dxa"/>
              <w:left w:w="100" w:type="dxa"/>
              <w:bottom w:w="100" w:type="dxa"/>
              <w:right w:w="100" w:type="dxa"/>
            </w:tcMar>
          </w:tcPr>
          <w:p w14:paraId="1AB12EE6" w14:textId="77777777" w:rsidR="00F47E1E" w:rsidRDefault="0096342C">
            <w:pPr>
              <w:widowControl w:val="0"/>
              <w:spacing w:before="0" w:line="240" w:lineRule="auto"/>
              <w:ind w:right="-45"/>
              <w:rPr>
                <w:b/>
              </w:rPr>
            </w:pPr>
            <w:r>
              <w:rPr>
                <w:b/>
              </w:rPr>
              <w:t>Descripción</w:t>
            </w:r>
          </w:p>
        </w:tc>
      </w:tr>
      <w:tr w:rsidR="00F47E1E" w14:paraId="0B9407A8" w14:textId="77777777">
        <w:trPr>
          <w:trHeight w:val="3090"/>
        </w:trPr>
        <w:tc>
          <w:tcPr>
            <w:tcW w:w="900" w:type="dxa"/>
            <w:shd w:val="clear" w:color="auto" w:fill="D9D9D9"/>
            <w:tcMar>
              <w:top w:w="100" w:type="dxa"/>
              <w:left w:w="100" w:type="dxa"/>
              <w:bottom w:w="100" w:type="dxa"/>
              <w:right w:w="100" w:type="dxa"/>
            </w:tcMar>
            <w:vAlign w:val="center"/>
          </w:tcPr>
          <w:p w14:paraId="1634CD13" w14:textId="77777777" w:rsidR="00F47E1E" w:rsidRDefault="0096342C">
            <w:pPr>
              <w:widowControl w:val="0"/>
              <w:spacing w:before="0" w:line="240" w:lineRule="auto"/>
              <w:ind w:right="-30"/>
            </w:pPr>
            <w:r>
              <w:rPr>
                <w:noProof/>
              </w:rPr>
              <w:lastRenderedPageBreak/>
              <mc:AlternateContent>
                <mc:Choice Requires="wpg">
                  <w:drawing>
                    <wp:inline distT="114300" distB="114300" distL="114300" distR="114300" wp14:anchorId="4E3631A6" wp14:editId="101B98C1">
                      <wp:extent cx="409575" cy="1304925"/>
                      <wp:effectExtent l="0" t="0" r="0" b="0"/>
                      <wp:docPr id="2" name="Cuadro de texto 2"/>
                      <wp:cNvGraphicFramePr/>
                      <a:graphic xmlns:a="http://schemas.openxmlformats.org/drawingml/2006/main">
                        <a:graphicData uri="http://schemas.microsoft.com/office/word/2010/wordprocessingShape">
                          <wps:wsp>
                            <wps:cNvSpPr txBox="1"/>
                            <wps:spPr>
                              <a:xfrm rot="-5400000">
                                <a:off x="-449250" y="449250"/>
                                <a:ext cx="1298700" cy="400200"/>
                              </a:xfrm>
                              <a:prstGeom prst="rect">
                                <a:avLst/>
                              </a:prstGeom>
                              <a:noFill/>
                              <a:ln>
                                <a:noFill/>
                              </a:ln>
                            </wps:spPr>
                            <wps:txbx>
                              <w:txbxContent>
                                <w:p w14:paraId="440C3211" w14:textId="77777777" w:rsidR="00F47E1E" w:rsidRDefault="0096342C">
                                  <w:pPr>
                                    <w:spacing w:before="0" w:line="240" w:lineRule="auto"/>
                                    <w:jc w:val="center"/>
                                    <w:textDirection w:val="btLr"/>
                                  </w:pPr>
                                  <w:r>
                                    <w:rPr>
                                      <w:b/>
                                      <w:color w:val="000000"/>
                                      <w:sz w:val="28"/>
                                    </w:rPr>
                                    <w:t>Humano</w:t>
                                  </w:r>
                                </w:p>
                              </w:txbxContent>
                            </wps:txbx>
                            <wps:bodyPr spcFirstLastPara="1" wrap="square" lIns="91425" tIns="91425" rIns="91425" bIns="91425" anchor="t" anchorCtr="0">
                              <a:sp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T="114300" distB="114300" distL="114300" distR="114300">
                      <wp:extent cx="409575" cy="1304925"/>
                      <wp:effectExtent l="0" t="0" r="0" b="0"/>
                      <wp:docPr id="2"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409575" cy="1304925"/>
                              </a:xfrm>
                              <a:prstGeom prst="rect"/>
                              <a:ln/>
                            </pic:spPr>
                          </pic:pic>
                        </a:graphicData>
                      </a:graphic>
                    </wp:inline>
                  </w:drawing>
                </mc:Fallback>
              </mc:AlternateContent>
            </w:r>
          </w:p>
        </w:tc>
        <w:tc>
          <w:tcPr>
            <w:tcW w:w="3810" w:type="dxa"/>
            <w:shd w:val="clear" w:color="auto" w:fill="auto"/>
            <w:tcMar>
              <w:top w:w="100" w:type="dxa"/>
              <w:left w:w="100" w:type="dxa"/>
              <w:bottom w:w="100" w:type="dxa"/>
              <w:right w:w="100" w:type="dxa"/>
            </w:tcMar>
          </w:tcPr>
          <w:p w14:paraId="02AC13C5" w14:textId="77777777" w:rsidR="00F47E1E" w:rsidRDefault="0096342C">
            <w:pPr>
              <w:widowControl w:val="0"/>
              <w:spacing w:before="0" w:line="240" w:lineRule="auto"/>
              <w:rPr>
                <w:i/>
              </w:rPr>
            </w:pPr>
            <w:r>
              <w:rPr>
                <w:i/>
              </w:rPr>
              <w:t>Usuario estándar</w:t>
            </w:r>
          </w:p>
          <w:p w14:paraId="1E7F1315" w14:textId="77777777" w:rsidR="00F47E1E" w:rsidRDefault="0096342C">
            <w:pPr>
              <w:widowControl w:val="0"/>
              <w:numPr>
                <w:ilvl w:val="0"/>
                <w:numId w:val="4"/>
              </w:numPr>
              <w:spacing w:before="0" w:line="240" w:lineRule="auto"/>
              <w:rPr>
                <w:sz w:val="20"/>
                <w:szCs w:val="20"/>
              </w:rPr>
            </w:pPr>
            <w:r>
              <w:rPr>
                <w:sz w:val="20"/>
                <w:szCs w:val="20"/>
              </w:rPr>
              <w:t>Empleado</w:t>
            </w:r>
          </w:p>
          <w:p w14:paraId="0C0BCE0C" w14:textId="77777777" w:rsidR="00F47E1E" w:rsidRDefault="0096342C">
            <w:pPr>
              <w:widowControl w:val="0"/>
              <w:numPr>
                <w:ilvl w:val="0"/>
                <w:numId w:val="4"/>
              </w:numPr>
              <w:spacing w:before="0" w:line="240" w:lineRule="auto"/>
              <w:rPr>
                <w:sz w:val="20"/>
                <w:szCs w:val="20"/>
              </w:rPr>
            </w:pPr>
            <w:r>
              <w:rPr>
                <w:sz w:val="20"/>
                <w:szCs w:val="20"/>
              </w:rPr>
              <w:t>Cliente</w:t>
            </w:r>
          </w:p>
          <w:p w14:paraId="3BEC5C6E" w14:textId="77777777" w:rsidR="00F47E1E" w:rsidRDefault="0096342C">
            <w:pPr>
              <w:widowControl w:val="0"/>
              <w:spacing w:before="0" w:line="240" w:lineRule="auto"/>
            </w:pPr>
            <w:r>
              <w:rPr>
                <w:i/>
              </w:rPr>
              <w:t>Usuario privilegiado</w:t>
            </w:r>
          </w:p>
          <w:p w14:paraId="75A2B908" w14:textId="77777777" w:rsidR="00F47E1E" w:rsidRDefault="0096342C">
            <w:pPr>
              <w:widowControl w:val="0"/>
              <w:numPr>
                <w:ilvl w:val="0"/>
                <w:numId w:val="1"/>
              </w:numPr>
              <w:spacing w:before="0" w:line="240" w:lineRule="auto"/>
              <w:rPr>
                <w:sz w:val="20"/>
                <w:szCs w:val="20"/>
              </w:rPr>
            </w:pPr>
            <w:r>
              <w:rPr>
                <w:sz w:val="20"/>
                <w:szCs w:val="20"/>
              </w:rPr>
              <w:t>Administrador de sistemas</w:t>
            </w:r>
          </w:p>
          <w:p w14:paraId="7EA15646" w14:textId="77777777" w:rsidR="00F47E1E" w:rsidRDefault="0096342C">
            <w:pPr>
              <w:widowControl w:val="0"/>
              <w:spacing w:before="0" w:line="240" w:lineRule="auto"/>
              <w:rPr>
                <w:i/>
              </w:rPr>
            </w:pPr>
            <w:r>
              <w:rPr>
                <w:i/>
              </w:rPr>
              <w:t>Grupo</w:t>
            </w:r>
          </w:p>
          <w:p w14:paraId="0E77AAB4" w14:textId="77777777" w:rsidR="00F47E1E" w:rsidRDefault="0096342C">
            <w:pPr>
              <w:widowControl w:val="0"/>
              <w:numPr>
                <w:ilvl w:val="0"/>
                <w:numId w:val="3"/>
              </w:numPr>
              <w:spacing w:before="0" w:line="240" w:lineRule="auto"/>
              <w:rPr>
                <w:sz w:val="20"/>
                <w:szCs w:val="20"/>
              </w:rPr>
            </w:pPr>
            <w:r>
              <w:rPr>
                <w:i/>
                <w:sz w:val="20"/>
                <w:szCs w:val="20"/>
              </w:rPr>
              <w:t>Competidor</w:t>
            </w:r>
          </w:p>
          <w:p w14:paraId="1FDC64D4" w14:textId="77777777" w:rsidR="00F47E1E" w:rsidRDefault="0096342C">
            <w:pPr>
              <w:widowControl w:val="0"/>
              <w:numPr>
                <w:ilvl w:val="0"/>
                <w:numId w:val="3"/>
              </w:numPr>
              <w:spacing w:before="0" w:line="240" w:lineRule="auto"/>
              <w:rPr>
                <w:sz w:val="20"/>
                <w:szCs w:val="20"/>
              </w:rPr>
            </w:pPr>
            <w:r>
              <w:rPr>
                <w:sz w:val="20"/>
                <w:szCs w:val="20"/>
              </w:rPr>
              <w:t>Proveedor</w:t>
            </w:r>
          </w:p>
          <w:p w14:paraId="6514DDA6" w14:textId="77777777" w:rsidR="00F47E1E" w:rsidRDefault="0096342C">
            <w:pPr>
              <w:widowControl w:val="0"/>
              <w:numPr>
                <w:ilvl w:val="0"/>
                <w:numId w:val="3"/>
              </w:numPr>
              <w:spacing w:before="0" w:line="240" w:lineRule="auto"/>
              <w:rPr>
                <w:sz w:val="20"/>
                <w:szCs w:val="20"/>
              </w:rPr>
            </w:pPr>
            <w:r>
              <w:rPr>
                <w:sz w:val="20"/>
                <w:szCs w:val="20"/>
              </w:rPr>
              <w:t>Socio comercial</w:t>
            </w:r>
          </w:p>
          <w:p w14:paraId="6C8811D4" w14:textId="77777777" w:rsidR="00F47E1E" w:rsidRDefault="0096342C">
            <w:pPr>
              <w:widowControl w:val="0"/>
              <w:numPr>
                <w:ilvl w:val="0"/>
                <w:numId w:val="3"/>
              </w:numPr>
              <w:spacing w:before="0" w:line="240" w:lineRule="auto"/>
              <w:rPr>
                <w:sz w:val="18"/>
                <w:szCs w:val="18"/>
              </w:rPr>
            </w:pPr>
            <w:r>
              <w:rPr>
                <w:sz w:val="20"/>
                <w:szCs w:val="20"/>
              </w:rPr>
              <w:t>Estado nación</w:t>
            </w:r>
          </w:p>
          <w:p w14:paraId="3B20DAC4" w14:textId="77777777" w:rsidR="00F47E1E" w:rsidRDefault="0096342C">
            <w:pPr>
              <w:widowControl w:val="0"/>
              <w:spacing w:before="0" w:line="240" w:lineRule="auto"/>
              <w:rPr>
                <w:i/>
              </w:rPr>
            </w:pPr>
            <w:r>
              <w:rPr>
                <w:i/>
              </w:rPr>
              <w:t>Forastero</w:t>
            </w:r>
          </w:p>
          <w:p w14:paraId="767568A4" w14:textId="77777777" w:rsidR="00F47E1E" w:rsidRDefault="0096342C">
            <w:pPr>
              <w:widowControl w:val="0"/>
              <w:numPr>
                <w:ilvl w:val="0"/>
                <w:numId w:val="7"/>
              </w:numPr>
              <w:spacing w:before="0" w:line="240" w:lineRule="auto"/>
              <w:rPr>
                <w:sz w:val="20"/>
                <w:szCs w:val="20"/>
              </w:rPr>
            </w:pPr>
            <w:r>
              <w:rPr>
                <w:sz w:val="20"/>
                <w:szCs w:val="20"/>
              </w:rPr>
              <w:t>Hacker</w:t>
            </w:r>
          </w:p>
          <w:p w14:paraId="113C5ACF" w14:textId="77777777" w:rsidR="00F47E1E" w:rsidRDefault="0096342C">
            <w:pPr>
              <w:widowControl w:val="0"/>
              <w:numPr>
                <w:ilvl w:val="0"/>
                <w:numId w:val="7"/>
              </w:numPr>
              <w:spacing w:before="0" w:line="240" w:lineRule="auto"/>
              <w:rPr>
                <w:sz w:val="20"/>
                <w:szCs w:val="20"/>
              </w:rPr>
            </w:pPr>
            <w:r>
              <w:rPr>
                <w:sz w:val="20"/>
                <w:szCs w:val="20"/>
              </w:rPr>
              <w:t>Hacktivista</w:t>
            </w:r>
          </w:p>
          <w:p w14:paraId="53747B29" w14:textId="77777777" w:rsidR="00F47E1E" w:rsidRDefault="0096342C">
            <w:pPr>
              <w:widowControl w:val="0"/>
              <w:numPr>
                <w:ilvl w:val="0"/>
                <w:numId w:val="7"/>
              </w:numPr>
              <w:spacing w:before="0" w:line="240" w:lineRule="auto"/>
              <w:rPr>
                <w:sz w:val="20"/>
                <w:szCs w:val="20"/>
              </w:rPr>
            </w:pPr>
            <w:r>
              <w:rPr>
                <w:sz w:val="20"/>
                <w:szCs w:val="20"/>
              </w:rPr>
              <w:t>Amenaza persistente avanzada (APT)</w:t>
            </w:r>
          </w:p>
        </w:tc>
        <w:tc>
          <w:tcPr>
            <w:tcW w:w="5385" w:type="dxa"/>
            <w:shd w:val="clear" w:color="auto" w:fill="auto"/>
            <w:tcMar>
              <w:top w:w="100" w:type="dxa"/>
              <w:left w:w="100" w:type="dxa"/>
              <w:bottom w:w="100" w:type="dxa"/>
              <w:right w:w="100" w:type="dxa"/>
            </w:tcMar>
          </w:tcPr>
          <w:p w14:paraId="36A5A412" w14:textId="77777777" w:rsidR="00F47E1E" w:rsidRDefault="0096342C">
            <w:pPr>
              <w:widowControl w:val="0"/>
              <w:spacing w:before="0" w:line="240" w:lineRule="auto"/>
              <w:ind w:right="-45"/>
            </w:pPr>
            <w:r>
              <w:t>Amenazas que surgen de individuos o grupos que podrían explotar los recursos cibernéticos de manera intencional o accidental. Por ejemplo, pueden alterar los datos de una manera que afecte negativamente a la empresa. Alternativamente, podrían robar datos intencionalmente y dañar el equipo comercial.</w:t>
            </w:r>
          </w:p>
        </w:tc>
      </w:tr>
      <w:tr w:rsidR="00F47E1E" w14:paraId="4A5FBB90" w14:textId="77777777">
        <w:trPr>
          <w:trHeight w:val="2580"/>
        </w:trPr>
        <w:tc>
          <w:tcPr>
            <w:tcW w:w="900" w:type="dxa"/>
            <w:shd w:val="clear" w:color="auto" w:fill="D9D9D9"/>
            <w:tcMar>
              <w:top w:w="100" w:type="dxa"/>
              <w:left w:w="100" w:type="dxa"/>
              <w:bottom w:w="100" w:type="dxa"/>
              <w:right w:w="100" w:type="dxa"/>
            </w:tcMar>
            <w:vAlign w:val="center"/>
          </w:tcPr>
          <w:p w14:paraId="48F66596" w14:textId="77777777" w:rsidR="00F47E1E" w:rsidRDefault="0096342C">
            <w:pPr>
              <w:widowControl w:val="0"/>
              <w:spacing w:before="0" w:line="240" w:lineRule="auto"/>
              <w:ind w:right="-360"/>
            </w:pPr>
            <w:r>
              <w:rPr>
                <w:noProof/>
              </w:rPr>
              <mc:AlternateContent>
                <mc:Choice Requires="wpg">
                  <w:drawing>
                    <wp:inline distT="114300" distB="114300" distL="114300" distR="114300" wp14:anchorId="0DBFE9BA" wp14:editId="16762E3C">
                      <wp:extent cx="409575" cy="1390650"/>
                      <wp:effectExtent l="0" t="0" r="0" b="0"/>
                      <wp:docPr id="1" name="Cuadro de texto 1"/>
                      <wp:cNvGraphicFramePr/>
                      <a:graphic xmlns:a="http://schemas.openxmlformats.org/drawingml/2006/main">
                        <a:graphicData uri="http://schemas.microsoft.com/office/word/2010/wordprocessingShape">
                          <wps:wsp>
                            <wps:cNvSpPr txBox="1"/>
                            <wps:spPr>
                              <a:xfrm rot="-5400000">
                                <a:off x="-491850" y="491975"/>
                                <a:ext cx="1383900" cy="400200"/>
                              </a:xfrm>
                              <a:prstGeom prst="rect">
                                <a:avLst/>
                              </a:prstGeom>
                              <a:noFill/>
                              <a:ln>
                                <a:noFill/>
                              </a:ln>
                            </wps:spPr>
                            <wps:txbx>
                              <w:txbxContent>
                                <w:p w14:paraId="746C44F3" w14:textId="77777777" w:rsidR="00F47E1E" w:rsidRDefault="0096342C">
                                  <w:pPr>
                                    <w:spacing w:before="0" w:line="240" w:lineRule="auto"/>
                                    <w:jc w:val="center"/>
                                    <w:textDirection w:val="btLr"/>
                                  </w:pPr>
                                  <w:r>
                                    <w:rPr>
                                      <w:b/>
                                      <w:color w:val="000000"/>
                                      <w:sz w:val="28"/>
                                    </w:rPr>
                                    <w:t>Tecnológico</w:t>
                                  </w:r>
                                </w:p>
                              </w:txbxContent>
                            </wps:txbx>
                            <wps:bodyPr spcFirstLastPara="1" wrap="square" lIns="91425" tIns="91425" rIns="91425" bIns="91425" anchor="t" anchorCtr="0">
                              <a:sp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T="114300" distB="114300" distL="114300" distR="114300">
                      <wp:extent cx="409575" cy="1390650"/>
                      <wp:effectExtent l="0" t="0" r="0" b="0"/>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409575" cy="1390650"/>
                              </a:xfrm>
                              <a:prstGeom prst="rect"/>
                              <a:ln/>
                            </pic:spPr>
                          </pic:pic>
                        </a:graphicData>
                      </a:graphic>
                    </wp:inline>
                  </w:drawing>
                </mc:Fallback>
              </mc:AlternateContent>
            </w:r>
          </w:p>
        </w:tc>
        <w:tc>
          <w:tcPr>
            <w:tcW w:w="3810" w:type="dxa"/>
            <w:shd w:val="clear" w:color="auto" w:fill="auto"/>
            <w:tcMar>
              <w:top w:w="100" w:type="dxa"/>
              <w:left w:w="100" w:type="dxa"/>
              <w:bottom w:w="100" w:type="dxa"/>
              <w:right w:w="100" w:type="dxa"/>
            </w:tcMar>
          </w:tcPr>
          <w:p w14:paraId="2FA4161E" w14:textId="77777777" w:rsidR="00F47E1E" w:rsidRDefault="0096342C">
            <w:pPr>
              <w:widowControl w:val="0"/>
              <w:spacing w:before="0" w:line="240" w:lineRule="auto"/>
              <w:rPr>
                <w:i/>
              </w:rPr>
            </w:pPr>
            <w:r>
              <w:rPr>
                <w:i/>
              </w:rPr>
              <w:t>Hardware</w:t>
            </w:r>
          </w:p>
          <w:p w14:paraId="44F14295" w14:textId="77777777" w:rsidR="00F47E1E" w:rsidRDefault="0096342C">
            <w:pPr>
              <w:widowControl w:val="0"/>
              <w:numPr>
                <w:ilvl w:val="0"/>
                <w:numId w:val="2"/>
              </w:numPr>
              <w:spacing w:before="0" w:line="240" w:lineRule="auto"/>
              <w:rPr>
                <w:sz w:val="20"/>
                <w:szCs w:val="20"/>
              </w:rPr>
            </w:pPr>
            <w:r>
              <w:rPr>
                <w:sz w:val="20"/>
                <w:szCs w:val="20"/>
              </w:rPr>
              <w:t>Almacenamiento</w:t>
            </w:r>
          </w:p>
          <w:p w14:paraId="7694251E" w14:textId="77777777" w:rsidR="00F47E1E" w:rsidRDefault="0096342C">
            <w:pPr>
              <w:widowControl w:val="0"/>
              <w:numPr>
                <w:ilvl w:val="0"/>
                <w:numId w:val="2"/>
              </w:numPr>
              <w:spacing w:before="0" w:line="240" w:lineRule="auto"/>
              <w:rPr>
                <w:sz w:val="20"/>
                <w:szCs w:val="20"/>
              </w:rPr>
            </w:pPr>
            <w:r>
              <w:rPr>
                <w:sz w:val="20"/>
                <w:szCs w:val="20"/>
              </w:rPr>
              <w:t>Tratamiento</w:t>
            </w:r>
          </w:p>
          <w:p w14:paraId="2C60EBAE" w14:textId="77777777" w:rsidR="00F47E1E" w:rsidRDefault="0096342C">
            <w:pPr>
              <w:widowControl w:val="0"/>
              <w:numPr>
                <w:ilvl w:val="0"/>
                <w:numId w:val="2"/>
              </w:numPr>
              <w:spacing w:before="0" w:line="240" w:lineRule="auto"/>
              <w:rPr>
                <w:sz w:val="20"/>
                <w:szCs w:val="20"/>
              </w:rPr>
            </w:pPr>
            <w:r>
              <w:rPr>
                <w:sz w:val="20"/>
                <w:szCs w:val="20"/>
              </w:rPr>
              <w:t>Comunicaciones</w:t>
            </w:r>
          </w:p>
          <w:p w14:paraId="1D3E4EC0" w14:textId="77777777" w:rsidR="00F47E1E" w:rsidRDefault="0096342C">
            <w:pPr>
              <w:widowControl w:val="0"/>
              <w:spacing w:before="0" w:line="240" w:lineRule="auto"/>
              <w:rPr>
                <w:i/>
              </w:rPr>
            </w:pPr>
            <w:r>
              <w:rPr>
                <w:i/>
              </w:rPr>
              <w:t>Software</w:t>
            </w:r>
          </w:p>
          <w:p w14:paraId="7A5FDBBC" w14:textId="77777777" w:rsidR="00F47E1E" w:rsidRDefault="0096342C">
            <w:pPr>
              <w:widowControl w:val="0"/>
              <w:numPr>
                <w:ilvl w:val="0"/>
                <w:numId w:val="6"/>
              </w:numPr>
              <w:spacing w:before="0" w:line="240" w:lineRule="auto"/>
              <w:rPr>
                <w:sz w:val="20"/>
                <w:szCs w:val="20"/>
              </w:rPr>
            </w:pPr>
            <w:r>
              <w:rPr>
                <w:i/>
                <w:sz w:val="20"/>
                <w:szCs w:val="20"/>
              </w:rPr>
              <w:t>Sistema(s) operativo(s)</w:t>
            </w:r>
          </w:p>
          <w:p w14:paraId="4A7DC025" w14:textId="77777777" w:rsidR="00F47E1E" w:rsidRDefault="0096342C">
            <w:pPr>
              <w:widowControl w:val="0"/>
              <w:numPr>
                <w:ilvl w:val="0"/>
                <w:numId w:val="6"/>
              </w:numPr>
              <w:spacing w:before="0" w:line="240" w:lineRule="auto"/>
              <w:rPr>
                <w:sz w:val="20"/>
                <w:szCs w:val="20"/>
              </w:rPr>
            </w:pPr>
            <w:r>
              <w:rPr>
                <w:sz w:val="20"/>
                <w:szCs w:val="20"/>
              </w:rPr>
              <w:t>Gestión de redes</w:t>
            </w:r>
          </w:p>
          <w:p w14:paraId="5541273A" w14:textId="77777777" w:rsidR="00F47E1E" w:rsidRDefault="0096342C">
            <w:pPr>
              <w:widowControl w:val="0"/>
              <w:numPr>
                <w:ilvl w:val="0"/>
                <w:numId w:val="6"/>
              </w:numPr>
              <w:spacing w:before="0" w:line="240" w:lineRule="auto"/>
              <w:rPr>
                <w:sz w:val="20"/>
                <w:szCs w:val="20"/>
              </w:rPr>
            </w:pPr>
            <w:r>
              <w:rPr>
                <w:sz w:val="20"/>
                <w:szCs w:val="20"/>
              </w:rPr>
              <w:t>Software malintencionado</w:t>
            </w:r>
          </w:p>
        </w:tc>
        <w:tc>
          <w:tcPr>
            <w:tcW w:w="5385" w:type="dxa"/>
            <w:shd w:val="clear" w:color="auto" w:fill="auto"/>
            <w:tcMar>
              <w:top w:w="100" w:type="dxa"/>
              <w:left w:w="100" w:type="dxa"/>
              <w:bottom w:w="100" w:type="dxa"/>
              <w:right w:w="100" w:type="dxa"/>
            </w:tcMar>
          </w:tcPr>
          <w:p w14:paraId="3F8AC977" w14:textId="77777777" w:rsidR="00F47E1E" w:rsidRDefault="0096342C">
            <w:pPr>
              <w:widowControl w:val="0"/>
              <w:spacing w:before="0" w:line="240" w:lineRule="auto"/>
              <w:ind w:right="-45"/>
            </w:pPr>
            <w:r>
              <w:t>Amenazas que se originan en factores no humanos. Por ejemplo, fallos de los equipos debido a la antigüedad, el agotamiento de los recursos u otras circunstancias.</w:t>
            </w:r>
          </w:p>
        </w:tc>
      </w:tr>
      <w:tr w:rsidR="00F47E1E" w14:paraId="4E9000D5" w14:textId="77777777">
        <w:tc>
          <w:tcPr>
            <w:tcW w:w="900" w:type="dxa"/>
            <w:shd w:val="clear" w:color="auto" w:fill="D9D9D9"/>
            <w:tcMar>
              <w:top w:w="100" w:type="dxa"/>
              <w:left w:w="100" w:type="dxa"/>
              <w:bottom w:w="100" w:type="dxa"/>
              <w:right w:w="100" w:type="dxa"/>
            </w:tcMar>
            <w:vAlign w:val="center"/>
          </w:tcPr>
          <w:p w14:paraId="55AB5B47" w14:textId="77777777" w:rsidR="00F47E1E" w:rsidRDefault="0096342C">
            <w:pPr>
              <w:widowControl w:val="0"/>
              <w:spacing w:before="0" w:line="240" w:lineRule="auto"/>
              <w:ind w:right="-120"/>
            </w:pPr>
            <w:r>
              <w:rPr>
                <w:noProof/>
              </w:rPr>
              <mc:AlternateContent>
                <mc:Choice Requires="wpg">
                  <w:drawing>
                    <wp:inline distT="114300" distB="114300" distL="114300" distR="114300" wp14:anchorId="4ED866F9" wp14:editId="5EF33A9E">
                      <wp:extent cx="409575" cy="1495425"/>
                      <wp:effectExtent l="0" t="0" r="0" b="0"/>
                      <wp:docPr id="3" name="Cuadro de texto 3"/>
                      <wp:cNvGraphicFramePr/>
                      <a:graphic xmlns:a="http://schemas.openxmlformats.org/drawingml/2006/main">
                        <a:graphicData uri="http://schemas.microsoft.com/office/word/2010/wordprocessingShape">
                          <wps:wsp>
                            <wps:cNvSpPr txBox="1"/>
                            <wps:spPr>
                              <a:xfrm rot="-5400000">
                                <a:off x="-543000" y="543075"/>
                                <a:ext cx="1486200" cy="400200"/>
                              </a:xfrm>
                              <a:prstGeom prst="rect">
                                <a:avLst/>
                              </a:prstGeom>
                              <a:noFill/>
                              <a:ln>
                                <a:noFill/>
                              </a:ln>
                            </wps:spPr>
                            <wps:txbx>
                              <w:txbxContent>
                                <w:p w14:paraId="65E45C57" w14:textId="77777777" w:rsidR="00F47E1E" w:rsidRDefault="0096342C">
                                  <w:pPr>
                                    <w:spacing w:before="0" w:line="240" w:lineRule="auto"/>
                                    <w:jc w:val="center"/>
                                    <w:textDirection w:val="btLr"/>
                                  </w:pPr>
                                  <w:r>
                                    <w:rPr>
                                      <w:b/>
                                      <w:color w:val="000000"/>
                                      <w:sz w:val="28"/>
                                    </w:rPr>
                                    <w:t>Medioambiental</w:t>
                                  </w:r>
                                </w:p>
                              </w:txbxContent>
                            </wps:txbx>
                            <wps:bodyPr spcFirstLastPara="1" wrap="square" lIns="91425" tIns="91425" rIns="91425" bIns="91425" anchor="t" anchorCtr="0">
                              <a:sp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T="114300" distB="114300" distL="114300" distR="114300">
                      <wp:extent cx="409575" cy="1495425"/>
                      <wp:effectExtent l="0" t="0" r="0" b="0"/>
                      <wp:docPr id="3"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409575" cy="1495425"/>
                              </a:xfrm>
                              <a:prstGeom prst="rect"/>
                              <a:ln/>
                            </pic:spPr>
                          </pic:pic>
                        </a:graphicData>
                      </a:graphic>
                    </wp:inline>
                  </w:drawing>
                </mc:Fallback>
              </mc:AlternateContent>
            </w:r>
          </w:p>
        </w:tc>
        <w:tc>
          <w:tcPr>
            <w:tcW w:w="3810" w:type="dxa"/>
            <w:shd w:val="clear" w:color="auto" w:fill="auto"/>
            <w:tcMar>
              <w:top w:w="100" w:type="dxa"/>
              <w:left w:w="100" w:type="dxa"/>
              <w:bottom w:w="100" w:type="dxa"/>
              <w:right w:w="100" w:type="dxa"/>
            </w:tcMar>
          </w:tcPr>
          <w:p w14:paraId="29D99613" w14:textId="77777777" w:rsidR="00F47E1E" w:rsidRDefault="0096342C">
            <w:pPr>
              <w:widowControl w:val="0"/>
              <w:spacing w:before="0" w:line="240" w:lineRule="auto"/>
              <w:rPr>
                <w:i/>
              </w:rPr>
            </w:pPr>
            <w:r>
              <w:rPr>
                <w:i/>
              </w:rPr>
              <w:t>Entorno operativo</w:t>
            </w:r>
          </w:p>
          <w:p w14:paraId="1B5F243B" w14:textId="77777777" w:rsidR="00F47E1E" w:rsidRDefault="0096342C">
            <w:pPr>
              <w:widowControl w:val="0"/>
              <w:numPr>
                <w:ilvl w:val="0"/>
                <w:numId w:val="5"/>
              </w:numPr>
              <w:spacing w:before="0" w:line="240" w:lineRule="auto"/>
              <w:rPr>
                <w:sz w:val="20"/>
                <w:szCs w:val="20"/>
              </w:rPr>
            </w:pPr>
            <w:r>
              <w:rPr>
                <w:sz w:val="20"/>
                <w:szCs w:val="20"/>
              </w:rPr>
              <w:t>Controles de temperatura</w:t>
            </w:r>
          </w:p>
          <w:p w14:paraId="2BFDB04B" w14:textId="77777777" w:rsidR="00F47E1E" w:rsidRDefault="0096342C">
            <w:pPr>
              <w:widowControl w:val="0"/>
              <w:numPr>
                <w:ilvl w:val="0"/>
                <w:numId w:val="5"/>
              </w:numPr>
              <w:spacing w:before="0" w:line="240" w:lineRule="auto"/>
              <w:rPr>
                <w:sz w:val="20"/>
                <w:szCs w:val="20"/>
              </w:rPr>
            </w:pPr>
            <w:r>
              <w:rPr>
                <w:sz w:val="20"/>
                <w:szCs w:val="20"/>
              </w:rPr>
              <w:t>Controles de humedad</w:t>
            </w:r>
          </w:p>
          <w:p w14:paraId="3E610450" w14:textId="77777777" w:rsidR="00F47E1E" w:rsidRDefault="0096342C">
            <w:pPr>
              <w:widowControl w:val="0"/>
              <w:numPr>
                <w:ilvl w:val="0"/>
                <w:numId w:val="5"/>
              </w:numPr>
              <w:spacing w:before="0" w:line="240" w:lineRule="auto"/>
              <w:rPr>
                <w:sz w:val="20"/>
                <w:szCs w:val="20"/>
              </w:rPr>
            </w:pPr>
            <w:r>
              <w:rPr>
                <w:sz w:val="20"/>
                <w:szCs w:val="20"/>
              </w:rPr>
              <w:t>Fuentes de alimentación defectuosas</w:t>
            </w:r>
          </w:p>
          <w:p w14:paraId="2AEF4D73" w14:textId="77777777" w:rsidR="00F47E1E" w:rsidRDefault="0096342C">
            <w:pPr>
              <w:widowControl w:val="0"/>
              <w:spacing w:before="0" w:line="240" w:lineRule="auto"/>
              <w:rPr>
                <w:i/>
              </w:rPr>
            </w:pPr>
            <w:r>
              <w:rPr>
                <w:i/>
              </w:rPr>
              <w:t>Peligros naturales</w:t>
            </w:r>
          </w:p>
          <w:p w14:paraId="397B0D32" w14:textId="77777777" w:rsidR="00F47E1E" w:rsidRDefault="0096342C">
            <w:pPr>
              <w:widowControl w:val="0"/>
              <w:numPr>
                <w:ilvl w:val="0"/>
                <w:numId w:val="4"/>
              </w:numPr>
              <w:spacing w:before="0" w:line="240" w:lineRule="auto"/>
              <w:rPr>
                <w:sz w:val="20"/>
                <w:szCs w:val="20"/>
              </w:rPr>
            </w:pPr>
            <w:r>
              <w:rPr>
                <w:sz w:val="20"/>
                <w:szCs w:val="20"/>
              </w:rPr>
              <w:t>Cortes de energía</w:t>
            </w:r>
          </w:p>
          <w:p w14:paraId="40B5F787" w14:textId="77777777" w:rsidR="00F47E1E" w:rsidRDefault="0096342C">
            <w:pPr>
              <w:widowControl w:val="0"/>
              <w:numPr>
                <w:ilvl w:val="0"/>
                <w:numId w:val="4"/>
              </w:numPr>
              <w:spacing w:before="0" w:line="240" w:lineRule="auto"/>
              <w:rPr>
                <w:sz w:val="20"/>
                <w:szCs w:val="20"/>
              </w:rPr>
            </w:pPr>
            <w:r>
              <w:rPr>
                <w:sz w:val="20"/>
                <w:szCs w:val="20"/>
              </w:rPr>
              <w:t>Fenómenos meteorológicos extremos</w:t>
            </w:r>
          </w:p>
        </w:tc>
        <w:tc>
          <w:tcPr>
            <w:tcW w:w="5385" w:type="dxa"/>
            <w:shd w:val="clear" w:color="auto" w:fill="auto"/>
            <w:tcMar>
              <w:top w:w="100" w:type="dxa"/>
              <w:left w:w="100" w:type="dxa"/>
              <w:bottom w:w="100" w:type="dxa"/>
              <w:right w:w="100" w:type="dxa"/>
            </w:tcMar>
          </w:tcPr>
          <w:p w14:paraId="1FE5D102" w14:textId="77777777" w:rsidR="00F47E1E" w:rsidRDefault="0096342C">
            <w:pPr>
              <w:widowControl w:val="0"/>
              <w:spacing w:before="0" w:line="240" w:lineRule="auto"/>
              <w:ind w:right="-45"/>
            </w:pPr>
            <w:r>
              <w:t>Amenazas que surgen de factores accidentales no humanos. Por ejemplo, fallos de equipos causados por el entorno operativo.</w:t>
            </w:r>
          </w:p>
        </w:tc>
      </w:tr>
    </w:tbl>
    <w:p w14:paraId="057CD3AF" w14:textId="77777777" w:rsidR="00F47E1E" w:rsidRDefault="00F47E1E">
      <w:pPr>
        <w:ind w:left="-360" w:right="-360"/>
        <w:rPr>
          <w:color w:val="000000"/>
        </w:rPr>
      </w:pPr>
    </w:p>
    <w:p w14:paraId="20D18E0F" w14:textId="77777777" w:rsidR="00F47E1E" w:rsidRDefault="00F47E1E">
      <w:pPr>
        <w:spacing w:before="0" w:line="360" w:lineRule="auto"/>
        <w:ind w:left="-360" w:right="-360"/>
        <w:rPr>
          <w:color w:val="000000"/>
        </w:rPr>
      </w:pPr>
    </w:p>
    <w:p w14:paraId="224392BE" w14:textId="77777777" w:rsidR="00F47E1E" w:rsidRDefault="0096342C">
      <w:pPr>
        <w:pStyle w:val="Ttulo3"/>
        <w:spacing w:before="0" w:line="360" w:lineRule="auto"/>
        <w:ind w:left="-360" w:right="-360"/>
        <w:rPr>
          <w:b/>
          <w:color w:val="000000"/>
        </w:rPr>
      </w:pPr>
      <w:bookmarkStart w:id="3" w:name="_nflw24qpcagu" w:colFirst="0" w:colLast="0"/>
      <w:bookmarkEnd w:id="3"/>
      <w:r>
        <w:rPr>
          <w:b/>
          <w:color w:val="000000"/>
        </w:rPr>
        <w:t>Eventos de amenaza</w:t>
      </w:r>
    </w:p>
    <w:p w14:paraId="15614CD5" w14:textId="77777777" w:rsidR="00F47E1E" w:rsidRDefault="0096342C">
      <w:pPr>
        <w:ind w:left="-360" w:right="-360"/>
      </w:pPr>
      <w:r>
        <w:rPr>
          <w:color w:val="000000"/>
        </w:rPr>
        <w:t xml:space="preserve">NIST SP 800-30 define y categoriza los eventos de amenaza como instancias reales en las que una fuente de amenaza explota una vulnerabilidad y causa daños o perjuicios a los sistemas de información de una organización. Esta información es útil para obtener información sobre los tipos de riesgos a los que se enfrentan los activos. Se pueden identificar controles y contramedidas más efectivos mediante la comprensión de posibles eventos de amenazas, </w:t>
      </w:r>
    </w:p>
    <w:p w14:paraId="50CD37A2" w14:textId="77777777" w:rsidR="00F47E1E" w:rsidRDefault="0096342C">
      <w:pPr>
        <w:ind w:left="-360" w:right="-360"/>
        <w:rPr>
          <w:color w:val="000000"/>
        </w:rPr>
      </w:pPr>
      <w:r>
        <w:rPr>
          <w:b/>
          <w:color w:val="000000"/>
        </w:rPr>
        <w:lastRenderedPageBreak/>
        <w:t>Nota:</w:t>
      </w:r>
      <w:r>
        <w:rPr>
          <w:color w:val="000000"/>
        </w:rPr>
        <w:t xml:space="preserve"> En la siguiente tabla se enumeran solo algunos posibles </w:t>
      </w:r>
      <w:r>
        <w:rPr>
          <w:i/>
          <w:color w:val="000000"/>
        </w:rPr>
        <w:t>eventos de amenaza</w:t>
      </w:r>
      <w:r>
        <w:rPr>
          <w:color w:val="000000"/>
        </w:rPr>
        <w:t xml:space="preserve"> que podrían poner en peligro un servidor de base de datos de acceso público.</w:t>
      </w:r>
    </w:p>
    <w:p w14:paraId="6BDC1ACA" w14:textId="77777777" w:rsidR="00F47E1E" w:rsidRDefault="00F47E1E">
      <w:pPr>
        <w:spacing w:before="0" w:line="360" w:lineRule="auto"/>
        <w:ind w:left="-360" w:right="-360"/>
        <w:rPr>
          <w:color w:val="000000"/>
        </w:rPr>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32"/>
        <w:gridCol w:w="5033"/>
      </w:tblGrid>
      <w:tr w:rsidR="00F47E1E" w14:paraId="5E710B70" w14:textId="77777777">
        <w:trPr>
          <w:trHeight w:val="600"/>
        </w:trPr>
        <w:tc>
          <w:tcPr>
            <w:tcW w:w="5032" w:type="dxa"/>
            <w:shd w:val="clear" w:color="auto" w:fill="auto"/>
            <w:tcMar>
              <w:top w:w="100" w:type="dxa"/>
              <w:left w:w="100" w:type="dxa"/>
              <w:bottom w:w="100" w:type="dxa"/>
              <w:right w:w="100" w:type="dxa"/>
            </w:tcMar>
          </w:tcPr>
          <w:p w14:paraId="75FCA886" w14:textId="77777777" w:rsidR="00F47E1E" w:rsidRDefault="0096342C">
            <w:pPr>
              <w:spacing w:before="0" w:line="276" w:lineRule="auto"/>
              <w:ind w:right="-30"/>
              <w:rPr>
                <w:b/>
                <w:color w:val="000000"/>
              </w:rPr>
            </w:pPr>
            <w:r>
              <w:rPr>
                <w:b/>
                <w:color w:val="000000"/>
              </w:rPr>
              <w:t>Ejemplos</w:t>
            </w:r>
          </w:p>
        </w:tc>
        <w:tc>
          <w:tcPr>
            <w:tcW w:w="5032" w:type="dxa"/>
            <w:shd w:val="clear" w:color="auto" w:fill="auto"/>
            <w:tcMar>
              <w:top w:w="100" w:type="dxa"/>
              <w:left w:w="100" w:type="dxa"/>
              <w:bottom w:w="100" w:type="dxa"/>
              <w:right w:w="100" w:type="dxa"/>
            </w:tcMar>
          </w:tcPr>
          <w:p w14:paraId="78DA014E" w14:textId="77777777" w:rsidR="00F47E1E" w:rsidRDefault="0096342C">
            <w:pPr>
              <w:spacing w:before="0" w:line="276" w:lineRule="auto"/>
              <w:ind w:right="-30"/>
              <w:rPr>
                <w:b/>
                <w:color w:val="000000"/>
              </w:rPr>
            </w:pPr>
            <w:r>
              <w:rPr>
                <w:b/>
                <w:color w:val="000000"/>
              </w:rPr>
              <w:t>Descripción</w:t>
            </w:r>
          </w:p>
        </w:tc>
      </w:tr>
      <w:tr w:rsidR="00F47E1E" w14:paraId="33A1F382" w14:textId="77777777">
        <w:trPr>
          <w:trHeight w:val="600"/>
        </w:trPr>
        <w:tc>
          <w:tcPr>
            <w:tcW w:w="5032" w:type="dxa"/>
            <w:shd w:val="clear" w:color="auto" w:fill="auto"/>
            <w:tcMar>
              <w:top w:w="100" w:type="dxa"/>
              <w:left w:w="100" w:type="dxa"/>
              <w:bottom w:w="100" w:type="dxa"/>
              <w:right w:w="100" w:type="dxa"/>
            </w:tcMar>
          </w:tcPr>
          <w:p w14:paraId="31D0BC80" w14:textId="77777777" w:rsidR="00F47E1E" w:rsidRDefault="0096342C">
            <w:pPr>
              <w:spacing w:before="0" w:line="276" w:lineRule="auto"/>
              <w:ind w:right="-30"/>
              <w:rPr>
                <w:color w:val="000000"/>
              </w:rPr>
            </w:pPr>
            <w:r>
              <w:rPr>
                <w:color w:val="000000"/>
              </w:rPr>
              <w:t>Realizar el reconocimiento y la vigilancia de la organización</w:t>
            </w:r>
          </w:p>
        </w:tc>
        <w:tc>
          <w:tcPr>
            <w:tcW w:w="5032" w:type="dxa"/>
            <w:shd w:val="clear" w:color="auto" w:fill="auto"/>
            <w:tcMar>
              <w:top w:w="100" w:type="dxa"/>
              <w:left w:w="100" w:type="dxa"/>
              <w:bottom w:w="100" w:type="dxa"/>
              <w:right w:w="100" w:type="dxa"/>
            </w:tcMar>
          </w:tcPr>
          <w:p w14:paraId="2FDC5B29" w14:textId="77777777" w:rsidR="00F47E1E" w:rsidRDefault="0096342C">
            <w:pPr>
              <w:spacing w:before="0" w:line="276" w:lineRule="auto"/>
              <w:ind w:right="-30"/>
              <w:rPr>
                <w:color w:val="000000"/>
              </w:rPr>
            </w:pPr>
            <w:r>
              <w:rPr>
                <w:color w:val="000000"/>
              </w:rPr>
              <w:t>La fuente de amenazas examina y evalúa las vulnerabilidades de la empresa a lo largo del tiempo utilizando varias herramientas (por ejemplo, escaneo, observación física).</w:t>
            </w:r>
          </w:p>
        </w:tc>
      </w:tr>
      <w:tr w:rsidR="00F47E1E" w14:paraId="12B0B94F" w14:textId="77777777">
        <w:trPr>
          <w:trHeight w:val="600"/>
        </w:trPr>
        <w:tc>
          <w:tcPr>
            <w:tcW w:w="5032" w:type="dxa"/>
            <w:shd w:val="clear" w:color="auto" w:fill="auto"/>
            <w:tcMar>
              <w:top w:w="100" w:type="dxa"/>
              <w:left w:w="100" w:type="dxa"/>
              <w:bottom w:w="100" w:type="dxa"/>
              <w:right w:w="100" w:type="dxa"/>
            </w:tcMar>
          </w:tcPr>
          <w:p w14:paraId="6707A43B" w14:textId="77777777" w:rsidR="00F47E1E" w:rsidRDefault="0096342C">
            <w:pPr>
              <w:spacing w:before="0" w:line="276" w:lineRule="auto"/>
              <w:ind w:right="-30"/>
              <w:rPr>
                <w:color w:val="000000"/>
              </w:rPr>
            </w:pPr>
            <w:r>
              <w:rPr>
                <w:color w:val="000000"/>
              </w:rPr>
              <w:t>Obtener información confidencial a través de la exfiltración</w:t>
            </w:r>
          </w:p>
        </w:tc>
        <w:tc>
          <w:tcPr>
            <w:tcW w:w="5032" w:type="dxa"/>
            <w:shd w:val="clear" w:color="auto" w:fill="auto"/>
            <w:tcMar>
              <w:top w:w="100" w:type="dxa"/>
              <w:left w:w="100" w:type="dxa"/>
              <w:bottom w:w="100" w:type="dxa"/>
              <w:right w:w="100" w:type="dxa"/>
            </w:tcMar>
          </w:tcPr>
          <w:p w14:paraId="2B345BC1" w14:textId="77777777" w:rsidR="00F47E1E" w:rsidRDefault="0096342C">
            <w:pPr>
              <w:spacing w:before="0" w:line="276" w:lineRule="auto"/>
              <w:ind w:right="-30"/>
              <w:rPr>
                <w:color w:val="000000"/>
              </w:rPr>
            </w:pPr>
            <w:r>
              <w:rPr>
                <w:color w:val="000000"/>
              </w:rPr>
              <w:t>La fuente de amenazas instala software malintencionado en los sistemas de la organización para localizar y adquirir información confidencial.</w:t>
            </w:r>
          </w:p>
        </w:tc>
      </w:tr>
      <w:tr w:rsidR="00F47E1E" w14:paraId="0E1C698C" w14:textId="77777777">
        <w:trPr>
          <w:trHeight w:val="600"/>
        </w:trPr>
        <w:tc>
          <w:tcPr>
            <w:tcW w:w="5032" w:type="dxa"/>
            <w:shd w:val="clear" w:color="auto" w:fill="auto"/>
            <w:tcMar>
              <w:top w:w="100" w:type="dxa"/>
              <w:left w:w="100" w:type="dxa"/>
              <w:bottom w:w="100" w:type="dxa"/>
              <w:right w:w="100" w:type="dxa"/>
            </w:tcMar>
          </w:tcPr>
          <w:p w14:paraId="20C1B609" w14:textId="77777777" w:rsidR="00F47E1E" w:rsidRDefault="0096342C">
            <w:pPr>
              <w:spacing w:before="0" w:line="276" w:lineRule="auto"/>
              <w:ind w:right="-30"/>
              <w:rPr>
                <w:color w:val="000000"/>
              </w:rPr>
            </w:pPr>
            <w:r>
              <w:rPr>
                <w:color w:val="000000"/>
              </w:rPr>
              <w:t>Modificar/Eliminar información crítica</w:t>
            </w:r>
          </w:p>
        </w:tc>
        <w:tc>
          <w:tcPr>
            <w:tcW w:w="5032" w:type="dxa"/>
            <w:shd w:val="clear" w:color="auto" w:fill="auto"/>
            <w:tcMar>
              <w:top w:w="100" w:type="dxa"/>
              <w:left w:w="100" w:type="dxa"/>
              <w:bottom w:w="100" w:type="dxa"/>
              <w:right w:w="100" w:type="dxa"/>
            </w:tcMar>
          </w:tcPr>
          <w:p w14:paraId="427142CC" w14:textId="77777777" w:rsidR="00F47E1E" w:rsidRDefault="0096342C">
            <w:pPr>
              <w:spacing w:before="0" w:line="276" w:lineRule="auto"/>
              <w:ind w:right="-30"/>
              <w:rPr>
                <w:color w:val="000000"/>
              </w:rPr>
            </w:pPr>
            <w:r>
              <w:rPr>
                <w:color w:val="000000"/>
              </w:rPr>
              <w:t>El origen de la amenaza altera o elimina datos que son críticos para las operaciones comerciales diarias.</w:t>
            </w:r>
          </w:p>
        </w:tc>
      </w:tr>
      <w:tr w:rsidR="00F47E1E" w14:paraId="55F91B27" w14:textId="77777777">
        <w:trPr>
          <w:trHeight w:val="600"/>
        </w:trPr>
        <w:tc>
          <w:tcPr>
            <w:tcW w:w="5032" w:type="dxa"/>
            <w:shd w:val="clear" w:color="auto" w:fill="auto"/>
            <w:tcMar>
              <w:top w:w="100" w:type="dxa"/>
              <w:left w:w="100" w:type="dxa"/>
              <w:bottom w:w="100" w:type="dxa"/>
              <w:right w:w="100" w:type="dxa"/>
            </w:tcMar>
          </w:tcPr>
          <w:p w14:paraId="7309E6BD" w14:textId="77777777" w:rsidR="00F47E1E" w:rsidRDefault="0096342C">
            <w:pPr>
              <w:spacing w:before="0" w:line="276" w:lineRule="auto"/>
              <w:ind w:right="-30"/>
              <w:rPr>
                <w:color w:val="000000"/>
              </w:rPr>
            </w:pPr>
            <w:r>
              <w:rPr>
                <w:color w:val="000000"/>
              </w:rPr>
              <w:t>Elabora certificados falsos.</w:t>
            </w:r>
          </w:p>
        </w:tc>
        <w:tc>
          <w:tcPr>
            <w:tcW w:w="5032" w:type="dxa"/>
            <w:shd w:val="clear" w:color="auto" w:fill="auto"/>
            <w:tcMar>
              <w:top w:w="100" w:type="dxa"/>
              <w:left w:w="100" w:type="dxa"/>
              <w:bottom w:w="100" w:type="dxa"/>
              <w:right w:w="100" w:type="dxa"/>
            </w:tcMar>
          </w:tcPr>
          <w:p w14:paraId="5DE5DA6B" w14:textId="77777777" w:rsidR="00F47E1E" w:rsidRDefault="0096342C">
            <w:pPr>
              <w:spacing w:before="0" w:line="276" w:lineRule="auto"/>
              <w:ind w:right="-30"/>
              <w:rPr>
                <w:color w:val="000000"/>
              </w:rPr>
            </w:pPr>
            <w:r>
              <w:rPr>
                <w:color w:val="000000"/>
              </w:rPr>
              <w:t>El origen de la amenaza compromete una autoridad de certificación para que sus conexiones parezcan legítimas.</w:t>
            </w:r>
          </w:p>
        </w:tc>
      </w:tr>
      <w:tr w:rsidR="00F47E1E" w14:paraId="51DDC498" w14:textId="77777777">
        <w:trPr>
          <w:trHeight w:val="600"/>
        </w:trPr>
        <w:tc>
          <w:tcPr>
            <w:tcW w:w="5032" w:type="dxa"/>
            <w:shd w:val="clear" w:color="auto" w:fill="auto"/>
            <w:tcMar>
              <w:top w:w="100" w:type="dxa"/>
              <w:left w:w="100" w:type="dxa"/>
              <w:bottom w:w="100" w:type="dxa"/>
              <w:right w:w="100" w:type="dxa"/>
            </w:tcMar>
          </w:tcPr>
          <w:p w14:paraId="509390AB" w14:textId="77777777" w:rsidR="00F47E1E" w:rsidRDefault="0096342C">
            <w:pPr>
              <w:spacing w:before="0" w:line="276" w:lineRule="auto"/>
              <w:ind w:right="-30"/>
              <w:rPr>
                <w:color w:val="000000"/>
              </w:rPr>
            </w:pPr>
            <w:r>
              <w:rPr>
                <w:color w:val="000000"/>
              </w:rPr>
              <w:t>Instale rastreadores de red persistentes y dirigidos en los sistemas de información de la organización.</w:t>
            </w:r>
          </w:p>
        </w:tc>
        <w:tc>
          <w:tcPr>
            <w:tcW w:w="5032" w:type="dxa"/>
            <w:shd w:val="clear" w:color="auto" w:fill="auto"/>
            <w:tcMar>
              <w:top w:w="100" w:type="dxa"/>
              <w:left w:w="100" w:type="dxa"/>
              <w:bottom w:w="100" w:type="dxa"/>
              <w:right w:w="100" w:type="dxa"/>
            </w:tcMar>
          </w:tcPr>
          <w:p w14:paraId="4821C05E" w14:textId="77777777" w:rsidR="00F47E1E" w:rsidRDefault="0096342C">
            <w:pPr>
              <w:spacing w:before="0" w:line="276" w:lineRule="auto"/>
              <w:ind w:right="-30"/>
              <w:rPr>
                <w:color w:val="000000"/>
              </w:rPr>
            </w:pPr>
            <w:r>
              <w:rPr>
                <w:color w:val="000000"/>
              </w:rPr>
              <w:t>La fuente de amenazas instala software diseñado para recopilar (rastrear) el tráfico de red durante un período de tiempo continuo.</w:t>
            </w:r>
          </w:p>
        </w:tc>
      </w:tr>
      <w:tr w:rsidR="00F47E1E" w14:paraId="15807B4E" w14:textId="77777777">
        <w:trPr>
          <w:trHeight w:val="600"/>
        </w:trPr>
        <w:tc>
          <w:tcPr>
            <w:tcW w:w="5032" w:type="dxa"/>
            <w:shd w:val="clear" w:color="auto" w:fill="auto"/>
            <w:tcMar>
              <w:top w:w="100" w:type="dxa"/>
              <w:left w:w="100" w:type="dxa"/>
              <w:bottom w:w="100" w:type="dxa"/>
              <w:right w:w="100" w:type="dxa"/>
            </w:tcMar>
          </w:tcPr>
          <w:p w14:paraId="43CBCB04" w14:textId="77777777" w:rsidR="00F47E1E" w:rsidRDefault="0096342C">
            <w:pPr>
              <w:spacing w:before="0" w:line="276" w:lineRule="auto"/>
              <w:ind w:right="-30"/>
              <w:rPr>
                <w:color w:val="000000"/>
              </w:rPr>
            </w:pPr>
            <w:r>
              <w:rPr>
                <w:color w:val="000000"/>
              </w:rPr>
              <w:t>Llevar a cabo ataques de denegación de servicio (DoS).</w:t>
            </w:r>
          </w:p>
        </w:tc>
        <w:tc>
          <w:tcPr>
            <w:tcW w:w="5032" w:type="dxa"/>
            <w:shd w:val="clear" w:color="auto" w:fill="auto"/>
            <w:tcMar>
              <w:top w:w="100" w:type="dxa"/>
              <w:left w:w="100" w:type="dxa"/>
              <w:bottom w:w="100" w:type="dxa"/>
              <w:right w:w="100" w:type="dxa"/>
            </w:tcMar>
          </w:tcPr>
          <w:p w14:paraId="7C384373" w14:textId="77777777" w:rsidR="00F47E1E" w:rsidRDefault="0096342C">
            <w:pPr>
              <w:spacing w:before="0" w:line="276" w:lineRule="auto"/>
              <w:ind w:right="-30"/>
              <w:rPr>
                <w:color w:val="000000"/>
              </w:rPr>
            </w:pPr>
            <w:r>
              <w:rPr>
                <w:color w:val="000000"/>
              </w:rPr>
              <w:t>La fuente de amenazas envía solicitudes automatizadas y excesivas para abrumar las capacidades operativas del sistema.</w:t>
            </w:r>
          </w:p>
        </w:tc>
      </w:tr>
      <w:tr w:rsidR="00F47E1E" w14:paraId="79789C77" w14:textId="77777777">
        <w:trPr>
          <w:trHeight w:val="600"/>
        </w:trPr>
        <w:tc>
          <w:tcPr>
            <w:tcW w:w="5032" w:type="dxa"/>
            <w:shd w:val="clear" w:color="auto" w:fill="auto"/>
            <w:tcMar>
              <w:top w:w="100" w:type="dxa"/>
              <w:left w:w="100" w:type="dxa"/>
              <w:bottom w:w="100" w:type="dxa"/>
              <w:right w:w="100" w:type="dxa"/>
            </w:tcMar>
          </w:tcPr>
          <w:p w14:paraId="7D0721CB" w14:textId="77777777" w:rsidR="00F47E1E" w:rsidRDefault="0096342C">
            <w:pPr>
              <w:spacing w:before="0" w:line="276" w:lineRule="auto"/>
              <w:ind w:right="-30"/>
              <w:rPr>
                <w:color w:val="000000"/>
              </w:rPr>
            </w:pPr>
            <w:r>
              <w:rPr>
                <w:color w:val="000000"/>
              </w:rPr>
              <w:t>Interrumpa las operaciones de misión crítica.</w:t>
            </w:r>
          </w:p>
        </w:tc>
        <w:tc>
          <w:tcPr>
            <w:tcW w:w="5032" w:type="dxa"/>
            <w:shd w:val="clear" w:color="auto" w:fill="auto"/>
            <w:tcMar>
              <w:top w:w="100" w:type="dxa"/>
              <w:left w:w="100" w:type="dxa"/>
              <w:bottom w:w="100" w:type="dxa"/>
              <w:right w:w="100" w:type="dxa"/>
            </w:tcMar>
          </w:tcPr>
          <w:p w14:paraId="15A86D5F" w14:textId="77777777" w:rsidR="00F47E1E" w:rsidRDefault="0096342C">
            <w:pPr>
              <w:spacing w:before="0" w:line="276" w:lineRule="auto"/>
              <w:ind w:right="-30"/>
              <w:rPr>
                <w:color w:val="000000"/>
              </w:rPr>
            </w:pPr>
            <w:r>
              <w:rPr>
                <w:color w:val="000000"/>
              </w:rPr>
              <w:t>El origen de la amenaza compromete la integridad de la información de tal manera que impide que la empresa lleve a cabo operaciones críticas.</w:t>
            </w:r>
          </w:p>
        </w:tc>
      </w:tr>
      <w:tr w:rsidR="00F47E1E" w14:paraId="7E9BC500" w14:textId="77777777">
        <w:trPr>
          <w:trHeight w:val="600"/>
        </w:trPr>
        <w:tc>
          <w:tcPr>
            <w:tcW w:w="5032" w:type="dxa"/>
            <w:shd w:val="clear" w:color="auto" w:fill="auto"/>
            <w:tcMar>
              <w:top w:w="100" w:type="dxa"/>
              <w:left w:w="100" w:type="dxa"/>
              <w:bottom w:w="100" w:type="dxa"/>
              <w:right w:w="100" w:type="dxa"/>
            </w:tcMar>
          </w:tcPr>
          <w:p w14:paraId="231781F6" w14:textId="77777777" w:rsidR="00F47E1E" w:rsidRDefault="0096342C">
            <w:pPr>
              <w:spacing w:before="0" w:line="276" w:lineRule="auto"/>
              <w:ind w:right="-30"/>
              <w:rPr>
                <w:color w:val="000000"/>
              </w:rPr>
            </w:pPr>
            <w:r>
              <w:rPr>
                <w:color w:val="000000"/>
              </w:rPr>
              <w:t>Ofusca futuros ataques.</w:t>
            </w:r>
          </w:p>
        </w:tc>
        <w:tc>
          <w:tcPr>
            <w:tcW w:w="5032" w:type="dxa"/>
            <w:shd w:val="clear" w:color="auto" w:fill="auto"/>
            <w:tcMar>
              <w:top w:w="100" w:type="dxa"/>
              <w:left w:w="100" w:type="dxa"/>
              <w:bottom w:w="100" w:type="dxa"/>
              <w:right w:w="100" w:type="dxa"/>
            </w:tcMar>
          </w:tcPr>
          <w:p w14:paraId="57E1703D" w14:textId="77777777" w:rsidR="00F47E1E" w:rsidRDefault="0096342C">
            <w:pPr>
              <w:spacing w:before="0" w:line="276" w:lineRule="auto"/>
              <w:ind w:right="-30"/>
              <w:rPr>
                <w:color w:val="000000"/>
              </w:rPr>
            </w:pPr>
            <w:r>
              <w:rPr>
                <w:color w:val="000000"/>
              </w:rPr>
              <w:t xml:space="preserve">La fuente de amenazas toma medidas para inhibir la efectividad de los sistemas de detección de intrusiones o las capacidades de auditoría en la empresa. </w:t>
            </w:r>
          </w:p>
        </w:tc>
      </w:tr>
      <w:tr w:rsidR="00F47E1E" w14:paraId="4DAEAFB8" w14:textId="77777777">
        <w:trPr>
          <w:trHeight w:val="600"/>
        </w:trPr>
        <w:tc>
          <w:tcPr>
            <w:tcW w:w="5032" w:type="dxa"/>
            <w:shd w:val="clear" w:color="auto" w:fill="auto"/>
            <w:tcMar>
              <w:top w:w="100" w:type="dxa"/>
              <w:left w:w="100" w:type="dxa"/>
              <w:bottom w:w="100" w:type="dxa"/>
              <w:right w:w="100" w:type="dxa"/>
            </w:tcMar>
          </w:tcPr>
          <w:p w14:paraId="38E17FF8" w14:textId="77777777" w:rsidR="00F47E1E" w:rsidRDefault="0096342C">
            <w:pPr>
              <w:spacing w:before="0" w:line="276" w:lineRule="auto"/>
              <w:ind w:right="-30"/>
              <w:rPr>
                <w:color w:val="000000"/>
              </w:rPr>
            </w:pPr>
            <w:r>
              <w:rPr>
                <w:color w:val="000000"/>
              </w:rPr>
              <w:t>Llevar a cabo ataques de "intermediario".</w:t>
            </w:r>
          </w:p>
        </w:tc>
        <w:tc>
          <w:tcPr>
            <w:tcW w:w="5032" w:type="dxa"/>
            <w:shd w:val="clear" w:color="auto" w:fill="auto"/>
            <w:tcMar>
              <w:top w:w="100" w:type="dxa"/>
              <w:left w:w="100" w:type="dxa"/>
              <w:bottom w:w="100" w:type="dxa"/>
              <w:right w:w="100" w:type="dxa"/>
            </w:tcMar>
          </w:tcPr>
          <w:p w14:paraId="3DF72762" w14:textId="77777777" w:rsidR="00F47E1E" w:rsidRDefault="0096342C">
            <w:pPr>
              <w:spacing w:before="0" w:line="276" w:lineRule="auto"/>
              <w:ind w:right="-30"/>
              <w:rPr>
                <w:color w:val="000000"/>
              </w:rPr>
            </w:pPr>
            <w:r>
              <w:rPr>
                <w:color w:val="000000"/>
              </w:rPr>
              <w:t xml:space="preserve">El origen de amenazas escucha las sesiones entre sistemas internos y externos. Más tarde, </w:t>
            </w:r>
            <w:r>
              <w:rPr>
                <w:color w:val="000000"/>
              </w:rPr>
              <w:lastRenderedPageBreak/>
              <w:t>transmiten mensajes entre la organización y los sistemas externos que les hacen creer que están hablando directamente entre sí a través de una conexión privada.</w:t>
            </w:r>
          </w:p>
        </w:tc>
      </w:tr>
    </w:tbl>
    <w:p w14:paraId="41980CDF" w14:textId="77777777" w:rsidR="00F47E1E" w:rsidRDefault="00F47E1E">
      <w:pPr>
        <w:spacing w:before="0" w:line="360" w:lineRule="auto"/>
        <w:ind w:left="-360" w:right="-360"/>
      </w:pPr>
    </w:p>
    <w:p w14:paraId="0132977D" w14:textId="77777777" w:rsidR="00F47E1E" w:rsidRDefault="0096342C">
      <w:pPr>
        <w:pStyle w:val="Ttulo2"/>
        <w:ind w:left="-360" w:right="-360"/>
        <w:rPr>
          <w:color w:val="000000"/>
        </w:rPr>
      </w:pPr>
      <w:bookmarkStart w:id="4" w:name="_6x8rkjwa8fzc" w:colFirst="0" w:colLast="0"/>
      <w:bookmarkEnd w:id="4"/>
      <w:r>
        <w:rPr>
          <w:color w:val="000000"/>
        </w:rPr>
        <w:t>Probabilidad de un evento de amenaza</w:t>
      </w:r>
    </w:p>
    <w:p w14:paraId="0CEA4D09" w14:textId="77777777" w:rsidR="00F47E1E" w:rsidRDefault="0096342C">
      <w:pPr>
        <w:ind w:left="-360" w:right="-360"/>
      </w:pPr>
      <w:r>
        <w:t xml:space="preserve">En general, la </w:t>
      </w:r>
      <w:r>
        <w:rPr>
          <w:i/>
        </w:rPr>
        <w:t>probabilidad</w:t>
      </w:r>
      <w:r>
        <w:t xml:space="preserve"> de un evento de amenaza debe ser una puntuación basada en una combinación de factores. Por ejemplo, cualquier evidencia disponible que tenga, experiencia previa y su juicio experto.</w:t>
      </w:r>
    </w:p>
    <w:p w14:paraId="139A15B6" w14:textId="77777777" w:rsidR="00F47E1E" w:rsidRDefault="0096342C">
      <w:pPr>
        <w:ind w:left="-360" w:right="-360"/>
      </w:pPr>
      <w:r>
        <w:t>Tenga en cuenta la intención o las capacidades de un origen de amenaza y los posibles eventos de amenaza al producir una puntuación de probabilidad.</w:t>
      </w:r>
    </w:p>
    <w:p w14:paraId="193F9204" w14:textId="77777777" w:rsidR="00F47E1E" w:rsidRDefault="00F47E1E">
      <w:pPr>
        <w:ind w:left="-360" w:right="-360"/>
      </w:pPr>
    </w:p>
    <w:tbl>
      <w:tblPr>
        <w:tblStyle w:val="a1"/>
        <w:tblW w:w="8895"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695"/>
        <w:gridCol w:w="5280"/>
      </w:tblGrid>
      <w:tr w:rsidR="00F47E1E" w14:paraId="3C85C8FA" w14:textId="77777777">
        <w:trPr>
          <w:trHeight w:val="420"/>
        </w:trPr>
        <w:tc>
          <w:tcPr>
            <w:tcW w:w="1920" w:type="dxa"/>
            <w:shd w:val="clear" w:color="auto" w:fill="auto"/>
            <w:tcMar>
              <w:top w:w="100" w:type="dxa"/>
              <w:left w:w="100" w:type="dxa"/>
              <w:bottom w:w="100" w:type="dxa"/>
              <w:right w:w="100" w:type="dxa"/>
            </w:tcMar>
          </w:tcPr>
          <w:p w14:paraId="36D169B3" w14:textId="77777777" w:rsidR="00F47E1E" w:rsidRDefault="0096342C">
            <w:pPr>
              <w:widowControl w:val="0"/>
              <w:spacing w:before="0" w:line="240" w:lineRule="auto"/>
              <w:ind w:right="-90"/>
              <w:rPr>
                <w:b/>
              </w:rPr>
            </w:pPr>
            <w:r>
              <w:rPr>
                <w:b/>
              </w:rPr>
              <w:t>Valores cualitativos</w:t>
            </w:r>
          </w:p>
        </w:tc>
        <w:tc>
          <w:tcPr>
            <w:tcW w:w="1695" w:type="dxa"/>
          </w:tcPr>
          <w:p w14:paraId="1AD0C9BD" w14:textId="77777777" w:rsidR="00F47E1E" w:rsidRDefault="0096342C">
            <w:pPr>
              <w:widowControl w:val="0"/>
              <w:spacing w:before="0" w:line="240" w:lineRule="auto"/>
              <w:ind w:right="-120"/>
              <w:rPr>
                <w:b/>
              </w:rPr>
            </w:pPr>
            <w:r>
              <w:rPr>
                <w:b/>
              </w:rPr>
              <w:t>Valores cuantitativos</w:t>
            </w:r>
          </w:p>
        </w:tc>
        <w:tc>
          <w:tcPr>
            <w:tcW w:w="5280" w:type="dxa"/>
            <w:shd w:val="clear" w:color="auto" w:fill="auto"/>
            <w:tcMar>
              <w:top w:w="100" w:type="dxa"/>
              <w:left w:w="100" w:type="dxa"/>
              <w:bottom w:w="100" w:type="dxa"/>
              <w:right w:w="100" w:type="dxa"/>
            </w:tcMar>
          </w:tcPr>
          <w:p w14:paraId="56D82163" w14:textId="77777777" w:rsidR="00F47E1E" w:rsidRDefault="0096342C">
            <w:pPr>
              <w:widowControl w:val="0"/>
              <w:spacing w:before="0" w:line="240" w:lineRule="auto"/>
              <w:ind w:right="-30"/>
              <w:rPr>
                <w:b/>
              </w:rPr>
            </w:pPr>
            <w:r>
              <w:rPr>
                <w:b/>
              </w:rPr>
              <w:t>Descripción</w:t>
            </w:r>
          </w:p>
        </w:tc>
      </w:tr>
      <w:tr w:rsidR="00F47E1E" w14:paraId="5EFC7790" w14:textId="77777777">
        <w:tc>
          <w:tcPr>
            <w:tcW w:w="1920" w:type="dxa"/>
            <w:shd w:val="clear" w:color="auto" w:fill="auto"/>
            <w:tcMar>
              <w:top w:w="100" w:type="dxa"/>
              <w:left w:w="100" w:type="dxa"/>
              <w:bottom w:w="100" w:type="dxa"/>
              <w:right w:w="100" w:type="dxa"/>
            </w:tcMar>
          </w:tcPr>
          <w:p w14:paraId="737BFBE1" w14:textId="77777777" w:rsidR="00F47E1E" w:rsidRDefault="0096342C">
            <w:pPr>
              <w:widowControl w:val="0"/>
              <w:spacing w:before="0" w:line="240" w:lineRule="auto"/>
              <w:ind w:right="-90"/>
            </w:pPr>
            <w:r>
              <w:t>Alto</w:t>
            </w:r>
          </w:p>
        </w:tc>
        <w:tc>
          <w:tcPr>
            <w:tcW w:w="1695" w:type="dxa"/>
            <w:shd w:val="clear" w:color="auto" w:fill="auto"/>
            <w:tcMar>
              <w:top w:w="100" w:type="dxa"/>
              <w:left w:w="100" w:type="dxa"/>
              <w:bottom w:w="100" w:type="dxa"/>
              <w:right w:w="100" w:type="dxa"/>
            </w:tcMar>
          </w:tcPr>
          <w:p w14:paraId="767AD781" w14:textId="77777777" w:rsidR="00F47E1E" w:rsidRDefault="0096342C">
            <w:pPr>
              <w:widowControl w:val="0"/>
              <w:spacing w:before="0" w:line="240" w:lineRule="auto"/>
              <w:ind w:right="-120"/>
            </w:pPr>
            <w:r>
              <w:t>3</w:t>
            </w:r>
          </w:p>
        </w:tc>
        <w:tc>
          <w:tcPr>
            <w:tcW w:w="5280" w:type="dxa"/>
            <w:shd w:val="clear" w:color="auto" w:fill="auto"/>
            <w:tcMar>
              <w:top w:w="100" w:type="dxa"/>
              <w:left w:w="100" w:type="dxa"/>
              <w:bottom w:w="100" w:type="dxa"/>
              <w:right w:w="100" w:type="dxa"/>
            </w:tcMar>
          </w:tcPr>
          <w:p w14:paraId="61AA57F0" w14:textId="77777777" w:rsidR="00F47E1E" w:rsidRDefault="0096342C">
            <w:pPr>
              <w:widowControl w:val="0"/>
              <w:spacing w:before="0" w:line="240" w:lineRule="auto"/>
              <w:ind w:right="-30"/>
            </w:pPr>
            <w:r>
              <w:t>Es casi seguro que el origen de la amenaza iniciará un evento de seguridad. Un evento puede tener efectos múltiples, graves o catastróficos en las operaciones y los activos comerciales.</w:t>
            </w:r>
          </w:p>
        </w:tc>
      </w:tr>
      <w:tr w:rsidR="00F47E1E" w14:paraId="6500E03C" w14:textId="77777777">
        <w:tc>
          <w:tcPr>
            <w:tcW w:w="1920" w:type="dxa"/>
            <w:shd w:val="clear" w:color="auto" w:fill="auto"/>
            <w:tcMar>
              <w:top w:w="100" w:type="dxa"/>
              <w:left w:w="100" w:type="dxa"/>
              <w:bottom w:w="100" w:type="dxa"/>
              <w:right w:w="100" w:type="dxa"/>
            </w:tcMar>
          </w:tcPr>
          <w:p w14:paraId="1683C64D" w14:textId="77777777" w:rsidR="00F47E1E" w:rsidRDefault="0096342C">
            <w:pPr>
              <w:widowControl w:val="0"/>
              <w:spacing w:before="0" w:line="240" w:lineRule="auto"/>
              <w:ind w:right="-90"/>
            </w:pPr>
            <w:r>
              <w:t>Moderado</w:t>
            </w:r>
          </w:p>
        </w:tc>
        <w:tc>
          <w:tcPr>
            <w:tcW w:w="1695" w:type="dxa"/>
            <w:shd w:val="clear" w:color="auto" w:fill="auto"/>
            <w:tcMar>
              <w:top w:w="100" w:type="dxa"/>
              <w:left w:w="100" w:type="dxa"/>
              <w:bottom w:w="100" w:type="dxa"/>
              <w:right w:w="100" w:type="dxa"/>
            </w:tcMar>
          </w:tcPr>
          <w:p w14:paraId="585B3C88" w14:textId="77777777" w:rsidR="00F47E1E" w:rsidRDefault="0096342C">
            <w:pPr>
              <w:widowControl w:val="0"/>
              <w:spacing w:before="0" w:line="240" w:lineRule="auto"/>
              <w:ind w:right="-120"/>
            </w:pPr>
            <w:r>
              <w:t>2</w:t>
            </w:r>
          </w:p>
        </w:tc>
        <w:tc>
          <w:tcPr>
            <w:tcW w:w="5280" w:type="dxa"/>
            <w:shd w:val="clear" w:color="auto" w:fill="auto"/>
            <w:tcMar>
              <w:top w:w="100" w:type="dxa"/>
              <w:left w:w="100" w:type="dxa"/>
              <w:bottom w:w="100" w:type="dxa"/>
              <w:right w:w="100" w:type="dxa"/>
            </w:tcMar>
          </w:tcPr>
          <w:p w14:paraId="3F2E0EF7" w14:textId="77777777" w:rsidR="00F47E1E" w:rsidRDefault="0096342C">
            <w:pPr>
              <w:widowControl w:val="0"/>
              <w:spacing w:before="0" w:line="240" w:lineRule="auto"/>
              <w:ind w:right="-30"/>
            </w:pPr>
            <w:r>
              <w:t>Es probable que el origen de la amenaza inicie un evento de seguridad. Un evento podría reducir significativamente la funcionalidad de las operaciones y los activos de la organización.</w:t>
            </w:r>
          </w:p>
        </w:tc>
      </w:tr>
      <w:tr w:rsidR="00F47E1E" w14:paraId="3544B990" w14:textId="77777777">
        <w:tc>
          <w:tcPr>
            <w:tcW w:w="1920" w:type="dxa"/>
            <w:shd w:val="clear" w:color="auto" w:fill="auto"/>
            <w:tcMar>
              <w:top w:w="100" w:type="dxa"/>
              <w:left w:w="100" w:type="dxa"/>
              <w:bottom w:w="100" w:type="dxa"/>
              <w:right w:w="100" w:type="dxa"/>
            </w:tcMar>
          </w:tcPr>
          <w:p w14:paraId="6DA75B13" w14:textId="77777777" w:rsidR="00F47E1E" w:rsidRDefault="0096342C">
            <w:pPr>
              <w:widowControl w:val="0"/>
              <w:spacing w:before="0" w:line="240" w:lineRule="auto"/>
              <w:ind w:right="-90"/>
            </w:pPr>
            <w:r>
              <w:t>Bajo</w:t>
            </w:r>
          </w:p>
        </w:tc>
        <w:tc>
          <w:tcPr>
            <w:tcW w:w="1695" w:type="dxa"/>
            <w:shd w:val="clear" w:color="auto" w:fill="auto"/>
            <w:tcMar>
              <w:top w:w="100" w:type="dxa"/>
              <w:left w:w="100" w:type="dxa"/>
              <w:bottom w:w="100" w:type="dxa"/>
              <w:right w:w="100" w:type="dxa"/>
            </w:tcMar>
          </w:tcPr>
          <w:p w14:paraId="485DDCB7" w14:textId="77777777" w:rsidR="00F47E1E" w:rsidRDefault="0096342C">
            <w:pPr>
              <w:widowControl w:val="0"/>
              <w:spacing w:before="0" w:line="240" w:lineRule="auto"/>
              <w:ind w:right="-120"/>
            </w:pPr>
            <w:r>
              <w:t>1</w:t>
            </w:r>
          </w:p>
        </w:tc>
        <w:tc>
          <w:tcPr>
            <w:tcW w:w="5280" w:type="dxa"/>
            <w:shd w:val="clear" w:color="auto" w:fill="auto"/>
            <w:tcMar>
              <w:top w:w="100" w:type="dxa"/>
              <w:left w:w="100" w:type="dxa"/>
              <w:bottom w:w="100" w:type="dxa"/>
              <w:right w:w="100" w:type="dxa"/>
            </w:tcMar>
          </w:tcPr>
          <w:p w14:paraId="53E93936" w14:textId="77777777" w:rsidR="00F47E1E" w:rsidRDefault="0096342C">
            <w:pPr>
              <w:widowControl w:val="0"/>
              <w:spacing w:before="0" w:line="240" w:lineRule="auto"/>
              <w:ind w:right="-30"/>
            </w:pPr>
            <w:r>
              <w:t>Es muy poco probable que el origen de la amenaza inicie un evento de seguridad. Un evento podría tener efectos menores e insignificantes en las operaciones comerciales y los activos.</w:t>
            </w:r>
          </w:p>
        </w:tc>
      </w:tr>
    </w:tbl>
    <w:p w14:paraId="288FA733" w14:textId="77777777" w:rsidR="00F47E1E" w:rsidRDefault="00F47E1E">
      <w:pPr>
        <w:ind w:left="-360" w:right="-360"/>
      </w:pPr>
    </w:p>
    <w:p w14:paraId="2A0E19DC" w14:textId="77777777" w:rsidR="00F47E1E" w:rsidRDefault="0096342C">
      <w:pPr>
        <w:pStyle w:val="Ttulo2"/>
        <w:ind w:left="-360" w:right="-360"/>
        <w:rPr>
          <w:color w:val="000000"/>
        </w:rPr>
      </w:pPr>
      <w:bookmarkStart w:id="5" w:name="_tqo5kvd9svw4" w:colFirst="0" w:colLast="0"/>
      <w:bookmarkEnd w:id="5"/>
      <w:r>
        <w:rPr>
          <w:color w:val="000000"/>
        </w:rPr>
        <w:t>Gravedad de un evento de amenaza</w:t>
      </w:r>
    </w:p>
    <w:p w14:paraId="7A02C796" w14:textId="77777777" w:rsidR="00F47E1E" w:rsidRDefault="0096342C">
      <w:pPr>
        <w:ind w:left="-360" w:right="-360"/>
      </w:pPr>
      <w:r>
        <w:t xml:space="preserve">En general, la </w:t>
      </w:r>
      <w:r>
        <w:rPr>
          <w:i/>
        </w:rPr>
        <w:t>gravedad</w:t>
      </w:r>
      <w:r>
        <w:t xml:space="preserve"> de un evento de amenaza es una medida de su impacto potencial en las operaciones empresariales. Por ejemplo, ¿el evento haría que una función de negocio se detuviera por completo? ¿Podría interrumpir temporalmente un proceso de negocio y pasar desapercibido?  </w:t>
      </w:r>
    </w:p>
    <w:p w14:paraId="57AFCE4F" w14:textId="77777777" w:rsidR="00F47E1E" w:rsidRDefault="0096342C">
      <w:pPr>
        <w:ind w:left="-360" w:right="-360"/>
      </w:pPr>
      <w:r>
        <w:t xml:space="preserve">Tenga en cuenta el impacto empresarial de los eventos de </w:t>
      </w:r>
      <w:r>
        <w:rPr>
          <w:i/>
        </w:rPr>
        <w:t>amenazas</w:t>
      </w:r>
      <w:r>
        <w:t xml:space="preserve"> al generar una puntuación de gravedad.</w:t>
      </w:r>
    </w:p>
    <w:p w14:paraId="0E8AA09E" w14:textId="77777777" w:rsidR="00F47E1E" w:rsidRDefault="00F47E1E">
      <w:pPr>
        <w:ind w:left="-360" w:right="-360"/>
      </w:pPr>
    </w:p>
    <w:tbl>
      <w:tblPr>
        <w:tblStyle w:val="a2"/>
        <w:tblW w:w="891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695"/>
        <w:gridCol w:w="5295"/>
      </w:tblGrid>
      <w:tr w:rsidR="00F47E1E" w14:paraId="44754FA5" w14:textId="77777777">
        <w:trPr>
          <w:trHeight w:val="420"/>
        </w:trPr>
        <w:tc>
          <w:tcPr>
            <w:tcW w:w="1920" w:type="dxa"/>
            <w:shd w:val="clear" w:color="auto" w:fill="auto"/>
            <w:tcMar>
              <w:top w:w="100" w:type="dxa"/>
              <w:left w:w="100" w:type="dxa"/>
              <w:bottom w:w="100" w:type="dxa"/>
              <w:right w:w="100" w:type="dxa"/>
            </w:tcMar>
          </w:tcPr>
          <w:p w14:paraId="774080CC" w14:textId="77777777" w:rsidR="00F47E1E" w:rsidRDefault="0096342C">
            <w:pPr>
              <w:widowControl w:val="0"/>
              <w:spacing w:before="0" w:line="240" w:lineRule="auto"/>
              <w:ind w:right="-90"/>
              <w:rPr>
                <w:b/>
              </w:rPr>
            </w:pPr>
            <w:r>
              <w:rPr>
                <w:b/>
              </w:rPr>
              <w:t>Valores cualitativos</w:t>
            </w:r>
          </w:p>
        </w:tc>
        <w:tc>
          <w:tcPr>
            <w:tcW w:w="1695" w:type="dxa"/>
          </w:tcPr>
          <w:p w14:paraId="009A032E" w14:textId="77777777" w:rsidR="00F47E1E" w:rsidRDefault="0096342C">
            <w:pPr>
              <w:widowControl w:val="0"/>
              <w:spacing w:before="0" w:line="240" w:lineRule="auto"/>
              <w:ind w:right="-120"/>
              <w:rPr>
                <w:b/>
              </w:rPr>
            </w:pPr>
            <w:r>
              <w:rPr>
                <w:b/>
              </w:rPr>
              <w:t>Valores cuantitativos</w:t>
            </w:r>
          </w:p>
        </w:tc>
        <w:tc>
          <w:tcPr>
            <w:tcW w:w="5295" w:type="dxa"/>
            <w:shd w:val="clear" w:color="auto" w:fill="auto"/>
            <w:tcMar>
              <w:top w:w="100" w:type="dxa"/>
              <w:left w:w="100" w:type="dxa"/>
              <w:bottom w:w="100" w:type="dxa"/>
              <w:right w:w="100" w:type="dxa"/>
            </w:tcMar>
          </w:tcPr>
          <w:p w14:paraId="2F78B2EF" w14:textId="77777777" w:rsidR="00F47E1E" w:rsidRDefault="0096342C">
            <w:pPr>
              <w:widowControl w:val="0"/>
              <w:spacing w:before="0" w:line="240" w:lineRule="auto"/>
              <w:ind w:right="-105"/>
              <w:rPr>
                <w:b/>
              </w:rPr>
            </w:pPr>
            <w:r>
              <w:rPr>
                <w:b/>
              </w:rPr>
              <w:t>Descripción</w:t>
            </w:r>
          </w:p>
        </w:tc>
      </w:tr>
      <w:tr w:rsidR="00F47E1E" w14:paraId="48BBC1D5" w14:textId="77777777">
        <w:tc>
          <w:tcPr>
            <w:tcW w:w="1920" w:type="dxa"/>
            <w:shd w:val="clear" w:color="auto" w:fill="auto"/>
            <w:tcMar>
              <w:top w:w="100" w:type="dxa"/>
              <w:left w:w="100" w:type="dxa"/>
              <w:bottom w:w="100" w:type="dxa"/>
              <w:right w:w="100" w:type="dxa"/>
            </w:tcMar>
          </w:tcPr>
          <w:p w14:paraId="637D4398" w14:textId="77777777" w:rsidR="00F47E1E" w:rsidRDefault="0096342C">
            <w:pPr>
              <w:widowControl w:val="0"/>
              <w:spacing w:before="0" w:line="240" w:lineRule="auto"/>
              <w:ind w:right="-90"/>
            </w:pPr>
            <w:r>
              <w:t>Alto</w:t>
            </w:r>
          </w:p>
        </w:tc>
        <w:tc>
          <w:tcPr>
            <w:tcW w:w="1695" w:type="dxa"/>
            <w:shd w:val="clear" w:color="auto" w:fill="auto"/>
            <w:tcMar>
              <w:top w:w="100" w:type="dxa"/>
              <w:left w:w="100" w:type="dxa"/>
              <w:bottom w:w="100" w:type="dxa"/>
              <w:right w:w="100" w:type="dxa"/>
            </w:tcMar>
          </w:tcPr>
          <w:p w14:paraId="57970DDC" w14:textId="77777777" w:rsidR="00F47E1E" w:rsidRDefault="0096342C">
            <w:pPr>
              <w:widowControl w:val="0"/>
              <w:spacing w:before="0" w:line="240" w:lineRule="auto"/>
              <w:ind w:right="-120"/>
            </w:pPr>
            <w:r>
              <w:t>3</w:t>
            </w:r>
          </w:p>
        </w:tc>
        <w:tc>
          <w:tcPr>
            <w:tcW w:w="5295" w:type="dxa"/>
            <w:shd w:val="clear" w:color="auto" w:fill="auto"/>
            <w:tcMar>
              <w:top w:w="100" w:type="dxa"/>
              <w:left w:w="100" w:type="dxa"/>
              <w:bottom w:w="100" w:type="dxa"/>
              <w:right w:w="100" w:type="dxa"/>
            </w:tcMar>
          </w:tcPr>
          <w:p w14:paraId="58FBA37C" w14:textId="77777777" w:rsidR="00F47E1E" w:rsidRDefault="0096342C">
            <w:pPr>
              <w:widowControl w:val="0"/>
              <w:spacing w:before="0" w:line="240" w:lineRule="auto"/>
              <w:ind w:right="-105"/>
            </w:pPr>
            <w:r>
              <w:t>Es casi seguro que el origen de la amenaza iniciará un evento de seguridad. Un evento puede tener efectos múltiples, graves o catastróficos en las operaciones y los activos comerciales.</w:t>
            </w:r>
          </w:p>
        </w:tc>
      </w:tr>
      <w:tr w:rsidR="00F47E1E" w14:paraId="1F7EDEA9" w14:textId="77777777">
        <w:tc>
          <w:tcPr>
            <w:tcW w:w="1920" w:type="dxa"/>
            <w:shd w:val="clear" w:color="auto" w:fill="auto"/>
            <w:tcMar>
              <w:top w:w="100" w:type="dxa"/>
              <w:left w:w="100" w:type="dxa"/>
              <w:bottom w:w="100" w:type="dxa"/>
              <w:right w:w="100" w:type="dxa"/>
            </w:tcMar>
          </w:tcPr>
          <w:p w14:paraId="6607F6E5" w14:textId="77777777" w:rsidR="00F47E1E" w:rsidRDefault="0096342C">
            <w:pPr>
              <w:widowControl w:val="0"/>
              <w:spacing w:before="0" w:line="240" w:lineRule="auto"/>
              <w:ind w:right="-90"/>
            </w:pPr>
            <w:r>
              <w:t>Moderado</w:t>
            </w:r>
          </w:p>
        </w:tc>
        <w:tc>
          <w:tcPr>
            <w:tcW w:w="1695" w:type="dxa"/>
            <w:shd w:val="clear" w:color="auto" w:fill="auto"/>
            <w:tcMar>
              <w:top w:w="100" w:type="dxa"/>
              <w:left w:w="100" w:type="dxa"/>
              <w:bottom w:w="100" w:type="dxa"/>
              <w:right w:w="100" w:type="dxa"/>
            </w:tcMar>
          </w:tcPr>
          <w:p w14:paraId="5A97AC52" w14:textId="77777777" w:rsidR="00F47E1E" w:rsidRDefault="0096342C">
            <w:pPr>
              <w:widowControl w:val="0"/>
              <w:spacing w:before="0" w:line="240" w:lineRule="auto"/>
              <w:ind w:right="-120"/>
            </w:pPr>
            <w:r>
              <w:t>2</w:t>
            </w:r>
          </w:p>
        </w:tc>
        <w:tc>
          <w:tcPr>
            <w:tcW w:w="5295" w:type="dxa"/>
            <w:shd w:val="clear" w:color="auto" w:fill="auto"/>
            <w:tcMar>
              <w:top w:w="100" w:type="dxa"/>
              <w:left w:w="100" w:type="dxa"/>
              <w:bottom w:w="100" w:type="dxa"/>
              <w:right w:w="100" w:type="dxa"/>
            </w:tcMar>
          </w:tcPr>
          <w:p w14:paraId="07BAACAB" w14:textId="77777777" w:rsidR="00F47E1E" w:rsidRDefault="0096342C">
            <w:pPr>
              <w:widowControl w:val="0"/>
              <w:spacing w:before="0" w:line="240" w:lineRule="auto"/>
              <w:ind w:right="-105"/>
            </w:pPr>
            <w:r>
              <w:t>Es probable que el origen de la amenaza inicie un evento de seguridad. Un evento podría reducir significativamente la funcionalidad de las operaciones y los activos de la organización.</w:t>
            </w:r>
          </w:p>
        </w:tc>
      </w:tr>
      <w:tr w:rsidR="00F47E1E" w14:paraId="284B72C7" w14:textId="77777777">
        <w:tc>
          <w:tcPr>
            <w:tcW w:w="1920" w:type="dxa"/>
            <w:shd w:val="clear" w:color="auto" w:fill="auto"/>
            <w:tcMar>
              <w:top w:w="100" w:type="dxa"/>
              <w:left w:w="100" w:type="dxa"/>
              <w:bottom w:w="100" w:type="dxa"/>
              <w:right w:w="100" w:type="dxa"/>
            </w:tcMar>
          </w:tcPr>
          <w:p w14:paraId="6130B842" w14:textId="77777777" w:rsidR="00F47E1E" w:rsidRDefault="0096342C">
            <w:pPr>
              <w:widowControl w:val="0"/>
              <w:spacing w:before="0" w:line="240" w:lineRule="auto"/>
              <w:ind w:right="-90"/>
            </w:pPr>
            <w:r>
              <w:t>Bajo</w:t>
            </w:r>
          </w:p>
        </w:tc>
        <w:tc>
          <w:tcPr>
            <w:tcW w:w="1695" w:type="dxa"/>
            <w:shd w:val="clear" w:color="auto" w:fill="auto"/>
            <w:tcMar>
              <w:top w:w="100" w:type="dxa"/>
              <w:left w:w="100" w:type="dxa"/>
              <w:bottom w:w="100" w:type="dxa"/>
              <w:right w:w="100" w:type="dxa"/>
            </w:tcMar>
          </w:tcPr>
          <w:p w14:paraId="2519A507" w14:textId="77777777" w:rsidR="00F47E1E" w:rsidRDefault="0096342C">
            <w:pPr>
              <w:widowControl w:val="0"/>
              <w:spacing w:before="0" w:line="240" w:lineRule="auto"/>
              <w:ind w:right="-120"/>
            </w:pPr>
            <w:r>
              <w:t>1</w:t>
            </w:r>
          </w:p>
        </w:tc>
        <w:tc>
          <w:tcPr>
            <w:tcW w:w="5295" w:type="dxa"/>
            <w:shd w:val="clear" w:color="auto" w:fill="auto"/>
            <w:tcMar>
              <w:top w:w="100" w:type="dxa"/>
              <w:left w:w="100" w:type="dxa"/>
              <w:bottom w:w="100" w:type="dxa"/>
              <w:right w:w="100" w:type="dxa"/>
            </w:tcMar>
          </w:tcPr>
          <w:p w14:paraId="63DCCA58" w14:textId="77777777" w:rsidR="00F47E1E" w:rsidRDefault="0096342C">
            <w:pPr>
              <w:widowControl w:val="0"/>
              <w:spacing w:before="0" w:line="240" w:lineRule="auto"/>
              <w:ind w:right="-105"/>
            </w:pPr>
            <w:r>
              <w:t>Es muy poco probable que el origen de la amenaza inicie un evento de seguridad. Un evento podría tener efectos menores e insignificantes en las operaciones comerciales y los activos.</w:t>
            </w:r>
          </w:p>
        </w:tc>
      </w:tr>
    </w:tbl>
    <w:p w14:paraId="717F09D7" w14:textId="2649C719" w:rsidR="00F47E1E" w:rsidRDefault="00F47E1E">
      <w:pPr>
        <w:ind w:left="-360" w:right="-360"/>
      </w:pPr>
    </w:p>
    <w:sectPr w:rsidR="00F47E1E">
      <w:headerReference w:type="default" r:id="rId11"/>
      <w:footerReference w:type="default" r:id="rId12"/>
      <w:headerReference w:type="first" r:id="rId13"/>
      <w:footerReference w:type="first" r:id="rId14"/>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3C9AB2" w14:textId="77777777" w:rsidR="004B1688" w:rsidRDefault="004B1688">
      <w:pPr>
        <w:spacing w:before="0" w:line="240" w:lineRule="auto"/>
      </w:pPr>
      <w:r>
        <w:separator/>
      </w:r>
    </w:p>
  </w:endnote>
  <w:endnote w:type="continuationSeparator" w:id="0">
    <w:p w14:paraId="63CEA5C7" w14:textId="77777777" w:rsidR="004B1688" w:rsidRDefault="004B168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B5B9470B-5A28-4EE2-9743-6F17D398FEC0}"/>
    <w:embedBold r:id="rId2" w:fontKey="{43F21EF7-6223-4A10-912F-833C9D1FBC0D}"/>
    <w:embedItalic r:id="rId3" w:fontKey="{902B9B1F-12AC-4C28-BC2F-294E7335BA34}"/>
  </w:font>
  <w:font w:name="Proxima Nova">
    <w:charset w:val="00"/>
    <w:family w:val="auto"/>
    <w:pitch w:val="default"/>
    <w:embedRegular r:id="rId4" w:fontKey="{FCB6EE10-F119-48AB-AFFB-E00F00769509}"/>
    <w:embedBold r:id="rId5" w:fontKey="{C8D733B7-03F4-4C8C-9467-612589E23E3D}"/>
  </w:font>
  <w:font w:name="Trebuchet MS">
    <w:panose1 w:val="020B0603020202020204"/>
    <w:charset w:val="00"/>
    <w:family w:val="swiss"/>
    <w:pitch w:val="variable"/>
    <w:sig w:usb0="00000687" w:usb1="00000000" w:usb2="00000000" w:usb3="00000000" w:csb0="0000009F" w:csb1="00000000"/>
    <w:embedRegular r:id="rId6" w:fontKey="{DBD33D86-A11D-46BA-88B8-A9E5A68AC796}"/>
    <w:embedItalic r:id="rId7" w:fontKey="{7B881C72-8148-41D3-9DDB-CEFEE5CD1841}"/>
  </w:font>
  <w:font w:name="Calibri">
    <w:panose1 w:val="020F0502020204030204"/>
    <w:charset w:val="00"/>
    <w:family w:val="swiss"/>
    <w:pitch w:val="variable"/>
    <w:sig w:usb0="E4002EFF" w:usb1="C000247B" w:usb2="00000009" w:usb3="00000000" w:csb0="000001FF" w:csb1="00000000"/>
    <w:embedRegular r:id="rId8" w:fontKey="{90B3B4E6-980A-48A7-B8F2-F3162253A383}"/>
  </w:font>
  <w:font w:name="Cambria">
    <w:panose1 w:val="02040503050406030204"/>
    <w:charset w:val="00"/>
    <w:family w:val="roman"/>
    <w:pitch w:val="variable"/>
    <w:sig w:usb0="E00006FF" w:usb1="420024FF" w:usb2="02000000" w:usb3="00000000" w:csb0="0000019F" w:csb1="00000000"/>
    <w:embedRegular r:id="rId9" w:fontKey="{3E94D8F6-BC26-468D-9319-9080D0A6D54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A2A10" w14:textId="77777777" w:rsidR="00F47E1E" w:rsidRDefault="0096342C">
    <w:pPr>
      <w:jc w:val="right"/>
    </w:pPr>
    <w:r>
      <w:fldChar w:fldCharType="begin"/>
    </w:r>
    <w:r>
      <w:instrText>PAGE</w:instrText>
    </w:r>
    <w:r>
      <w:fldChar w:fldCharType="separate"/>
    </w:r>
    <w:r>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3DC58" w14:textId="77777777" w:rsidR="00F47E1E" w:rsidRDefault="0096342C">
    <w:pPr>
      <w:pBdr>
        <w:top w:val="nil"/>
        <w:left w:val="nil"/>
        <w:bottom w:val="nil"/>
        <w:right w:val="nil"/>
        <w:between w:val="nil"/>
      </w:pBd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BD28C7" w14:textId="77777777" w:rsidR="004B1688" w:rsidRDefault="004B1688">
      <w:pPr>
        <w:spacing w:before="0" w:line="240" w:lineRule="auto"/>
      </w:pPr>
      <w:r>
        <w:separator/>
      </w:r>
    </w:p>
  </w:footnote>
  <w:footnote w:type="continuationSeparator" w:id="0">
    <w:p w14:paraId="3369C49A" w14:textId="77777777" w:rsidR="004B1688" w:rsidRDefault="004B168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D4D33" w14:textId="77777777" w:rsidR="00F47E1E" w:rsidRDefault="00F47E1E">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0C7514" w14:textId="77777777" w:rsidR="00F47E1E" w:rsidRDefault="00F47E1E">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6679D"/>
    <w:multiLevelType w:val="multilevel"/>
    <w:tmpl w:val="82404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7A3E6A"/>
    <w:multiLevelType w:val="multilevel"/>
    <w:tmpl w:val="57329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070ED3"/>
    <w:multiLevelType w:val="multilevel"/>
    <w:tmpl w:val="CB0E65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EB643C"/>
    <w:multiLevelType w:val="multilevel"/>
    <w:tmpl w:val="4F7C9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60B2673"/>
    <w:multiLevelType w:val="multilevel"/>
    <w:tmpl w:val="82D8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E802D5E"/>
    <w:multiLevelType w:val="multilevel"/>
    <w:tmpl w:val="3898A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0E603D"/>
    <w:multiLevelType w:val="multilevel"/>
    <w:tmpl w:val="A1329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49480613">
    <w:abstractNumId w:val="0"/>
  </w:num>
  <w:num w:numId="2" w16cid:durableId="569074699">
    <w:abstractNumId w:val="2"/>
  </w:num>
  <w:num w:numId="3" w16cid:durableId="1649744383">
    <w:abstractNumId w:val="3"/>
  </w:num>
  <w:num w:numId="4" w16cid:durableId="67925978">
    <w:abstractNumId w:val="5"/>
  </w:num>
  <w:num w:numId="5" w16cid:durableId="1570769002">
    <w:abstractNumId w:val="6"/>
  </w:num>
  <w:num w:numId="6" w16cid:durableId="1868906063">
    <w:abstractNumId w:val="4"/>
  </w:num>
  <w:num w:numId="7" w16cid:durableId="14251024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E1E"/>
    <w:rsid w:val="004B1688"/>
    <w:rsid w:val="0096342C"/>
    <w:rsid w:val="00D57357"/>
    <w:rsid w:val="00F47E1E"/>
    <w:rsid w:val="00FA2B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00B27"/>
  <w15:docId w15:val="{BD384FD3-EA9B-4BC3-9D3C-CCA5C6DE0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color w:val="353744"/>
        <w:sz w:val="22"/>
        <w:szCs w:val="22"/>
        <w:lang w:val="en" w:eastAsia="es-ES"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480" w:line="240" w:lineRule="auto"/>
      <w:outlineLvl w:val="0"/>
    </w:pPr>
    <w:rPr>
      <w:rFonts w:ascii="Proxima Nova" w:eastAsia="Proxima Nova" w:hAnsi="Proxima Nova" w:cs="Proxima Nova"/>
      <w:b/>
      <w:sz w:val="28"/>
      <w:szCs w:val="28"/>
    </w:rPr>
  </w:style>
  <w:style w:type="paragraph" w:styleId="Ttulo2">
    <w:name w:val="heading 2"/>
    <w:basedOn w:val="Normal"/>
    <w:next w:val="Normal"/>
    <w:uiPriority w:val="9"/>
    <w:unhideWhenUsed/>
    <w:qFormat/>
    <w:pPr>
      <w:spacing w:before="320" w:line="240" w:lineRule="auto"/>
      <w:outlineLvl w:val="1"/>
    </w:pPr>
    <w:rPr>
      <w:b/>
      <w:color w:val="00AB44"/>
      <w:sz w:val="28"/>
      <w:szCs w:val="28"/>
    </w:rPr>
  </w:style>
  <w:style w:type="paragraph" w:styleId="Ttulo3">
    <w:name w:val="heading 3"/>
    <w:basedOn w:val="Normal"/>
    <w:next w:val="Normal"/>
    <w:uiPriority w:val="9"/>
    <w:unhideWhenUsed/>
    <w:qFormat/>
    <w:pPr>
      <w:spacing w:line="240" w:lineRule="auto"/>
      <w:outlineLvl w:val="2"/>
    </w:pPr>
    <w:rPr>
      <w:sz w:val="26"/>
      <w:szCs w:val="26"/>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320" w:line="240" w:lineRule="auto"/>
    </w:pPr>
    <w:rPr>
      <w:sz w:val="72"/>
      <w:szCs w:val="72"/>
    </w:rPr>
  </w:style>
  <w:style w:type="paragraph" w:styleId="Subttulo">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Textodelmarcadordeposicin">
    <w:name w:val="Placeholder Text"/>
    <w:basedOn w:val="Fuentedeprrafopredeter"/>
    <w:uiPriority w:val="99"/>
    <w:semiHidden/>
    <w:rsid w:val="00D5735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https://csrc.nist.gov/publications/detail/sp/800-30/rev-1/final" TargetMode="External"/><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Pages>
  <Words>1121</Words>
  <Characters>6169</Characters>
  <Application>Microsoft Office Word</Application>
  <DocSecurity>0</DocSecurity>
  <Lines>51</Lines>
  <Paragraphs>14</Paragraphs>
  <ScaleCrop>false</ScaleCrop>
  <Company/>
  <LinksUpToDate>false</LinksUpToDate>
  <CharactersWithSpaces>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Gutiérrez Sajché</dc:creator>
  <cp:lastModifiedBy>Gutiérrez Sajché</cp:lastModifiedBy>
  <cp:revision>1</cp:revision>
  <dcterms:created xsi:type="dcterms:W3CDTF">2024-10-23T09:30:00Z</dcterms:created>
  <dcterms:modified xsi:type="dcterms:W3CDTF">2024-10-23T09:59:00Z</dcterms:modified>
</cp:coreProperties>
</file>