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E6BA" w14:textId="77777777" w:rsidR="00AC772F" w:rsidRDefault="00000000" w:rsidP="008124C4">
      <w:pPr>
        <w:pStyle w:val="FirstParagraph"/>
        <w:spacing w:line="360" w:lineRule="auto"/>
      </w:pPr>
      <w:r>
        <w:t xml:space="preserve"> </w:t>
      </w:r>
    </w:p>
    <w:p w14:paraId="1D8733A1" w14:textId="77777777" w:rsidR="00AC772F" w:rsidRDefault="00000000" w:rsidP="008124C4">
      <w:pPr>
        <w:pStyle w:val="BodyText"/>
        <w:spacing w:line="360" w:lineRule="auto"/>
      </w:pPr>
      <w:r>
        <w:t xml:space="preserve"> </w:t>
      </w:r>
    </w:p>
    <w:p w14:paraId="66D47AF5" w14:textId="14B4C5E9" w:rsidR="00AC772F" w:rsidRPr="004D4137" w:rsidRDefault="00000000" w:rsidP="008124C4">
      <w:pPr>
        <w:pStyle w:val="Heading1"/>
        <w:spacing w:line="360" w:lineRule="auto"/>
        <w:rPr>
          <w:sz w:val="28"/>
          <w:szCs w:val="28"/>
        </w:rPr>
      </w:pPr>
      <w:bookmarkStart w:id="0" w:name="title"/>
      <w:r w:rsidRPr="004D4137">
        <w:rPr>
          <w:sz w:val="28"/>
          <w:szCs w:val="28"/>
        </w:rPr>
        <w:t xml:space="preserve">Multiple Probabilities of Direction: A Rationale for </w:t>
      </w:r>
      <w:r w:rsidR="00852EE8">
        <w:rPr>
          <w:sz w:val="28"/>
          <w:szCs w:val="28"/>
        </w:rPr>
        <w:t>Prior odds</w:t>
      </w:r>
      <w:r w:rsidRPr="004D4137">
        <w:rPr>
          <w:sz w:val="28"/>
          <w:szCs w:val="28"/>
        </w:rPr>
        <w:t xml:space="preserve"> Adjustment</w:t>
      </w:r>
    </w:p>
    <w:p w14:paraId="007DF02F" w14:textId="77777777" w:rsidR="00AC772F" w:rsidRDefault="00000000" w:rsidP="008124C4">
      <w:pPr>
        <w:pStyle w:val="Author"/>
        <w:spacing w:line="360" w:lineRule="auto"/>
      </w:pPr>
      <w:r>
        <w:t xml:space="preserve"> </w:t>
      </w:r>
    </w:p>
    <w:p w14:paraId="5E2AB896" w14:textId="77777777" w:rsidR="008124C4" w:rsidRPr="008124C4" w:rsidRDefault="008124C4" w:rsidP="008124C4">
      <w:pPr>
        <w:pStyle w:val="BodyText"/>
      </w:pPr>
    </w:p>
    <w:p w14:paraId="7A73F31E" w14:textId="77777777" w:rsidR="00AC772F" w:rsidRPr="009D3981" w:rsidRDefault="00000000" w:rsidP="008124C4">
      <w:pPr>
        <w:pStyle w:val="Author"/>
        <w:spacing w:line="360" w:lineRule="auto"/>
        <w:rPr>
          <w:lang w:val="it-IT"/>
        </w:rPr>
      </w:pPr>
      <w:r w:rsidRPr="009D3981">
        <w:rPr>
          <w:lang w:val="it-IT"/>
        </w:rPr>
        <w:t>Margherita Calderan</w:t>
      </w:r>
      <w:r w:rsidRPr="009D3981">
        <w:rPr>
          <w:vertAlign w:val="superscript"/>
          <w:lang w:val="it-IT"/>
        </w:rPr>
        <w:t>1</w:t>
      </w:r>
      <w:r w:rsidRPr="009D3981">
        <w:rPr>
          <w:lang w:val="it-IT"/>
        </w:rPr>
        <w:t>, Filippo Gambarota</w:t>
      </w:r>
      <w:r w:rsidRPr="009D3981">
        <w:rPr>
          <w:vertAlign w:val="superscript"/>
          <w:lang w:val="it-IT"/>
        </w:rPr>
        <w:t>2</w:t>
      </w:r>
      <w:r w:rsidRPr="009D3981">
        <w:rPr>
          <w:lang w:val="it-IT"/>
        </w:rPr>
        <w:t>, Enrico Toffalini</w:t>
      </w:r>
      <w:r w:rsidRPr="009D3981">
        <w:rPr>
          <w:vertAlign w:val="superscript"/>
          <w:lang w:val="it-IT"/>
        </w:rPr>
        <w:t>1</w:t>
      </w:r>
      <w:r w:rsidRPr="009D3981">
        <w:rPr>
          <w:lang w:val="it-IT"/>
        </w:rPr>
        <w:t>, and Gianmarco Altoè</w:t>
      </w:r>
      <w:r w:rsidRPr="009D3981">
        <w:rPr>
          <w:vertAlign w:val="superscript"/>
          <w:lang w:val="it-IT"/>
        </w:rPr>
        <w:t>2</w:t>
      </w:r>
    </w:p>
    <w:p w14:paraId="4D42C102" w14:textId="77777777" w:rsidR="00AC772F" w:rsidRDefault="00000000" w:rsidP="008124C4">
      <w:pPr>
        <w:pStyle w:val="Author"/>
        <w:spacing w:line="360" w:lineRule="auto"/>
      </w:pPr>
      <w:r>
        <w:rPr>
          <w:vertAlign w:val="superscript"/>
        </w:rPr>
        <w:t>1</w:t>
      </w:r>
      <w:r>
        <w:t>Department of General Psychology, University of Padova</w:t>
      </w:r>
    </w:p>
    <w:p w14:paraId="14F33961" w14:textId="77777777" w:rsidR="00AC772F" w:rsidRDefault="00000000" w:rsidP="008124C4">
      <w:pPr>
        <w:pStyle w:val="Author"/>
        <w:spacing w:line="360" w:lineRule="auto"/>
      </w:pPr>
      <w:r>
        <w:rPr>
          <w:vertAlign w:val="superscript"/>
        </w:rPr>
        <w:t>2</w:t>
      </w:r>
      <w:r>
        <w:t>Department of Developmental Psychology and Socialization, University of Padova</w:t>
      </w:r>
    </w:p>
    <w:p w14:paraId="51ECF4EF" w14:textId="77777777" w:rsidR="00AC772F" w:rsidRDefault="00000000" w:rsidP="008124C4">
      <w:pPr>
        <w:pStyle w:val="BodyText"/>
        <w:spacing w:line="360" w:lineRule="auto"/>
      </w:pPr>
      <w:r>
        <w:t xml:space="preserve"> </w:t>
      </w:r>
    </w:p>
    <w:p w14:paraId="765F2F55" w14:textId="77777777" w:rsidR="008124C4" w:rsidRDefault="008124C4" w:rsidP="008124C4">
      <w:pPr>
        <w:pStyle w:val="BodyText"/>
        <w:spacing w:line="360" w:lineRule="auto"/>
      </w:pPr>
    </w:p>
    <w:p w14:paraId="0A7D6598" w14:textId="77777777" w:rsidR="00AC772F" w:rsidRDefault="00000000" w:rsidP="008124C4">
      <w:pPr>
        <w:pStyle w:val="BodyText"/>
        <w:spacing w:line="360" w:lineRule="auto"/>
      </w:pPr>
      <w:r>
        <w:t xml:space="preserve"> </w:t>
      </w:r>
    </w:p>
    <w:p w14:paraId="07AF39DC" w14:textId="77777777" w:rsidR="00AC772F" w:rsidRPr="009D3981" w:rsidRDefault="00000000" w:rsidP="008124C4">
      <w:pPr>
        <w:pStyle w:val="Heading1"/>
        <w:spacing w:line="360" w:lineRule="auto"/>
        <w:rPr>
          <w:lang w:val="it-IT"/>
        </w:rPr>
      </w:pPr>
      <w:bookmarkStart w:id="1" w:name="author-note"/>
      <w:bookmarkEnd w:id="0"/>
      <w:r w:rsidRPr="009D3981">
        <w:rPr>
          <w:lang w:val="it-IT"/>
        </w:rPr>
        <w:t>Author Note</w:t>
      </w:r>
    </w:p>
    <w:p w14:paraId="684B64E4" w14:textId="77777777" w:rsidR="00AC772F" w:rsidRPr="009D3981" w:rsidRDefault="00000000" w:rsidP="008124C4">
      <w:pPr>
        <w:pStyle w:val="FirstParagraph"/>
        <w:spacing w:line="360" w:lineRule="auto"/>
        <w:rPr>
          <w:lang w:val="it-IT"/>
        </w:rPr>
      </w:pPr>
      <w:r w:rsidRPr="009D3981">
        <w:rPr>
          <w:lang w:val="it-IT"/>
        </w:rPr>
        <w:t xml:space="preserve">Margherita Calderan </w:t>
      </w:r>
      <w:r>
        <w:rPr>
          <w:noProof/>
        </w:rPr>
        <w:drawing>
          <wp:inline distT="0" distB="0" distL="0" distR="0" wp14:anchorId="11290C6A" wp14:editId="6ECE0550">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rsidRPr="009D3981">
        <w:rPr>
          <w:lang w:val="it-IT"/>
        </w:rPr>
        <w:t xml:space="preserve"> </w:t>
      </w:r>
      <w:hyperlink r:id="rId9">
        <w:r w:rsidR="00AC772F" w:rsidRPr="009D3981">
          <w:rPr>
            <w:rStyle w:val="Hyperlink"/>
            <w:lang w:val="it-IT"/>
          </w:rPr>
          <w:t>https://orcid.org/0009-0005-5668-5162</w:t>
        </w:r>
      </w:hyperlink>
    </w:p>
    <w:p w14:paraId="2F6A72F8" w14:textId="77777777" w:rsidR="00AC772F" w:rsidRPr="009D3981" w:rsidRDefault="00000000" w:rsidP="008124C4">
      <w:pPr>
        <w:pStyle w:val="BodyText"/>
        <w:spacing w:line="360" w:lineRule="auto"/>
        <w:rPr>
          <w:lang w:val="it-IT"/>
        </w:rPr>
      </w:pPr>
      <w:r w:rsidRPr="009D3981">
        <w:rPr>
          <w:lang w:val="it-IT"/>
        </w:rPr>
        <w:t xml:space="preserve">Filippo </w:t>
      </w:r>
      <w:proofErr w:type="spellStart"/>
      <w:r w:rsidRPr="009D3981">
        <w:rPr>
          <w:lang w:val="it-IT"/>
        </w:rPr>
        <w:t>Gambarota</w:t>
      </w:r>
      <w:proofErr w:type="spellEnd"/>
      <w:r w:rsidRPr="009D3981">
        <w:rPr>
          <w:lang w:val="it-IT"/>
        </w:rPr>
        <w:t xml:space="preserve"> </w:t>
      </w:r>
      <w:r>
        <w:rPr>
          <w:noProof/>
        </w:rPr>
        <w:drawing>
          <wp:inline distT="0" distB="0" distL="0" distR="0" wp14:anchorId="70AEC0DA" wp14:editId="7B294F85">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rsidRPr="009D3981">
        <w:rPr>
          <w:lang w:val="it-IT"/>
        </w:rPr>
        <w:t xml:space="preserve"> </w:t>
      </w:r>
      <w:hyperlink r:id="rId10">
        <w:r w:rsidR="00AC772F" w:rsidRPr="009D3981">
          <w:rPr>
            <w:rStyle w:val="Hyperlink"/>
            <w:lang w:val="it-IT"/>
          </w:rPr>
          <w:t>https://orcid.org/0000-0002-6666-1747</w:t>
        </w:r>
      </w:hyperlink>
    </w:p>
    <w:p w14:paraId="21C95C67" w14:textId="77777777" w:rsidR="00AC772F" w:rsidRPr="009D3981" w:rsidRDefault="00000000" w:rsidP="008124C4">
      <w:pPr>
        <w:pStyle w:val="BodyText"/>
        <w:spacing w:line="360" w:lineRule="auto"/>
        <w:rPr>
          <w:lang w:val="it-IT"/>
        </w:rPr>
      </w:pPr>
      <w:r w:rsidRPr="009D3981">
        <w:rPr>
          <w:lang w:val="it-IT"/>
        </w:rPr>
        <w:t xml:space="preserve">Enrico </w:t>
      </w:r>
      <w:proofErr w:type="spellStart"/>
      <w:r w:rsidRPr="009D3981">
        <w:rPr>
          <w:lang w:val="it-IT"/>
        </w:rPr>
        <w:t>Toffalini</w:t>
      </w:r>
      <w:proofErr w:type="spellEnd"/>
      <w:r w:rsidRPr="009D3981">
        <w:rPr>
          <w:lang w:val="it-IT"/>
        </w:rPr>
        <w:t xml:space="preserve"> </w:t>
      </w:r>
      <w:r>
        <w:rPr>
          <w:noProof/>
        </w:rPr>
        <w:drawing>
          <wp:inline distT="0" distB="0" distL="0" distR="0" wp14:anchorId="7ADCA9E8" wp14:editId="7E6F2E93">
            <wp:extent cx="152279" cy="152279"/>
            <wp:effectExtent l="0" t="0" r="0" b="0"/>
            <wp:docPr id="30"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1"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rsidRPr="009D3981">
        <w:rPr>
          <w:lang w:val="it-IT"/>
        </w:rPr>
        <w:t xml:space="preserve"> </w:t>
      </w:r>
      <w:hyperlink r:id="rId11">
        <w:r w:rsidR="00AC772F" w:rsidRPr="009D3981">
          <w:rPr>
            <w:rStyle w:val="Hyperlink"/>
            <w:lang w:val="it-IT"/>
          </w:rPr>
          <w:t>https://orcid.org/0000-0002-1404-5133</w:t>
        </w:r>
      </w:hyperlink>
    </w:p>
    <w:p w14:paraId="44EA99C2" w14:textId="77777777" w:rsidR="00AC772F" w:rsidRPr="009D3981" w:rsidRDefault="00000000" w:rsidP="008124C4">
      <w:pPr>
        <w:pStyle w:val="BodyText"/>
        <w:spacing w:line="360" w:lineRule="auto"/>
        <w:rPr>
          <w:lang w:val="it-IT"/>
        </w:rPr>
      </w:pPr>
      <w:r w:rsidRPr="009D3981">
        <w:rPr>
          <w:lang w:val="it-IT"/>
        </w:rPr>
        <w:t xml:space="preserve">Gianmarco Altoè </w:t>
      </w:r>
      <w:bookmarkStart w:id="2" w:name="orchid"/>
      <w:r>
        <w:rPr>
          <w:noProof/>
        </w:rPr>
        <w:drawing>
          <wp:inline distT="0" distB="0" distL="0" distR="0" wp14:anchorId="0A5AC301" wp14:editId="56F7ABBE">
            <wp:extent cx="152279" cy="152279"/>
            <wp:effectExtent l="0" t="0" r="0" b="0"/>
            <wp:docPr id="34"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5"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rsidRPr="009D3981">
        <w:rPr>
          <w:lang w:val="it-IT"/>
        </w:rPr>
        <w:t xml:space="preserve"> </w:t>
      </w:r>
      <w:hyperlink r:id="rId12">
        <w:r w:rsidR="00AC772F" w:rsidRPr="009D3981">
          <w:rPr>
            <w:rStyle w:val="Hyperlink"/>
            <w:lang w:val="it-IT"/>
          </w:rPr>
          <w:t>https://orcid.org/0000-0003-1254-9528</w:t>
        </w:r>
      </w:hyperlink>
    </w:p>
    <w:p w14:paraId="7719861C" w14:textId="77777777" w:rsidR="00AC772F" w:rsidRDefault="00000000" w:rsidP="008124C4">
      <w:pPr>
        <w:pStyle w:val="BodyText"/>
        <w:spacing w:line="360" w:lineRule="auto"/>
      </w:pPr>
      <w:r>
        <w:t xml:space="preserve">Correspondence concerning this article should be addressed to Margherita Calderan, Department of General Psychology, University of Padova, Via Venezia 8, Padova 35131, Italy, Email: </w:t>
      </w:r>
      <w:hyperlink r:id="rId13">
        <w:r w:rsidR="00AC772F">
          <w:rPr>
            <w:rStyle w:val="Hyperlink"/>
          </w:rPr>
          <w:t>margherita.calderan@unipd.it</w:t>
        </w:r>
      </w:hyperlink>
    </w:p>
    <w:p w14:paraId="293AC9D3" w14:textId="77777777" w:rsidR="00AC772F" w:rsidRDefault="00000000" w:rsidP="008124C4">
      <w:pPr>
        <w:spacing w:line="360" w:lineRule="auto"/>
      </w:pPr>
      <w:r>
        <w:br w:type="page"/>
      </w:r>
    </w:p>
    <w:p w14:paraId="4F5D5B79" w14:textId="77777777" w:rsidR="00AC772F" w:rsidRDefault="00000000" w:rsidP="008124C4">
      <w:pPr>
        <w:pStyle w:val="Heading1"/>
      </w:pPr>
      <w:bookmarkStart w:id="3" w:name="abstract"/>
      <w:bookmarkEnd w:id="1"/>
      <w:r>
        <w:lastRenderedPageBreak/>
        <w:t>Abstract</w:t>
      </w:r>
    </w:p>
    <w:p w14:paraId="4B8B1729" w14:textId="632B9B30" w:rsidR="00AC772F" w:rsidRDefault="00000000" w:rsidP="008124C4">
      <w:pPr>
        <w:pStyle w:val="AbstractFirstParagraph"/>
        <w:spacing w:line="360" w:lineRule="auto"/>
      </w:pPr>
      <w:r>
        <w:t>In psychological research, Bayesian analyses are often summarized using posterior indices and then interpreted with conventional cutoffs across many parameters. The probability of direction (</w:t>
      </w:r>
      <w:r>
        <w:rPr>
          <w:i/>
          <w:iCs/>
        </w:rPr>
        <w:t>pd</w:t>
      </w:r>
      <w:r>
        <w:t xml:space="preserve">) is one such index, defined as the posterior probability that a parameter is greater or smaller than a null value. When </w:t>
      </w:r>
      <w:r>
        <w:rPr>
          <w:i/>
          <w:iCs/>
        </w:rPr>
        <w:t>pd</w:t>
      </w:r>
      <w:r>
        <w:t xml:space="preserve"> is thresholded and used repeatedly, multiplicity becomes consequential but is rarely handled explicitly. Here, we examine the operating characteristics of </w:t>
      </w:r>
      <w:r>
        <w:rPr>
          <w:i/>
          <w:iCs/>
        </w:rPr>
        <w:t>pd</w:t>
      </w:r>
      <w:r>
        <w:t xml:space="preserve"> under repeated use by leveraging its correspondence with the frequentist </w:t>
      </w:r>
      <w:r>
        <w:rPr>
          <w:i/>
          <w:iCs/>
        </w:rPr>
        <w:t>p</w:t>
      </w:r>
      <w:r>
        <w:t xml:space="preserve">-value under common settings. Simulations show that extreme </w:t>
      </w:r>
      <w:r>
        <w:rPr>
          <w:i/>
          <w:iCs/>
        </w:rPr>
        <w:t>pd</w:t>
      </w:r>
      <w:r>
        <w:t xml:space="preserve"> can arise by chance and that misleading conclusions become more frequent as the number of tests increases. We further express </w:t>
      </w:r>
      <w:r>
        <w:rPr>
          <w:i/>
          <w:iCs/>
        </w:rPr>
        <w:t>pd</w:t>
      </w:r>
      <w:r>
        <w:t xml:space="preserve"> in terms of posterior odds and propose </w:t>
      </w:r>
      <w:r w:rsidR="00852EE8">
        <w:t>prior odds</w:t>
      </w:r>
      <w:r>
        <w:t xml:space="preserve"> adjustments that provide multiplicity control while preserving Bayesian coherence. To support practical implementation, we provide an R package that applies the proposed </w:t>
      </w:r>
      <w:r w:rsidR="00852EE8">
        <w:t>prior odds</w:t>
      </w:r>
      <w:r>
        <w:t xml:space="preserve"> corrections.</w:t>
      </w:r>
    </w:p>
    <w:p w14:paraId="2319123F" w14:textId="77777777" w:rsidR="00E93CA2" w:rsidRDefault="00E93CA2" w:rsidP="008124C4">
      <w:pPr>
        <w:pStyle w:val="AbstractFirstParagraph"/>
        <w:spacing w:line="360" w:lineRule="auto"/>
      </w:pPr>
    </w:p>
    <w:p w14:paraId="32045072" w14:textId="1E7969CC" w:rsidR="00AC772F" w:rsidRDefault="00000000" w:rsidP="008124C4">
      <w:pPr>
        <w:pStyle w:val="BodyText"/>
        <w:spacing w:line="360" w:lineRule="auto"/>
      </w:pPr>
      <w:r>
        <w:rPr>
          <w:i/>
          <w:iCs/>
        </w:rPr>
        <w:t>Keywords</w:t>
      </w:r>
      <w:r>
        <w:t xml:space="preserve">: probability of direction, multiple testing, </w:t>
      </w:r>
      <w:r w:rsidR="00852EE8">
        <w:t>prior odds</w:t>
      </w:r>
    </w:p>
    <w:p w14:paraId="6A8EE301" w14:textId="77777777" w:rsidR="00AC772F" w:rsidRDefault="00000000" w:rsidP="008124C4">
      <w:pPr>
        <w:spacing w:line="360" w:lineRule="auto"/>
      </w:pPr>
      <w:r>
        <w:br w:type="page"/>
      </w:r>
    </w:p>
    <w:p w14:paraId="06A7830B" w14:textId="4C7ED356" w:rsidR="00AC772F" w:rsidRDefault="00000000" w:rsidP="008124C4">
      <w:pPr>
        <w:pStyle w:val="Heading1"/>
      </w:pPr>
      <w:bookmarkStart w:id="4" w:name="firstheader"/>
      <w:bookmarkEnd w:id="3"/>
      <w:r>
        <w:lastRenderedPageBreak/>
        <w:t xml:space="preserve">Multiple Probabilities of Direction: A Rationale for </w:t>
      </w:r>
      <w:r w:rsidR="00852EE8">
        <w:t>Prior odds</w:t>
      </w:r>
      <w:r>
        <w:t xml:space="preserve"> Adjustment</w:t>
      </w:r>
    </w:p>
    <w:p w14:paraId="635B0321" w14:textId="77777777" w:rsidR="00AC772F" w:rsidRDefault="00000000" w:rsidP="008124C4">
      <w:pPr>
        <w:pStyle w:val="FirstParagraph"/>
        <w:spacing w:line="360" w:lineRule="auto"/>
      </w:pPr>
      <w:r>
        <w:t>Over the past two decades, the proportion of articles reporting Bayesian analyses in psychology has increased considerably (</w:t>
      </w:r>
      <w:hyperlink w:anchor="ref-Jevremov2024">
        <w:r w:rsidR="00AC772F">
          <w:rPr>
            <w:rStyle w:val="Hyperlink"/>
          </w:rPr>
          <w:t>Jevremov &amp; Pajić, 2024</w:t>
        </w:r>
      </w:hyperlink>
      <w:r>
        <w:t xml:space="preserve">; </w:t>
      </w:r>
      <w:hyperlink w:anchor="ref-Pfadt2025">
        <w:r w:rsidR="00AC772F">
          <w:rPr>
            <w:rStyle w:val="Hyperlink"/>
          </w:rPr>
          <w:t>Pfadt et al., 2025</w:t>
        </w:r>
      </w:hyperlink>
      <w:r>
        <w:t xml:space="preserve">; </w:t>
      </w:r>
      <w:hyperlink w:anchor="ref-Van2017">
        <w:r w:rsidR="00AC772F">
          <w:rPr>
            <w:rStyle w:val="Hyperlink"/>
          </w:rPr>
          <w:t>Van De Schoot et al., 2017</w:t>
        </w:r>
      </w:hyperlink>
      <w:r>
        <w:t>). Unfortunately, this expansion has been accompanied by practices reminiscent of the “null ritual” in frequentist statistics, where widespread use was associated with automatic application rather than principled reasoning (</w:t>
      </w:r>
      <w:hyperlink w:anchor="ref-Cohen1994">
        <w:r w:rsidR="00AC772F">
          <w:rPr>
            <w:rStyle w:val="Hyperlink"/>
          </w:rPr>
          <w:t>Cohen, 1994</w:t>
        </w:r>
      </w:hyperlink>
      <w:r>
        <w:t xml:space="preserve">; </w:t>
      </w:r>
      <w:hyperlink w:anchor="ref-Gigerenzer2004">
        <w:r w:rsidR="00AC772F">
          <w:rPr>
            <w:rStyle w:val="Hyperlink"/>
          </w:rPr>
          <w:t>Gigerenzer, 2004</w:t>
        </w:r>
      </w:hyperlink>
      <w:r>
        <w:t>). For instance, researchers sometimes treat Bayes factor thresholds (e.g., BF &gt; 3) as dichotomous decision rules or claim that an effect “exists” because the posterior probability of a positive effect exceeds a conventional benchmark such as 95% (</w:t>
      </w:r>
      <w:hyperlink w:anchor="ref-Heck2023">
        <w:r w:rsidR="00AC772F">
          <w:rPr>
            <w:rStyle w:val="Hyperlink"/>
          </w:rPr>
          <w:t>Heck et al., 2023</w:t>
        </w:r>
      </w:hyperlink>
      <w:r>
        <w:t xml:space="preserve">; </w:t>
      </w:r>
      <w:hyperlink w:anchor="ref-Hoijtink2016">
        <w:r w:rsidR="00AC772F">
          <w:rPr>
            <w:rStyle w:val="Hyperlink"/>
          </w:rPr>
          <w:t>Hoijtink et al., 2016</w:t>
        </w:r>
      </w:hyperlink>
      <w:r>
        <w:t xml:space="preserve">; </w:t>
      </w:r>
      <w:hyperlink w:anchor="ref-Kelter2023">
        <w:r w:rsidR="00AC772F">
          <w:rPr>
            <w:rStyle w:val="Hyperlink"/>
          </w:rPr>
          <w:t>Kelter, 2023</w:t>
        </w:r>
      </w:hyperlink>
      <w:r>
        <w:t xml:space="preserve">; </w:t>
      </w:r>
      <w:hyperlink w:anchor="ref-Kruschke2018">
        <w:r w:rsidR="00AC772F">
          <w:rPr>
            <w:rStyle w:val="Hyperlink"/>
          </w:rPr>
          <w:t>Kruschke, 2018</w:t>
        </w:r>
      </w:hyperlink>
      <w:r>
        <w:t xml:space="preserve">; </w:t>
      </w:r>
      <w:hyperlink w:anchor="ref-Tendeiro2024">
        <w:r w:rsidR="00AC772F">
          <w:rPr>
            <w:rStyle w:val="Hyperlink"/>
          </w:rPr>
          <w:t>Tendeiro et al., 2024</w:t>
        </w:r>
      </w:hyperlink>
      <w:r>
        <w:t xml:space="preserve">; </w:t>
      </w:r>
      <w:hyperlink w:anchor="ref-Tendeiro2019">
        <w:r w:rsidR="00AC772F">
          <w:rPr>
            <w:rStyle w:val="Hyperlink"/>
          </w:rPr>
          <w:t>Tendeiro &amp; Kiers, 2019</w:t>
        </w:r>
      </w:hyperlink>
      <w:r>
        <w:t>). While such summaries are convenient, their use as default cutoffs encourages all-or-none interpretations. When these binary judgments are applied repeatedly across many parameters, the issue of multiplicity arises.</w:t>
      </w:r>
    </w:p>
    <w:p w14:paraId="3593E36D" w14:textId="77777777" w:rsidR="00AC772F" w:rsidRDefault="00000000" w:rsidP="008124C4">
      <w:pPr>
        <w:pStyle w:val="BodyText"/>
        <w:spacing w:line="360" w:lineRule="auto"/>
      </w:pPr>
      <w:r>
        <w:t xml:space="preserve">In the frequentist framework, multiplicity is typically framed as Type I error (false-positive) problem: if each individual test is conducted at level </w:t>
      </w:r>
      <m:oMath>
        <m:r>
          <w:rPr>
            <w:rFonts w:ascii="Cambria Math" w:hAnsi="Cambria Math"/>
          </w:rPr>
          <m:t>α</m:t>
        </m:r>
      </m:oMath>
      <w:r>
        <w:t>, the probability of at least one false positive increases with the number of tests. Classical approaches therefore control either the familywise error rate (the probability of at least one Type I error) or the false discovery rate (the expected proportion of false positives among rejected hypotheses) [</w:t>
      </w:r>
      <w:r>
        <w:rPr>
          <w:b/>
          <w:bCs/>
        </w:rPr>
        <w:t>REFs</w:t>
      </w:r>
      <w:r>
        <w:t>]. However, multiplicity concerns extend beyond false positives. When researchers examine many parameters and highlight the most extreme estimates, selection effects can produce exaggerated magnitudes (</w:t>
      </w:r>
      <w:hyperlink w:anchor="ref-Altoe2020">
        <w:r w:rsidR="00AC772F">
          <w:rPr>
            <w:rStyle w:val="Hyperlink"/>
          </w:rPr>
          <w:t>Altoè et al., 2020</w:t>
        </w:r>
      </w:hyperlink>
      <w:r>
        <w:t xml:space="preserve">; </w:t>
      </w:r>
      <w:hyperlink w:anchor="ref-Gelman2000">
        <w:r w:rsidR="00AC772F">
          <w:rPr>
            <w:rStyle w:val="Hyperlink"/>
          </w:rPr>
          <w:t>Gelman &amp; Tuerlinckx, 2000</w:t>
        </w:r>
      </w:hyperlink>
      <w:r>
        <w:t xml:space="preserve">; </w:t>
      </w:r>
      <w:hyperlink w:anchor="ref-Zwet2021">
        <w:r w:rsidR="00AC772F">
          <w:rPr>
            <w:rStyle w:val="Hyperlink"/>
          </w:rPr>
          <w:t>Zwet &amp; Cator, 2021</w:t>
        </w:r>
      </w:hyperlink>
      <w:r>
        <w:t>). Bayesian shrinkage methods address these distortions by pulling extreme estimates toward more plausible values. Such shrinkage can arise through hierarchical models with partial pooling (</w:t>
      </w:r>
      <w:hyperlink w:anchor="ref-Berry1999">
        <w:r w:rsidR="00AC772F">
          <w:rPr>
            <w:rStyle w:val="Hyperlink"/>
          </w:rPr>
          <w:t>Berry &amp; Hochberg, 1999</w:t>
        </w:r>
      </w:hyperlink>
      <w:r>
        <w:t xml:space="preserve">; </w:t>
      </w:r>
      <w:hyperlink w:anchor="ref-Gelman2012">
        <w:r w:rsidR="00AC772F">
          <w:rPr>
            <w:rStyle w:val="Hyperlink"/>
          </w:rPr>
          <w:t>Gelman et al., 2012</w:t>
        </w:r>
      </w:hyperlink>
      <w:r>
        <w:t xml:space="preserve">, </w:t>
      </w:r>
      <w:hyperlink w:anchor="ref-GelmanBook">
        <w:r w:rsidR="00AC772F">
          <w:rPr>
            <w:rStyle w:val="Hyperlink"/>
          </w:rPr>
          <w:t>2013</w:t>
        </w:r>
      </w:hyperlink>
      <w:r>
        <w:t xml:space="preserve">; </w:t>
      </w:r>
      <w:hyperlink w:anchor="ref-Kruschke2011">
        <w:r w:rsidR="00AC772F">
          <w:rPr>
            <w:rStyle w:val="Hyperlink"/>
          </w:rPr>
          <w:t>Kruschke, 2011</w:t>
        </w:r>
      </w:hyperlink>
      <w:r>
        <w:t>) and/or through informative priors that reduce overestimation in low signal-to-noise settings (</w:t>
      </w:r>
      <w:hyperlink w:anchor="ref-Dawid1994">
        <w:r w:rsidR="00AC772F">
          <w:rPr>
            <w:rStyle w:val="Hyperlink"/>
          </w:rPr>
          <w:t>Dawid, 1994</w:t>
        </w:r>
      </w:hyperlink>
      <w:r>
        <w:t xml:space="preserve">; </w:t>
      </w:r>
      <w:hyperlink w:anchor="ref-Zwet2022">
        <w:r w:rsidR="00AC772F">
          <w:rPr>
            <w:rStyle w:val="Hyperlink"/>
          </w:rPr>
          <w:t>Zwet &amp; Gelman, 2022</w:t>
        </w:r>
      </w:hyperlink>
      <w:r>
        <w:t>).</w:t>
      </w:r>
    </w:p>
    <w:p w14:paraId="0588AFA8" w14:textId="77777777" w:rsidR="00AC772F" w:rsidRDefault="00000000" w:rsidP="008124C4">
      <w:pPr>
        <w:pStyle w:val="BodyText"/>
        <w:spacing w:line="360" w:lineRule="auto"/>
      </w:pPr>
      <w:r>
        <w:t>Regularization improves estimation, but it does not by itself calibrate repeated threshold-based decisions across many parameters. If the same cutoff is applied to many parameters (e.g., declaring an effect whenever posterior probability exceeds 0.95), the chance of at least one spurious finding can remain inflated, even if shrinkage reduces it. Bayesian approaches that directly target this issue typically rely on either simultaneous credible statements (</w:t>
      </w:r>
      <w:hyperlink w:anchor="ref-Box1992">
        <w:r w:rsidR="00AC772F">
          <w:rPr>
            <w:rStyle w:val="Hyperlink"/>
          </w:rPr>
          <w:t xml:space="preserve">Box &amp; Tiao, </w:t>
        </w:r>
        <w:r w:rsidR="00AC772F">
          <w:rPr>
            <w:rStyle w:val="Hyperlink"/>
          </w:rPr>
          <w:lastRenderedPageBreak/>
          <w:t>1992</w:t>
        </w:r>
      </w:hyperlink>
      <w:r>
        <w:t xml:space="preserve">; </w:t>
      </w:r>
      <w:hyperlink w:anchor="ref-Gelman2000">
        <w:r w:rsidR="00AC772F">
          <w:rPr>
            <w:rStyle w:val="Hyperlink"/>
          </w:rPr>
          <w:t>Gelman &amp; Tuerlinckx, 2000</w:t>
        </w:r>
      </w:hyperlink>
      <w:r>
        <w:t xml:space="preserve">; </w:t>
      </w:r>
      <w:hyperlink w:anchor="ref-Pruzek2016">
        <w:r w:rsidR="00AC772F">
          <w:rPr>
            <w:rStyle w:val="Hyperlink"/>
          </w:rPr>
          <w:t>Pruzek, 2016</w:t>
        </w:r>
      </w:hyperlink>
      <w:r>
        <w:t xml:space="preserve">; </w:t>
      </w:r>
      <w:hyperlink w:anchor="ref-Schnell2020">
        <w:r w:rsidR="00AC772F">
          <w:rPr>
            <w:rStyle w:val="Hyperlink"/>
          </w:rPr>
          <w:t>Schnell et al., 2020</w:t>
        </w:r>
      </w:hyperlink>
      <w:r>
        <w:t>) or priors on the hypothesis/model space that scale with the number of tested effects (</w:t>
      </w:r>
      <w:hyperlink w:anchor="ref-Jeffreys1938">
        <w:r w:rsidR="00AC772F">
          <w:rPr>
            <w:rStyle w:val="Hyperlink"/>
          </w:rPr>
          <w:t>Jeffreys, 1938</w:t>
        </w:r>
      </w:hyperlink>
      <w:r>
        <w:t xml:space="preserve">; </w:t>
      </w:r>
      <w:hyperlink w:anchor="ref-Scott2006">
        <w:r w:rsidR="00AC772F">
          <w:rPr>
            <w:rStyle w:val="Hyperlink"/>
          </w:rPr>
          <w:t>Scott &amp; Berger, 2006</w:t>
        </w:r>
      </w:hyperlink>
      <w:r>
        <w:t xml:space="preserve">; </w:t>
      </w:r>
      <w:hyperlink w:anchor="ref-Scott2010">
        <w:r w:rsidR="00AC772F">
          <w:rPr>
            <w:rStyle w:val="Hyperlink"/>
          </w:rPr>
          <w:t>Scott &amp; Berger, 2010</w:t>
        </w:r>
      </w:hyperlink>
      <w:r>
        <w:t xml:space="preserve">; </w:t>
      </w:r>
      <w:hyperlink w:anchor="ref-Westfall1997">
        <w:r w:rsidR="00AC772F">
          <w:rPr>
            <w:rStyle w:val="Hyperlink"/>
          </w:rPr>
          <w:t>Westfall et al., 1997</w:t>
        </w:r>
      </w:hyperlink>
      <w:r>
        <w:t>). Nevertheless, psychological researchers often conflate selection effects that distort estimates with the distinct problem of making many simultaneous decisions. As a result, shrinkage is sometimes treated as sufficient for multiplicity control (</w:t>
      </w:r>
      <w:hyperlink w:anchor="ref-Chen2020">
        <w:r w:rsidR="00AC772F">
          <w:rPr>
            <w:rStyle w:val="Hyperlink"/>
          </w:rPr>
          <w:t>Chen et al., 2020</w:t>
        </w:r>
      </w:hyperlink>
      <w:r>
        <w:t xml:space="preserve">; </w:t>
      </w:r>
      <w:hyperlink w:anchor="ref-Basket2015">
        <w:r w:rsidR="00AC772F">
          <w:rPr>
            <w:rStyle w:val="Hyperlink"/>
          </w:rPr>
          <w:t>Erčulj &amp; Štrumbelj, 2015</w:t>
        </w:r>
      </w:hyperlink>
      <w:r>
        <w:t xml:space="preserve">; </w:t>
      </w:r>
      <w:hyperlink w:anchor="ref-Hogeveen2022">
        <w:r w:rsidR="00AC772F">
          <w:rPr>
            <w:rStyle w:val="Hyperlink"/>
          </w:rPr>
          <w:t>Hogeveen et al., 2022</w:t>
        </w:r>
      </w:hyperlink>
      <w:r>
        <w:t xml:space="preserve">; </w:t>
      </w:r>
      <w:hyperlink w:anchor="ref-Limbachia2021">
        <w:r w:rsidR="00AC772F">
          <w:rPr>
            <w:rStyle w:val="Hyperlink"/>
          </w:rPr>
          <w:t>Limbachia et al., 2021</w:t>
        </w:r>
      </w:hyperlink>
      <w:r>
        <w:t xml:space="preserve">; </w:t>
      </w:r>
      <w:hyperlink w:anchor="ref-Mathar2022">
        <w:r w:rsidR="00AC772F">
          <w:rPr>
            <w:rStyle w:val="Hyperlink"/>
          </w:rPr>
          <w:t>Mathar et al., 2022</w:t>
        </w:r>
      </w:hyperlink>
      <w:r>
        <w:t>).</w:t>
      </w:r>
    </w:p>
    <w:p w14:paraId="67C77873" w14:textId="77777777" w:rsidR="00AC772F" w:rsidRDefault="00000000" w:rsidP="008124C4">
      <w:pPr>
        <w:pStyle w:val="BodyText"/>
        <w:spacing w:line="360" w:lineRule="auto"/>
      </w:pPr>
      <w:r>
        <w:t xml:space="preserve">Other justifications invokes the </w:t>
      </w:r>
      <w:r>
        <w:rPr>
          <w:i/>
          <w:iCs/>
        </w:rPr>
        <w:t>subjectivist</w:t>
      </w:r>
      <w:r>
        <w:t xml:space="preserve"> interpretation of Bayesian inference, which treats posterior probabilities as rational degrees of personal belief (</w:t>
      </w:r>
      <w:hyperlink w:anchor="ref-DeFinetti1975">
        <w:r w:rsidR="00AC772F">
          <w:rPr>
            <w:rStyle w:val="Hyperlink"/>
          </w:rPr>
          <w:t>De Finetti, 2017</w:t>
        </w:r>
      </w:hyperlink>
      <w:r>
        <w:t xml:space="preserve">; </w:t>
      </w:r>
      <w:hyperlink w:anchor="ref-Edwards1963">
        <w:r w:rsidR="00AC772F">
          <w:rPr>
            <w:rStyle w:val="Hyperlink"/>
          </w:rPr>
          <w:t>Edwards et al., 1963</w:t>
        </w:r>
      </w:hyperlink>
      <w:r>
        <w:t xml:space="preserve">; </w:t>
      </w:r>
      <w:hyperlink w:anchor="ref-Lindley1972">
        <w:r w:rsidR="00AC772F">
          <w:rPr>
            <w:rStyle w:val="Hyperlink"/>
          </w:rPr>
          <w:t>Lindley, 1972</w:t>
        </w:r>
      </w:hyperlink>
      <w:r>
        <w:t xml:space="preserve">; </w:t>
      </w:r>
      <w:hyperlink w:anchor="ref-Rozeboom1960">
        <w:r w:rsidR="00AC772F">
          <w:rPr>
            <w:rStyle w:val="Hyperlink"/>
          </w:rPr>
          <w:t>Rozeboom, 1960</w:t>
        </w:r>
      </w:hyperlink>
      <w:r>
        <w:t>). However, this interpretation fits poorly with common psychological practice, where researchers typically apply default software priors (often weakly informative) rather than priors encoding substantive domain knowledge (</w:t>
      </w:r>
      <w:hyperlink w:anchor="ref-Smid2020">
        <w:r w:rsidR="00AC772F">
          <w:rPr>
            <w:rStyle w:val="Hyperlink"/>
          </w:rPr>
          <w:t>Smid &amp; Winter, 2020</w:t>
        </w:r>
      </w:hyperlink>
      <w:r>
        <w:t xml:space="preserve">; </w:t>
      </w:r>
      <w:hyperlink w:anchor="ref-Van2017">
        <w:r w:rsidR="00AC772F">
          <w:rPr>
            <w:rStyle w:val="Hyperlink"/>
          </w:rPr>
          <w:t>Van De Schoot et al., 2017</w:t>
        </w:r>
      </w:hyperlink>
      <w:r>
        <w:t>). When these priors are combined with sufficient data, Bayesian and frequentist procedures often converge to similar conclusions (</w:t>
      </w:r>
      <w:hyperlink w:anchor="ref-Albers2018">
        <w:r w:rsidR="00AC772F">
          <w:rPr>
            <w:rStyle w:val="Hyperlink"/>
          </w:rPr>
          <w:t>Albers et al., 2018</w:t>
        </w:r>
      </w:hyperlink>
      <w:r>
        <w:t xml:space="preserve">; </w:t>
      </w:r>
      <w:hyperlink w:anchor="ref-Bernardo1994">
        <w:r w:rsidR="00AC772F">
          <w:rPr>
            <w:rStyle w:val="Hyperlink"/>
          </w:rPr>
          <w:t>Bernardo &amp; Smith, 1994</w:t>
        </w:r>
      </w:hyperlink>
      <w:r>
        <w:t xml:space="preserve">; </w:t>
      </w:r>
      <w:hyperlink w:anchor="ref-GelmanBook">
        <w:r w:rsidR="00AC772F">
          <w:rPr>
            <w:rStyle w:val="Hyperlink"/>
          </w:rPr>
          <w:t>Gelman et al., 2013</w:t>
        </w:r>
      </w:hyperlink>
      <w:r>
        <w:t>). This convergence makes it both natural and useful to evaluate the frequentist operating characteristics of Bayesian decision rules under multiplicity.</w:t>
      </w:r>
    </w:p>
    <w:p w14:paraId="6A64CB5C" w14:textId="77777777" w:rsidR="00AC772F" w:rsidRDefault="00000000" w:rsidP="008124C4">
      <w:pPr>
        <w:pStyle w:val="BodyText"/>
        <w:spacing w:line="360" w:lineRule="auto"/>
      </w:pPr>
      <w:r>
        <w:t xml:space="preserve">Accordingly, we adopt a </w:t>
      </w:r>
      <w:r>
        <w:rPr>
          <w:i/>
          <w:iCs/>
        </w:rPr>
        <w:t>falsificationist</w:t>
      </w:r>
      <w:r>
        <w:t xml:space="preserve"> perspective, which treats Bayesian procedures as tools to be calibrated rather than as solely expressions of belief (</w:t>
      </w:r>
      <w:hyperlink w:anchor="ref-Box1980">
        <w:r w:rsidR="00AC772F">
          <w:rPr>
            <w:rStyle w:val="Hyperlink"/>
          </w:rPr>
          <w:t>Box, 1980</w:t>
        </w:r>
      </w:hyperlink>
      <w:r>
        <w:t xml:space="preserve">; </w:t>
      </w:r>
      <w:hyperlink w:anchor="ref-GelmanHennig2017">
        <w:r w:rsidR="00AC772F">
          <w:rPr>
            <w:rStyle w:val="Hyperlink"/>
          </w:rPr>
          <w:t>Gelman &amp; Hennig, 2017</w:t>
        </w:r>
      </w:hyperlink>
      <w:r>
        <w:t xml:space="preserve">; </w:t>
      </w:r>
      <w:hyperlink w:anchor="ref-GelmanShalizi2013">
        <w:r w:rsidR="00AC772F">
          <w:rPr>
            <w:rStyle w:val="Hyperlink"/>
          </w:rPr>
          <w:t>Gelman &amp; Shalizi, 2013</w:t>
        </w:r>
      </w:hyperlink>
      <w:r>
        <w:t xml:space="preserve">; </w:t>
      </w:r>
      <w:hyperlink w:anchor="ref-Mayo2018">
        <w:r w:rsidR="00AC772F">
          <w:rPr>
            <w:rStyle w:val="Hyperlink"/>
          </w:rPr>
          <w:t>Mayo, 2018</w:t>
        </w:r>
      </w:hyperlink>
      <w:r>
        <w:t xml:space="preserve">; </w:t>
      </w:r>
      <w:hyperlink w:anchor="ref-Rubin1984">
        <w:r w:rsidR="00AC772F">
          <w:rPr>
            <w:rStyle w:val="Hyperlink"/>
          </w:rPr>
          <w:t>Rubin, 1984</w:t>
        </w:r>
      </w:hyperlink>
      <w:r>
        <w:t>). Here, we focus on the Probability of Direction (</w:t>
      </w:r>
      <w:r>
        <w:rPr>
          <w:i/>
          <w:iCs/>
        </w:rPr>
        <w:t>pd</w:t>
      </w:r>
      <w:r>
        <w:t xml:space="preserve">), a Bayesian index that can be mapped directly to the frequentist </w:t>
      </w:r>
      <w:r>
        <w:rPr>
          <w:i/>
          <w:iCs/>
        </w:rPr>
        <w:t>p</w:t>
      </w:r>
      <w:r>
        <w:t>-value in common settings (</w:t>
      </w:r>
      <w:hyperlink w:anchor="ref-Berger1987">
        <w:r w:rsidR="00AC772F">
          <w:rPr>
            <w:rStyle w:val="Hyperlink"/>
          </w:rPr>
          <w:t>Berger &amp; Sellke, 1987</w:t>
        </w:r>
      </w:hyperlink>
      <w:r>
        <w:t xml:space="preserve">; </w:t>
      </w:r>
      <w:hyperlink w:anchor="ref-Casella1987">
        <w:r w:rsidR="00AC772F">
          <w:rPr>
            <w:rStyle w:val="Hyperlink"/>
          </w:rPr>
          <w:t>Casella &amp; Berger, 1987</w:t>
        </w:r>
      </w:hyperlink>
      <w:r>
        <w:t xml:space="preserve">; </w:t>
      </w:r>
      <w:hyperlink w:anchor="ref-Makowski2019">
        <w:r w:rsidR="00AC772F">
          <w:rPr>
            <w:rStyle w:val="Hyperlink"/>
          </w:rPr>
          <w:t>Makowski et al., 2019</w:t>
        </w:r>
      </w:hyperlink>
      <w:r>
        <w:t xml:space="preserve">; </w:t>
      </w:r>
      <w:hyperlink w:anchor="ref-Marsman2017">
        <w:r w:rsidR="00AC772F">
          <w:rPr>
            <w:rStyle w:val="Hyperlink"/>
          </w:rPr>
          <w:t>Marsman &amp; Wagenmakers, 2017</w:t>
        </w:r>
      </w:hyperlink>
      <w:r>
        <w:t xml:space="preserve">). This correspondence allows us to evaluate </w:t>
      </w:r>
      <w:r>
        <w:rPr>
          <w:i/>
          <w:iCs/>
        </w:rPr>
        <w:t>pd</w:t>
      </w:r>
      <w:r>
        <w:t>’s behavior under repeated use and to compare Bayesian and frequentist approaches to multiplicity control on common ground.</w:t>
      </w:r>
    </w:p>
    <w:p w14:paraId="37DA84BB" w14:textId="6575F86B" w:rsidR="00AC772F" w:rsidRDefault="00000000" w:rsidP="008124C4">
      <w:pPr>
        <w:pStyle w:val="BodyText"/>
        <w:spacing w:line="360" w:lineRule="auto"/>
      </w:pPr>
      <w:r>
        <w:t xml:space="preserve">The paper proceeds in four steps. First, we introduce </w:t>
      </w:r>
      <w:r>
        <w:rPr>
          <w:i/>
          <w:iCs/>
        </w:rPr>
        <w:t>pd</w:t>
      </w:r>
      <w:r>
        <w:t xml:space="preserve"> and make explicit its connection to the frequentist </w:t>
      </w:r>
      <w:r>
        <w:rPr>
          <w:i/>
          <w:iCs/>
        </w:rPr>
        <w:t>p</w:t>
      </w:r>
      <w:r>
        <w:t xml:space="preserve">-value, which provides a reference point for calibration. Second, we characterize </w:t>
      </w:r>
      <w:r>
        <w:rPr>
          <w:i/>
          <w:iCs/>
        </w:rPr>
        <w:t>pd</w:t>
      </w:r>
      <w:r>
        <w:t xml:space="preserve">’s null distribution and examine its multiple-testing behavior through simulations that quantify false-positive rates. Third, we relate </w:t>
      </w:r>
      <w:r>
        <w:rPr>
          <w:i/>
          <w:iCs/>
        </w:rPr>
        <w:t>pd</w:t>
      </w:r>
      <w:r>
        <w:t xml:space="preserve"> to directional Bayes factors and formalize the role of prior odds. Finally, we present </w:t>
      </w:r>
      <w:r w:rsidR="00852EE8">
        <w:t>prior odds</w:t>
      </w:r>
      <w:r>
        <w:t xml:space="preserve"> adjustments for multiplicity following </w:t>
      </w:r>
      <w:r>
        <w:lastRenderedPageBreak/>
        <w:t>Jeffreys (</w:t>
      </w:r>
      <w:hyperlink w:anchor="ref-Jeffreys1938">
        <w:r w:rsidR="00AC772F">
          <w:rPr>
            <w:rStyle w:val="Hyperlink"/>
          </w:rPr>
          <w:t>Jeffreys, 1938</w:t>
        </w:r>
      </w:hyperlink>
      <w:r>
        <w:t xml:space="preserve">; see also </w:t>
      </w:r>
      <w:hyperlink w:anchor="ref-Westfall1997">
        <w:r w:rsidR="00AC772F">
          <w:rPr>
            <w:rStyle w:val="Hyperlink"/>
          </w:rPr>
          <w:t>Westfall et al., 1997</w:t>
        </w:r>
      </w:hyperlink>
      <w:r>
        <w:t xml:space="preserve">), discuss implementation under dependence, and provide guidance for reporting both raw and multiplicity-adjusted </w:t>
      </w:r>
      <w:r>
        <w:rPr>
          <w:i/>
          <w:iCs/>
        </w:rPr>
        <w:t>pd</w:t>
      </w:r>
      <w:r>
        <w:t>.</w:t>
      </w:r>
    </w:p>
    <w:p w14:paraId="57C2C49C" w14:textId="77777777" w:rsidR="004D4137" w:rsidRDefault="004D4137" w:rsidP="008124C4">
      <w:pPr>
        <w:pStyle w:val="Heading3"/>
        <w:spacing w:line="360" w:lineRule="auto"/>
      </w:pPr>
      <w:bookmarkStart w:id="5" w:name="probability-of-direction-and-p-value"/>
    </w:p>
    <w:p w14:paraId="5522BA85" w14:textId="536B55AE" w:rsidR="00AC772F" w:rsidRDefault="00000000" w:rsidP="008124C4">
      <w:pPr>
        <w:pStyle w:val="Heading3"/>
      </w:pPr>
      <w:r>
        <w:t>Probability of direction and p-value</w:t>
      </w:r>
    </w:p>
    <w:p w14:paraId="305A7030" w14:textId="77777777" w:rsidR="00AC772F" w:rsidRDefault="00000000" w:rsidP="008124C4">
      <w:pPr>
        <w:pStyle w:val="FirstParagraph"/>
        <w:spacing w:line="360" w:lineRule="auto"/>
      </w:pPr>
      <w:r>
        <w:t>The probability of direction (</w:t>
      </w:r>
      <w:r>
        <w:rPr>
          <w:i/>
          <w:iCs/>
        </w:rPr>
        <w:t>pd</w:t>
      </w:r>
      <w:r>
        <w:t>) for continuous distributions can be defined as the maximum between the posterior probabilities that a parameter is greater or smaller than the null value:</w:t>
      </w:r>
    </w:p>
    <w:p w14:paraId="188E9C2F" w14:textId="77777777" w:rsidR="00AC772F" w:rsidRDefault="00000000" w:rsidP="008124C4">
      <w:pPr>
        <w:pStyle w:val="BodyText"/>
        <w:spacing w:line="360" w:lineRule="auto"/>
      </w:pPr>
      <m:oMathPara>
        <m:oMathParaPr>
          <m:jc m:val="center"/>
        </m:oMathParaPr>
        <m:oMath>
          <m:r>
            <w:rPr>
              <w:rFonts w:ascii="Cambria Math" w:hAnsi="Cambria Math"/>
            </w:rPr>
            <m:t>pd</m:t>
          </m:r>
          <m:r>
            <m:rPr>
              <m:sty m:val="p"/>
            </m:rPr>
            <w:rPr>
              <w:rFonts w:ascii="Cambria Math" w:hAnsi="Cambria Math"/>
            </w:rPr>
            <m:t>=max</m:t>
          </m:r>
          <m:d>
            <m:dPr>
              <m:ctrlPr>
                <w:rPr>
                  <w:rFonts w:ascii="Cambria Math" w:hAnsi="Cambria Math"/>
                </w:rPr>
              </m:ctrlPr>
            </m:dPr>
            <m:e>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null</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null</m:t>
                      </m:r>
                    </m:sub>
                  </m:sSub>
                  <m:r>
                    <m:rPr>
                      <m:sty m:val="p"/>
                    </m:rPr>
                    <w:rPr>
                      <w:rFonts w:ascii="Cambria Math" w:hAnsi="Cambria Math"/>
                    </w:rPr>
                    <m:t>∣</m:t>
                  </m:r>
                  <m:r>
                    <w:rPr>
                      <w:rFonts w:ascii="Cambria Math" w:hAnsi="Cambria Math"/>
                    </w:rPr>
                    <m:t>y</m:t>
                  </m:r>
                </m:e>
              </m:d>
            </m:e>
          </m:d>
          <m:r>
            <m:rPr>
              <m:sty m:val="p"/>
            </m:rPr>
            <w:rPr>
              <w:rFonts w:ascii="Cambria Math" w:hAnsi="Cambria Math"/>
            </w:rPr>
            <m:t>.</m:t>
          </m:r>
        </m:oMath>
      </m:oMathPara>
    </w:p>
    <w:p w14:paraId="0D9FE160" w14:textId="73C55376" w:rsidR="004D4137" w:rsidRDefault="00000000" w:rsidP="008124C4">
      <w:pPr>
        <w:pStyle w:val="AfterWithoutNote"/>
        <w:spacing w:line="360" w:lineRule="auto"/>
      </w:pPr>
      <w:r>
        <w:t>As proposed and popularized in applied Bayesian workflows</w:t>
      </w:r>
      <w:r w:rsidR="008124C4">
        <w:t xml:space="preserve"> [</w:t>
      </w:r>
      <w:r w:rsidR="008124C4" w:rsidRPr="008124C4">
        <w:rPr>
          <w:b/>
          <w:bCs/>
        </w:rPr>
        <w:t>REFs</w:t>
      </w:r>
      <w:r w:rsidR="008124C4">
        <w:t>]</w:t>
      </w:r>
      <w:r>
        <w:t xml:space="preserve">, </w:t>
      </w:r>
      <w:r>
        <w:rPr>
          <w:i/>
          <w:iCs/>
        </w:rPr>
        <w:t>pd</w:t>
      </w:r>
      <w:r>
        <w:t xml:space="preserve"> offers an intuitive summary of directional evidence by quantifying the proportion of posterior that lies on the dominant side (</w:t>
      </w:r>
      <w:hyperlink w:anchor="ref-Makowski2019">
        <w:r w:rsidR="004D4137">
          <w:rPr>
            <w:rStyle w:val="Hyperlink"/>
          </w:rPr>
          <w:t>Makowski et al., 2019</w:t>
        </w:r>
      </w:hyperlink>
      <w:r w:rsidR="008124C4">
        <w:t>; Figure 1</w:t>
      </w:r>
      <w:r>
        <w:t>); it ranges from 0.50 (no directional preference) to 1 (all on one side).</w:t>
      </w:r>
      <w:r w:rsidR="004D4137">
        <w:t xml:space="preserve"> Because </w:t>
      </w:r>
      <w:r w:rsidR="004D4137">
        <w:rPr>
          <w:i/>
          <w:iCs/>
        </w:rPr>
        <w:t>pd</w:t>
      </w:r>
      <w:r w:rsidR="004D4137">
        <w:t xml:space="preserve"> is a functional of the posterior, it inherits dependence on the full model specification (likelihood and prior), so its long-run error behavior is not a property of </w:t>
      </w:r>
      <w:r w:rsidR="004D4137">
        <w:rPr>
          <w:i/>
          <w:iCs/>
        </w:rPr>
        <w:t>pd</w:t>
      </w:r>
      <w:r w:rsidR="004D4137">
        <w:t xml:space="preserve"> “in isolation” but of the overall Bayesian procedure that generates the posterior.</w:t>
      </w:r>
    </w:p>
    <w:p w14:paraId="4B07D8AC" w14:textId="77777777" w:rsidR="008124C4" w:rsidRDefault="008124C4" w:rsidP="008124C4">
      <w:pPr>
        <w:pStyle w:val="AfterWithoutNote"/>
        <w:spacing w:line="360" w:lineRule="auto"/>
      </w:pPr>
    </w:p>
    <w:p w14:paraId="0FD7A288" w14:textId="474AC5D8" w:rsidR="00AC772F" w:rsidRDefault="009D3981" w:rsidP="008124C4">
      <w:pPr>
        <w:pStyle w:val="FigureWithoutNote"/>
        <w:spacing w:line="360" w:lineRule="auto"/>
        <w:jc w:val="center"/>
      </w:pPr>
      <w:bookmarkStart w:id="6" w:name="fig-posterior-pd"/>
      <w:r>
        <w:rPr>
          <w:noProof/>
        </w:rPr>
        <w:drawing>
          <wp:inline distT="0" distB="0" distL="0" distR="0" wp14:anchorId="3B119E13" wp14:editId="5723BD4A">
            <wp:extent cx="3928820" cy="2357292"/>
            <wp:effectExtent l="0" t="0" r="0" b="5080"/>
            <wp:docPr id="1955405358"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05358" name="Picture 1" descr="A graph of a normal distribu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2367" cy="2371420"/>
                    </a:xfrm>
                    <a:prstGeom prst="rect">
                      <a:avLst/>
                    </a:prstGeom>
                  </pic:spPr>
                </pic:pic>
              </a:graphicData>
            </a:graphic>
          </wp:inline>
        </w:drawing>
      </w:r>
    </w:p>
    <w:p w14:paraId="7CD8D6CE" w14:textId="79C2CAEA" w:rsidR="009D3981" w:rsidRPr="009D3981" w:rsidRDefault="009D3981" w:rsidP="008124C4">
      <w:pPr>
        <w:pStyle w:val="FigureTitle"/>
        <w:spacing w:line="360" w:lineRule="auto"/>
        <w:rPr>
          <w:sz w:val="22"/>
          <w:szCs w:val="22"/>
        </w:rPr>
      </w:pPr>
      <w:r w:rsidRPr="009D3981">
        <w:rPr>
          <w:sz w:val="22"/>
          <w:szCs w:val="22"/>
        </w:rPr>
        <w:t xml:space="preserve">Figure 1. </w:t>
      </w:r>
      <w:r w:rsidRPr="009D3981">
        <w:rPr>
          <w:b w:val="0"/>
          <w:bCs/>
          <w:sz w:val="22"/>
          <w:szCs w:val="22"/>
        </w:rPr>
        <w:t>Posterior distribution with directional posterior mass on either side of 0 shown in different colors; the probability of direction (</w:t>
      </w:r>
      <w:r w:rsidRPr="009D3981">
        <w:rPr>
          <w:b w:val="0"/>
          <w:bCs/>
          <w:i/>
          <w:iCs/>
          <w:sz w:val="22"/>
          <w:szCs w:val="22"/>
        </w:rPr>
        <w:t>pd</w:t>
      </w:r>
      <w:r w:rsidRPr="009D3981">
        <w:rPr>
          <w:b w:val="0"/>
          <w:bCs/>
          <w:sz w:val="22"/>
          <w:szCs w:val="22"/>
        </w:rPr>
        <w:t>) is the larger of the two posterior probabilities.</w:t>
      </w:r>
    </w:p>
    <w:p w14:paraId="112E468F" w14:textId="77777777" w:rsidR="008124C4" w:rsidRDefault="008124C4" w:rsidP="008124C4">
      <w:pPr>
        <w:pStyle w:val="FigureWithoutNote"/>
        <w:spacing w:line="360" w:lineRule="auto"/>
        <w:jc w:val="center"/>
      </w:pPr>
    </w:p>
    <w:bookmarkEnd w:id="6"/>
    <w:p w14:paraId="03E8EDFB" w14:textId="58F3E2D1" w:rsidR="00AC772F" w:rsidRDefault="00000000" w:rsidP="008124C4">
      <w:pPr>
        <w:pStyle w:val="BodyText"/>
        <w:spacing w:line="360" w:lineRule="auto"/>
      </w:pPr>
      <w:r>
        <w:lastRenderedPageBreak/>
        <w:t xml:space="preserve">A convenient starting point for calibration is the mapping between </w:t>
      </w:r>
      <w:r>
        <w:rPr>
          <w:i/>
          <w:iCs/>
        </w:rPr>
        <w:t>pd</w:t>
      </w:r>
      <w:r>
        <w:t xml:space="preserve"> and the frequentist </w:t>
      </w:r>
      <w:r>
        <w:rPr>
          <w:i/>
          <w:iCs/>
        </w:rPr>
        <w:t>p</w:t>
      </w:r>
      <w:r>
        <w:t xml:space="preserve">-value. Under flat (or sufficiently diffuse symmetric) priors in typical hypothesis-testing scenarios (e.g., testing means), </w:t>
      </w:r>
      <w:r>
        <w:rPr>
          <w:i/>
          <w:iCs/>
        </w:rPr>
        <w:t>pd</w:t>
      </w:r>
      <w:r>
        <w:t xml:space="preserve"> is simply the posterior on the dominant side of </w:t>
      </w:r>
      <m:oMath>
        <m:sSub>
          <m:sSubPr>
            <m:ctrlPr>
              <w:rPr>
                <w:rFonts w:ascii="Cambria Math" w:hAnsi="Cambria Math"/>
              </w:rPr>
            </m:ctrlPr>
          </m:sSubPr>
          <m:e>
            <m:r>
              <w:rPr>
                <w:rFonts w:ascii="Cambria Math" w:hAnsi="Cambria Math"/>
              </w:rPr>
              <m:t>θ</m:t>
            </m:r>
          </m:e>
          <m:sub>
            <m:r>
              <w:rPr>
                <w:rFonts w:ascii="Cambria Math" w:hAnsi="Cambria Math"/>
              </w:rPr>
              <m:t>null</m:t>
            </m:r>
          </m:sub>
        </m:sSub>
      </m:oMath>
      <w:r>
        <w:t xml:space="preserve">, which corresponds to the complement of the one-sided </w:t>
      </w:r>
      <w:r>
        <w:rPr>
          <w:i/>
          <w:iCs/>
        </w:rPr>
        <w:t>p</w:t>
      </w:r>
      <w:r>
        <w:t>-value (</w:t>
      </w:r>
      <w:hyperlink w:anchor="ref-Casella1987">
        <w:r w:rsidR="00AC772F">
          <w:rPr>
            <w:rStyle w:val="Hyperlink"/>
          </w:rPr>
          <w:t>Casella &amp; Berger, 1987</w:t>
        </w:r>
      </w:hyperlink>
      <w:r>
        <w:t xml:space="preserve">; </w:t>
      </w:r>
      <w:hyperlink w:anchor="ref-Marsman2017">
        <w:proofErr w:type="spellStart"/>
        <w:r w:rsidR="00AC772F">
          <w:rPr>
            <w:rStyle w:val="Hyperlink"/>
          </w:rPr>
          <w:t>Marsman</w:t>
        </w:r>
        <w:proofErr w:type="spellEnd"/>
        <w:r w:rsidR="00AC772F">
          <w:rPr>
            <w:rStyle w:val="Hyperlink"/>
          </w:rPr>
          <w:t xml:space="preserve"> &amp; </w:t>
        </w:r>
        <w:proofErr w:type="spellStart"/>
        <w:r w:rsidR="00AC772F">
          <w:rPr>
            <w:rStyle w:val="Hyperlink"/>
          </w:rPr>
          <w:t>Wagenmakers</w:t>
        </w:r>
        <w:proofErr w:type="spellEnd"/>
        <w:r w:rsidR="00AC772F">
          <w:rPr>
            <w:rStyle w:val="Hyperlink"/>
          </w:rPr>
          <w:t>, 2017</w:t>
        </w:r>
      </w:hyperlink>
      <w:r>
        <w:t>):</w:t>
      </w:r>
      <w:r w:rsidR="009D3981">
        <w:t xml:space="preserve">  </w:t>
      </w:r>
      <m:oMath>
        <m:r>
          <w:rPr>
            <w:rFonts w:ascii="Cambria Math" w:hAnsi="Cambria Math"/>
          </w:rPr>
          <m:t>pd</m:t>
        </m:r>
        <m:r>
          <m:rPr>
            <m:sty m:val="p"/>
          </m:rPr>
          <w:rPr>
            <w:rFonts w:ascii="Cambria Math" w:hAnsi="Cambria Math"/>
          </w:rPr>
          <m:t>=max</m:t>
        </m:r>
        <m:d>
          <m:dPr>
            <m:ctrlPr>
              <w:rPr>
                <w:rFonts w:ascii="Cambria Math" w:hAnsi="Cambria Math"/>
              </w:rPr>
            </m:ctrlPr>
          </m:dPr>
          <m:e>
            <m: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null</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null</m:t>
                    </m:r>
                  </m:sub>
                </m:sSub>
                <m:r>
                  <m:rPr>
                    <m:sty m:val="p"/>
                  </m:rPr>
                  <w:rPr>
                    <w:rFonts w:ascii="Cambria Math" w:hAnsi="Cambria Math"/>
                  </w:rPr>
                  <m:t>∣</m:t>
                </m:r>
                <m:r>
                  <w:rPr>
                    <w:rFonts w:ascii="Cambria Math" w:hAnsi="Cambria Math"/>
                  </w:rPr>
                  <m:t>y</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 xml:space="preserve">, </m:t>
        </m:r>
      </m:oMath>
      <w:r>
        <w:t xml:space="preserve">with the two-sided correspondence being </w:t>
      </w:r>
      <m:oMath>
        <m:sSub>
          <m:sSubPr>
            <m:ctrlPr>
              <w:rPr>
                <w:rFonts w:ascii="Cambria Math" w:hAnsi="Cambria Math"/>
              </w:rPr>
            </m:ctrlPr>
          </m:sSubPr>
          <m:e>
            <m:r>
              <w:rPr>
                <w:rFonts w:ascii="Cambria Math" w:hAnsi="Cambria Math"/>
              </w:rPr>
              <m:t>p</m:t>
            </m:r>
          </m:e>
          <m:sub>
            <m:r>
              <w:rPr>
                <w:rFonts w:ascii="Cambria Math" w:hAnsi="Cambria Math"/>
              </w:rPr>
              <m:t>two</m:t>
            </m:r>
            <m:r>
              <m:rPr>
                <m:sty m:val="p"/>
              </m:rPr>
              <w:rPr>
                <w:rFonts w:ascii="Cambria Math" w:hAnsi="Cambria Math"/>
              </w:rPr>
              <m:t>-</m:t>
            </m:r>
            <m:r>
              <w:rPr>
                <w:rFonts w:ascii="Cambria Math" w:hAnsi="Cambria Math"/>
              </w:rPr>
              <m:t>sided</m:t>
            </m:r>
          </m:sub>
        </m:sSub>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pd</m:t>
            </m:r>
          </m:e>
        </m:d>
      </m:oMath>
      <w:r>
        <w:t>.</w:t>
      </w:r>
    </w:p>
    <w:p w14:paraId="5A5BAF5D" w14:textId="77777777" w:rsidR="008124C4" w:rsidRDefault="008124C4" w:rsidP="008124C4">
      <w:pPr>
        <w:pStyle w:val="BodyText"/>
        <w:spacing w:line="360" w:lineRule="auto"/>
      </w:pPr>
    </w:p>
    <w:p w14:paraId="19FE750D" w14:textId="77777777" w:rsidR="00AC772F" w:rsidRDefault="00000000" w:rsidP="008124C4">
      <w:pPr>
        <w:pStyle w:val="Heading3"/>
      </w:pPr>
      <w:bookmarkStart w:id="7" w:name="X4f06c5072d53c923e379ae490e7798b774927ea"/>
      <w:bookmarkEnd w:id="5"/>
      <w:r>
        <w:t>Probability of direction as a test of existence and direction</w:t>
      </w:r>
    </w:p>
    <w:p w14:paraId="51DD3668" w14:textId="77777777" w:rsidR="00AC772F" w:rsidRDefault="00000000" w:rsidP="008124C4">
      <w:pPr>
        <w:pStyle w:val="FirstParagraph"/>
        <w:spacing w:line="360" w:lineRule="auto"/>
      </w:pPr>
      <w:r>
        <w:t xml:space="preserve">The </w:t>
      </w:r>
      <w:r>
        <w:rPr>
          <w:i/>
          <w:iCs/>
        </w:rPr>
        <w:t>pd</w:t>
      </w:r>
      <w:r>
        <w:t xml:space="preserve"> can be embedded in a testing framework, where thresholding </w:t>
      </w:r>
      <m:oMath>
        <m:r>
          <w:rPr>
            <w:rFonts w:ascii="Cambria Math" w:hAnsi="Cambria Math"/>
          </w:rPr>
          <m:t>pd</m:t>
        </m:r>
        <m:r>
          <m:rPr>
            <m:sty m:val="p"/>
          </m:rPr>
          <w:rPr>
            <w:rFonts w:ascii="Cambria Math" w:hAnsi="Cambria Math"/>
          </w:rPr>
          <m:t>&gt;</m:t>
        </m:r>
        <m:r>
          <w:rPr>
            <w:rFonts w:ascii="Cambria Math" w:hAnsi="Cambria Math"/>
          </w:rPr>
          <m:t>c</m:t>
        </m:r>
      </m:oMath>
      <w:r>
        <w:t xml:space="preserve"> yields a claim that an effect exists and has a particular sign. For example, when </w:t>
      </w:r>
      <m:oMath>
        <m:r>
          <w:rPr>
            <w:rFonts w:ascii="Cambria Math" w:hAnsi="Cambria Math"/>
          </w:rPr>
          <m:t>pd</m:t>
        </m:r>
        <m:r>
          <m:rPr>
            <m:sty m:val="p"/>
          </m:rPr>
          <w:rPr>
            <w:rFonts w:ascii="Cambria Math" w:hAnsi="Cambria Math"/>
          </w:rPr>
          <m:t>&gt;</m:t>
        </m:r>
        <m:r>
          <w:rPr>
            <w:rFonts w:ascii="Cambria Math" w:hAnsi="Cambria Math"/>
          </w:rPr>
          <m:t>c</m:t>
        </m:r>
      </m:oMath>
      <w:r>
        <w:t xml:space="preserve"> supports </w:t>
      </w:r>
      <m:oMath>
        <m:r>
          <w:rPr>
            <w:rFonts w:ascii="Cambria Math" w:hAnsi="Cambria Math"/>
          </w:rPr>
          <m:t>θ</m:t>
        </m:r>
        <m:r>
          <m:rPr>
            <m:sty m:val="p"/>
          </m:rPr>
          <w:rPr>
            <w:rFonts w:ascii="Cambria Math" w:hAnsi="Cambria Math"/>
          </w:rPr>
          <m:t>&gt;</m:t>
        </m:r>
        <m:r>
          <w:rPr>
            <w:rFonts w:ascii="Cambria Math" w:hAnsi="Cambria Math"/>
          </w:rPr>
          <m:t>0</m:t>
        </m:r>
      </m:oMath>
      <w:r>
        <w:t>, the posterior probability assigned to nonpositive values is bounded by</w:t>
      </w:r>
    </w:p>
    <w:p w14:paraId="2E7D26F3" w14:textId="77777777" w:rsidR="00AC772F" w:rsidRDefault="00000000" w:rsidP="008124C4">
      <w:pPr>
        <w:pStyle w:val="BodyText"/>
        <w:spacing w:line="360" w:lineRule="auto"/>
      </w:pP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124BF2B9" w14:textId="78C9747C" w:rsidR="00AC772F" w:rsidRDefault="00000000" w:rsidP="008124C4">
      <w:pPr>
        <w:pStyle w:val="FirstParagraph"/>
        <w:spacing w:line="360" w:lineRule="auto"/>
        <w:ind w:firstLine="0"/>
      </w:pPr>
      <w:r>
        <w:t xml:space="preserve">and, analogously, when </w:t>
      </w:r>
      <m:oMath>
        <m:r>
          <w:rPr>
            <w:rFonts w:ascii="Cambria Math" w:hAnsi="Cambria Math"/>
          </w:rPr>
          <m:t>pd</m:t>
        </m:r>
        <m:r>
          <m:rPr>
            <m:sty m:val="p"/>
          </m:rPr>
          <w:rPr>
            <w:rFonts w:ascii="Cambria Math" w:hAnsi="Cambria Math"/>
          </w:rPr>
          <m:t>&gt;</m:t>
        </m:r>
        <m:r>
          <w:rPr>
            <w:rFonts w:ascii="Cambria Math" w:hAnsi="Cambria Math"/>
          </w:rPr>
          <m:t>c</m:t>
        </m:r>
      </m:oMath>
      <w:r>
        <w:t xml:space="preserve"> supports </w:t>
      </w:r>
      <m:oMath>
        <m:r>
          <w:rPr>
            <w:rFonts w:ascii="Cambria Math" w:hAnsi="Cambria Math"/>
          </w:rPr>
          <m:t>θ</m:t>
        </m:r>
        <m:r>
          <m:rPr>
            <m:sty m:val="p"/>
          </m:rPr>
          <w:rPr>
            <w:rFonts w:ascii="Cambria Math" w:hAnsi="Cambria Math"/>
          </w:rPr>
          <m:t>&lt;</m:t>
        </m:r>
        <m:r>
          <w:rPr>
            <w:rFonts w:ascii="Cambria Math" w:hAnsi="Cambria Math"/>
          </w:rPr>
          <m:t>0</m:t>
        </m:r>
      </m:oMath>
      <w:r>
        <w:t xml:space="preserve">, it follows that </w:t>
      </w:r>
      <m:oMath>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c</m:t>
        </m:r>
      </m:oMath>
      <w:r>
        <w:t>.</w:t>
      </w:r>
    </w:p>
    <w:p w14:paraId="06AB70C3" w14:textId="77777777" w:rsidR="00AC772F" w:rsidRDefault="00000000" w:rsidP="008124C4">
      <w:pPr>
        <w:pStyle w:val="BodyText"/>
        <w:spacing w:line="360" w:lineRule="auto"/>
      </w:pPr>
      <w:r>
        <w:t xml:space="preserve">This rule therefore does more than compare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versus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it also controls posterior mass in the null-or-opposite-sign region, ensuring that it remains below </w:t>
      </w:r>
      <m:oMath>
        <m:r>
          <w:rPr>
            <w:rFonts w:ascii="Cambria Math" w:hAnsi="Cambria Math"/>
          </w:rPr>
          <m:t>1</m:t>
        </m:r>
        <m:r>
          <m:rPr>
            <m:sty m:val="p"/>
          </m:rPr>
          <w:rPr>
            <w:rFonts w:ascii="Cambria Math" w:hAnsi="Cambria Math"/>
          </w:rPr>
          <m:t>-</m:t>
        </m:r>
        <m:r>
          <w:rPr>
            <w:rFonts w:ascii="Cambria Math" w:hAnsi="Cambria Math"/>
          </w:rPr>
          <m:t>c</m:t>
        </m:r>
      </m:oMath>
      <w:r>
        <w:t xml:space="preserve">. In particular, </w:t>
      </w:r>
      <m:oMath>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c</m:t>
        </m:r>
      </m:oMath>
      <w:r>
        <w:t xml:space="preserve"> implies that 0 lies below the </w:t>
      </w:r>
      <m:oMath>
        <m:r>
          <w:rPr>
            <w:rFonts w:ascii="Cambria Math" w:hAnsi="Cambria Math"/>
          </w:rPr>
          <m:t>1</m:t>
        </m:r>
        <m:r>
          <m:rPr>
            <m:sty m:val="p"/>
          </m:rPr>
          <w:rPr>
            <w:rFonts w:ascii="Cambria Math" w:hAnsi="Cambria Math"/>
          </w:rPr>
          <m:t>-</m:t>
        </m:r>
        <m:r>
          <w:rPr>
            <w:rFonts w:ascii="Cambria Math" w:hAnsi="Cambria Math"/>
          </w:rPr>
          <m:t>c</m:t>
        </m:r>
      </m:oMath>
      <w:r>
        <w:t xml:space="preserve">-quantile of the posterior distribution (equivalently, the </w:t>
      </w:r>
      <m:oMath>
        <m:r>
          <w:rPr>
            <w:rFonts w:ascii="Cambria Math" w:hAnsi="Cambria Math"/>
          </w:rPr>
          <m:t>1</m:t>
        </m:r>
        <m:r>
          <m:rPr>
            <m:sty m:val="p"/>
          </m:rPr>
          <w:rPr>
            <w:rFonts w:ascii="Cambria Math" w:hAnsi="Cambria Math"/>
          </w:rPr>
          <m:t>-</m:t>
        </m:r>
        <m:r>
          <w:rPr>
            <w:rFonts w:ascii="Cambria Math" w:hAnsi="Cambria Math"/>
          </w:rPr>
          <m:t>c</m:t>
        </m:r>
      </m:oMath>
      <w:r>
        <w:t xml:space="preserve">-quantile is strictly positive). Consequently, the central credible interval bounded by the </w:t>
      </w:r>
      <m:oMath>
        <m:r>
          <w:rPr>
            <w:rFonts w:ascii="Cambria Math" w:hAnsi="Cambria Math"/>
          </w:rPr>
          <m:t>1</m:t>
        </m:r>
        <m:r>
          <m:rPr>
            <m:sty m:val="p"/>
          </m:rPr>
          <w:rPr>
            <w:rFonts w:ascii="Cambria Math" w:hAnsi="Cambria Math"/>
          </w:rPr>
          <m:t>-</m:t>
        </m:r>
        <m:r>
          <w:rPr>
            <w:rFonts w:ascii="Cambria Math" w:hAnsi="Cambria Math"/>
          </w:rPr>
          <m:t>c</m:t>
        </m:r>
      </m:oMath>
      <w:r>
        <w:t xml:space="preserve"> and </w:t>
      </w:r>
      <m:oMath>
        <m:r>
          <w:rPr>
            <w:rFonts w:ascii="Cambria Math" w:hAnsi="Cambria Math"/>
          </w:rPr>
          <m:t>c</m:t>
        </m:r>
      </m:oMath>
      <w:r>
        <w:t xml:space="preserve"> quantiles excludes 0.</w:t>
      </w:r>
    </w:p>
    <w:p w14:paraId="7A119C3D" w14:textId="77777777" w:rsidR="00AC772F" w:rsidRDefault="00000000" w:rsidP="008124C4">
      <w:pPr>
        <w:pStyle w:val="BodyText"/>
        <w:spacing w:line="360" w:lineRule="auto"/>
      </w:pPr>
      <w:r>
        <w:t xml:space="preserve">Finally, </w:t>
      </w:r>
      <m:oMath>
        <m:r>
          <w:rPr>
            <w:rFonts w:ascii="Cambria Math" w:hAnsi="Cambria Math"/>
          </w:rPr>
          <m:t>c</m:t>
        </m:r>
      </m:oMath>
      <w:r>
        <w:t xml:space="preserve"> can be set so that the interval between the </w:t>
      </w:r>
      <m:oMath>
        <m:r>
          <w:rPr>
            <w:rFonts w:ascii="Cambria Math" w:hAnsi="Cambria Math"/>
          </w:rPr>
          <m:t>1</m:t>
        </m:r>
        <m:r>
          <m:rPr>
            <m:sty m:val="p"/>
          </m:rPr>
          <w:rPr>
            <w:rFonts w:ascii="Cambria Math" w:hAnsi="Cambria Math"/>
          </w:rPr>
          <m:t>-</m:t>
        </m:r>
        <m:r>
          <w:rPr>
            <w:rFonts w:ascii="Cambria Math" w:hAnsi="Cambria Math"/>
          </w:rPr>
          <m:t>c</m:t>
        </m:r>
      </m:oMath>
      <w:r>
        <w:t xml:space="preserve"> and </w:t>
      </w:r>
      <m:oMath>
        <m:r>
          <w:rPr>
            <w:rFonts w:ascii="Cambria Math" w:hAnsi="Cambria Math"/>
          </w:rPr>
          <m:t>c</m:t>
        </m:r>
      </m:oMath>
      <w:r>
        <w:t xml:space="preserve"> posterior quantiles coincides with the usual equal-tailed </w:t>
      </w:r>
      <m:oMath>
        <m:r>
          <w:rPr>
            <w:rFonts w:ascii="Cambria Math" w:hAnsi="Cambria Math"/>
          </w:rPr>
          <m:t>1</m:t>
        </m:r>
        <m:r>
          <m:rPr>
            <m:sty m:val="p"/>
          </m:rPr>
          <w:rPr>
            <w:rFonts w:ascii="Cambria Math" w:hAnsi="Cambria Math"/>
          </w:rPr>
          <m:t>-</m:t>
        </m:r>
        <m:r>
          <w:rPr>
            <w:rFonts w:ascii="Cambria Math" w:hAnsi="Cambria Math"/>
          </w:rPr>
          <m:t>α</m:t>
        </m:r>
      </m:oMath>
      <w:r>
        <w:t xml:space="preserve"> central credible interval, whose endpoints are the </w:t>
      </w:r>
      <m:oMath>
        <m:r>
          <w:rPr>
            <w:rFonts w:ascii="Cambria Math" w:hAnsi="Cambria Math"/>
          </w:rPr>
          <m:t>α</m:t>
        </m:r>
        <m:r>
          <m:rPr>
            <m:sty m:val="p"/>
          </m:rPr>
          <w:rPr>
            <w:rFonts w:ascii="Cambria Math" w:hAnsi="Cambria Math"/>
          </w:rPr>
          <m:t>/</m:t>
        </m:r>
        <m:r>
          <w:rPr>
            <w:rFonts w:ascii="Cambria Math" w:hAnsi="Cambria Math"/>
          </w:rPr>
          <m:t>2</m:t>
        </m:r>
      </m:oMath>
      <w:r>
        <w:t xml:space="preserve"> and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posterior quantiles. Equating endpoints gives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and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therefore </w:t>
      </w:r>
      <m:oMath>
        <m:r>
          <w:rPr>
            <w:rFonts w:ascii="Cambria Math" w:hAnsi="Cambria Math"/>
          </w:rPr>
          <m:t>pd</m:t>
        </m:r>
        <m:r>
          <m:rPr>
            <m:sty m:val="p"/>
          </m:rPr>
          <w:rPr>
            <w:rFonts w:ascii="Cambria Math" w:hAnsi="Cambria Math"/>
          </w:rPr>
          <m:t>&gt;</m:t>
        </m:r>
        <m:r>
          <w:rPr>
            <w:rFonts w:ascii="Cambria Math" w:hAnsi="Cambria Math"/>
          </w:rPr>
          <m:t>c</m:t>
        </m:r>
      </m:oMath>
      <w:r>
        <w:t xml:space="preserve"> can be read as excluding 0 from a two-sided </w:t>
      </w:r>
      <m:oMath>
        <m:r>
          <w:rPr>
            <w:rFonts w:ascii="Cambria Math" w:hAnsi="Cambria Math"/>
          </w:rPr>
          <m:t>100</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oMath>
      <w:r>
        <w:t xml:space="preserve"> central interval. With </w:t>
      </w:r>
      <m:oMath>
        <m:r>
          <w:rPr>
            <w:rFonts w:ascii="Cambria Math" w:hAnsi="Cambria Math"/>
          </w:rPr>
          <m:t>α</m:t>
        </m:r>
        <m:r>
          <m:rPr>
            <m:sty m:val="p"/>
          </m:rPr>
          <w:rPr>
            <w:rFonts w:ascii="Cambria Math" w:hAnsi="Cambria Math"/>
          </w:rPr>
          <m:t>=</m:t>
        </m:r>
        <m:r>
          <w:rPr>
            <w:rFonts w:ascii="Cambria Math" w:hAnsi="Cambria Math"/>
          </w:rPr>
          <m:t>0.05</m:t>
        </m:r>
      </m:oMath>
      <w:r>
        <w:t xml:space="preserve">, this yields </w:t>
      </w:r>
      <m:oMath>
        <m:r>
          <w:rPr>
            <w:rFonts w:ascii="Cambria Math" w:hAnsi="Cambria Math"/>
          </w:rPr>
          <m:t>c</m:t>
        </m:r>
        <m:r>
          <m:rPr>
            <m:sty m:val="p"/>
          </m:rPr>
          <w:rPr>
            <w:rFonts w:ascii="Cambria Math" w:hAnsi="Cambria Math"/>
          </w:rPr>
          <m:t>=</m:t>
        </m:r>
        <m:r>
          <w:rPr>
            <w:rFonts w:ascii="Cambria Math" w:hAnsi="Cambria Math"/>
          </w:rPr>
          <m:t>0.975</m:t>
        </m:r>
      </m:oMath>
      <w:r>
        <w:t xml:space="preserve"> (and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0.025</m:t>
        </m:r>
      </m:oMath>
      <w:r>
        <w:t>), mirroring the common two-sided 5% convention (</w:t>
      </w:r>
      <w:hyperlink w:anchor="fig-pd-ci">
        <w:r w:rsidR="00AC772F">
          <w:rPr>
            <w:rStyle w:val="Hyperlink"/>
          </w:rPr>
          <w:t>Figure 2</w:t>
        </w:r>
      </w:hyperlink>
      <w:r>
        <w:t>).</w:t>
      </w:r>
    </w:p>
    <w:p w14:paraId="10A3C13B" w14:textId="77777777" w:rsidR="00AC772F" w:rsidRDefault="00000000" w:rsidP="008124C4">
      <w:pPr>
        <w:spacing w:line="360" w:lineRule="auto"/>
      </w:pPr>
      <w:r>
        <w:br w:type="page"/>
      </w:r>
    </w:p>
    <w:p w14:paraId="34AF8A14" w14:textId="1CAD4608" w:rsidR="009D3981" w:rsidRDefault="004D4137" w:rsidP="008124C4">
      <w:pPr>
        <w:pStyle w:val="FigureTitle"/>
        <w:spacing w:line="360" w:lineRule="auto"/>
      </w:pPr>
      <w:bookmarkStart w:id="8" w:name="fig-pd-ci"/>
      <w:r>
        <w:rPr>
          <w:noProof/>
        </w:rPr>
        <w:lastRenderedPageBreak/>
        <w:drawing>
          <wp:inline distT="0" distB="0" distL="0" distR="0" wp14:anchorId="0AC44107" wp14:editId="1AF5CE6A">
            <wp:extent cx="5943600" cy="2377440"/>
            <wp:effectExtent l="0" t="0" r="0" b="0"/>
            <wp:docPr id="473956164" name="Picture 1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56164" name="Picture 10" descr="A graph of a functi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54FE29D9" w14:textId="0C83BB27" w:rsidR="009D3981" w:rsidRDefault="009D3981" w:rsidP="008124C4">
      <w:pPr>
        <w:pStyle w:val="FigureTitle"/>
        <w:spacing w:line="360" w:lineRule="auto"/>
      </w:pPr>
      <w:r w:rsidRPr="009D3981">
        <w:rPr>
          <w:sz w:val="22"/>
          <w:szCs w:val="22"/>
        </w:rPr>
        <w:t xml:space="preserve">Figure 2. </w:t>
      </w:r>
      <w:r w:rsidRPr="009D3981">
        <w:rPr>
          <w:b w:val="0"/>
          <w:bCs/>
          <w:sz w:val="22"/>
          <w:szCs w:val="22"/>
        </w:rPr>
        <w:t>Posterior distributions illustrating the relationship between the probability of direction (</w:t>
      </w:r>
      <w:r w:rsidRPr="009D3981">
        <w:rPr>
          <w:b w:val="0"/>
          <w:bCs/>
          <w:i/>
          <w:iCs/>
          <w:sz w:val="22"/>
          <w:szCs w:val="22"/>
        </w:rPr>
        <w:t>pd</w:t>
      </w:r>
      <w:r w:rsidRPr="009D3981">
        <w:rPr>
          <w:b w:val="0"/>
          <w:bCs/>
          <w:sz w:val="22"/>
          <w:szCs w:val="22"/>
        </w:rPr>
        <w:t xml:space="preserve">) and </w:t>
      </w:r>
      <w:proofErr w:type="gramStart"/>
      <w:r w:rsidRPr="009D3981">
        <w:rPr>
          <w:b w:val="0"/>
          <w:bCs/>
          <w:sz w:val="22"/>
          <w:szCs w:val="22"/>
        </w:rPr>
        <w:t>credible-interval</w:t>
      </w:r>
      <w:proofErr w:type="gramEnd"/>
      <w:r w:rsidRPr="009D3981">
        <w:rPr>
          <w:b w:val="0"/>
          <w:bCs/>
          <w:sz w:val="22"/>
          <w:szCs w:val="22"/>
        </w:rPr>
        <w:t xml:space="preserve"> (CI), using c = 0.975 and </w:t>
      </w:r>
      <m:oMath>
        <m:sSub>
          <m:sSubPr>
            <m:ctrlPr>
              <w:rPr>
                <w:rFonts w:ascii="Cambria Math" w:hAnsi="Cambria Math"/>
                <w:b w:val="0"/>
                <w:bCs/>
                <w:sz w:val="22"/>
                <w:szCs w:val="22"/>
              </w:rPr>
            </m:ctrlPr>
          </m:sSubPr>
          <m:e>
            <m:r>
              <m:rPr>
                <m:sty m:val="bi"/>
              </m:rPr>
              <w:rPr>
                <w:rFonts w:ascii="Cambria Math" w:hAnsi="Cambria Math"/>
                <w:sz w:val="22"/>
                <w:szCs w:val="22"/>
              </w:rPr>
              <m:t>θ</m:t>
            </m:r>
          </m:e>
          <m:sub>
            <m:r>
              <m:rPr>
                <m:sty m:val="bi"/>
              </m:rPr>
              <w:rPr>
                <w:rFonts w:ascii="Cambria Math" w:hAnsi="Cambria Math"/>
                <w:sz w:val="22"/>
                <w:szCs w:val="22"/>
              </w:rPr>
              <m:t>null</m:t>
            </m:r>
          </m:sub>
        </m:sSub>
        <m:r>
          <m:rPr>
            <m:sty m:val="b"/>
          </m:rPr>
          <w:rPr>
            <w:rFonts w:ascii="Cambria Math" w:hAnsi="Cambria Math"/>
            <w:sz w:val="22"/>
            <w:szCs w:val="22"/>
          </w:rPr>
          <m:t>=</m:t>
        </m:r>
        <m:r>
          <m:rPr>
            <m:sty m:val="bi"/>
          </m:rPr>
          <w:rPr>
            <w:rFonts w:ascii="Cambria Math" w:hAnsi="Cambria Math"/>
            <w:sz w:val="22"/>
            <w:szCs w:val="22"/>
          </w:rPr>
          <m:t>0</m:t>
        </m:r>
      </m:oMath>
      <w:r w:rsidRPr="009D3981">
        <w:rPr>
          <w:b w:val="0"/>
          <w:bCs/>
          <w:sz w:val="22"/>
          <w:szCs w:val="22"/>
        </w:rPr>
        <w:t>.</w:t>
      </w:r>
    </w:p>
    <w:p w14:paraId="427D9DFF" w14:textId="77777777" w:rsidR="008124C4" w:rsidRDefault="008124C4" w:rsidP="008124C4">
      <w:pPr>
        <w:pStyle w:val="FigureWithoutNote"/>
        <w:spacing w:line="360" w:lineRule="auto"/>
      </w:pPr>
    </w:p>
    <w:bookmarkEnd w:id="8"/>
    <w:p w14:paraId="5969354A" w14:textId="77777777" w:rsidR="00AC772F" w:rsidRDefault="00000000" w:rsidP="008124C4">
      <w:pPr>
        <w:pStyle w:val="AfterWithoutNote"/>
        <w:spacing w:line="360" w:lineRule="auto"/>
      </w:pPr>
      <w:r>
        <w:t xml:space="preserve">Pure directional testing conditions on the assumption that </w:t>
      </w:r>
      <m:oMath>
        <m:r>
          <w:rPr>
            <w:rFonts w:ascii="Cambria Math" w:hAnsi="Cambria Math"/>
          </w:rPr>
          <m:t>θ</m:t>
        </m:r>
        <m:r>
          <m:rPr>
            <m:sty m:val="p"/>
          </m:rPr>
          <w:rPr>
            <w:rFonts w:ascii="Cambria Math" w:hAnsi="Cambria Math"/>
          </w:rPr>
          <m:t>≠</m:t>
        </m:r>
        <m:r>
          <w:rPr>
            <w:rFonts w:ascii="Cambria Math" w:hAnsi="Cambria Math"/>
          </w:rPr>
          <m:t>0</m:t>
        </m:r>
      </m:oMath>
      <w:r>
        <w:t xml:space="preserve"> and evaluates only the sign of the effect by comparing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versus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oMath>
      <w:r>
        <w:t xml:space="preserve"> is not among the hypotheses under consideration. In contrast, here we explicitly include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and separates decisions about existence and direction (excluding zero) from decisions about direction (including zero). Error types follow directly from this distinction: a Type I error occurs when the true parameter lies in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but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is rejected in favor of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or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w:t>
      </w:r>
    </w:p>
    <w:p w14:paraId="15DC4697" w14:textId="21414CA0" w:rsidR="004D4137" w:rsidRDefault="00000000" w:rsidP="008124C4">
      <w:pPr>
        <w:pStyle w:val="BodyText"/>
        <w:spacing w:line="360" w:lineRule="auto"/>
      </w:pPr>
      <w:r>
        <w:t xml:space="preserve">Importantly, although we set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null</m:t>
            </m:r>
          </m:sub>
        </m:sSub>
        <m:r>
          <m:rPr>
            <m:sty m:val="p"/>
          </m:rPr>
          <w:rPr>
            <w:rFonts w:ascii="Cambria Math" w:hAnsi="Cambria Math"/>
          </w:rPr>
          <m:t>=</m:t>
        </m:r>
        <m:r>
          <w:rPr>
            <w:rFonts w:ascii="Cambria Math" w:hAnsi="Cambria Math"/>
          </w:rPr>
          <m:t>0</m:t>
        </m:r>
      </m:oMath>
      <w:r>
        <w:t xml:space="preserve"> throughout the manuscript for simplicity, </w:t>
      </w:r>
      <m:oMath>
        <m:sSub>
          <m:sSubPr>
            <m:ctrlPr>
              <w:rPr>
                <w:rFonts w:ascii="Cambria Math" w:hAnsi="Cambria Math"/>
              </w:rPr>
            </m:ctrlPr>
          </m:sSubPr>
          <m:e>
            <m:r>
              <w:rPr>
                <w:rFonts w:ascii="Cambria Math" w:hAnsi="Cambria Math"/>
              </w:rPr>
              <m:t>θ</m:t>
            </m:r>
          </m:e>
          <m:sub>
            <m:r>
              <w:rPr>
                <w:rFonts w:ascii="Cambria Math" w:hAnsi="Cambria Math"/>
              </w:rPr>
              <m:t>null</m:t>
            </m:r>
          </m:sub>
        </m:sSub>
      </m:oMath>
      <w:r>
        <w:t xml:space="preserve"> can be defined as the smallest effect size of interest (</w:t>
      </w:r>
      <w:hyperlink w:anchor="ref-Sesoi2018">
        <w:r w:rsidR="00AC772F">
          <w:rPr>
            <w:rStyle w:val="Hyperlink"/>
          </w:rPr>
          <w:t>Lakens et al., 2018</w:t>
        </w:r>
      </w:hyperlink>
      <w:r>
        <w:t>). The testing framework thus shifts from evaluating whether an effect differs from zero to whether it exceeds a substantively meaningful threshold.</w:t>
      </w:r>
      <w:bookmarkStart w:id="9" w:name="simulation"/>
      <w:bookmarkEnd w:id="7"/>
    </w:p>
    <w:p w14:paraId="0CAFE9C3" w14:textId="77777777" w:rsidR="008124C4" w:rsidRDefault="008124C4" w:rsidP="008124C4">
      <w:pPr>
        <w:pStyle w:val="BodyText"/>
        <w:spacing w:line="360" w:lineRule="auto"/>
      </w:pPr>
    </w:p>
    <w:p w14:paraId="6B759508" w14:textId="595B125C" w:rsidR="00AC772F" w:rsidRDefault="00000000" w:rsidP="008124C4">
      <w:pPr>
        <w:pStyle w:val="Heading2"/>
      </w:pPr>
      <w:r>
        <w:t>Simulation</w:t>
      </w:r>
    </w:p>
    <w:p w14:paraId="18E345BA" w14:textId="77777777" w:rsidR="00AC772F" w:rsidRDefault="00000000" w:rsidP="008124C4">
      <w:pPr>
        <w:pStyle w:val="FirstParagraph"/>
        <w:spacing w:line="360" w:lineRule="auto"/>
      </w:pPr>
      <w:r>
        <w:t xml:space="preserve">In our simulations we generate data under the global null (all </w:t>
      </w:r>
      <m:oMath>
        <m:r>
          <w:rPr>
            <w:rFonts w:ascii="Cambria Math" w:hAnsi="Cambria Math"/>
          </w:rPr>
          <m:t>θ</m:t>
        </m:r>
        <m:r>
          <m:rPr>
            <m:sty m:val="p"/>
          </m:rPr>
          <w:rPr>
            <w:rFonts w:ascii="Cambria Math" w:hAnsi="Cambria Math"/>
          </w:rPr>
          <m:t>=</m:t>
        </m:r>
        <m:r>
          <w:rPr>
            <w:rFonts w:ascii="Cambria Math" w:hAnsi="Cambria Math"/>
          </w:rPr>
          <m:t>0</m:t>
        </m:r>
      </m:oMath>
      <w:r>
        <w:t xml:space="preserve">) and we compute </w:t>
      </w:r>
      <m:oMath>
        <m:r>
          <m:rPr>
            <m:sty m:val="p"/>
          </m:rPr>
          <w:rPr>
            <w:rFonts w:ascii="Cambria Math" w:hAnsi="Cambria Math"/>
          </w:rPr>
          <m:t>Pr</m:t>
        </m:r>
        <m:d>
          <m:dPr>
            <m:ctrlPr>
              <w:rPr>
                <w:rFonts w:ascii="Cambria Math" w:hAnsi="Cambria Math"/>
              </w:rPr>
            </m:ctrlPr>
          </m:dPr>
          <m:e>
            <m:r>
              <w:rPr>
                <w:rFonts w:ascii="Cambria Math" w:hAnsi="Cambria Math"/>
              </w:rPr>
              <m:t>pd</m:t>
            </m:r>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d>
      </m:oMath>
      <w:r>
        <w:t xml:space="preserve">. Operationally, this quantifies how often the procedure falsely excludes zero from the credible region (bounded by </w:t>
      </w:r>
      <m:oMath>
        <m:r>
          <w:rPr>
            <w:rFonts w:ascii="Cambria Math" w:hAnsi="Cambria Math"/>
          </w:rPr>
          <m:t>1</m:t>
        </m:r>
        <m:r>
          <m:rPr>
            <m:sty m:val="p"/>
          </m:rPr>
          <w:rPr>
            <w:rFonts w:ascii="Cambria Math" w:hAnsi="Cambria Math"/>
          </w:rPr>
          <m:t>-</m:t>
        </m:r>
        <m:r>
          <w:rPr>
            <w:rFonts w:ascii="Cambria Math" w:hAnsi="Cambria Math"/>
          </w:rPr>
          <m:t>c</m:t>
        </m:r>
      </m:oMath>
      <w:r>
        <w:t xml:space="preserve"> and </w:t>
      </w:r>
      <m:oMath>
        <m:r>
          <w:rPr>
            <w:rFonts w:ascii="Cambria Math" w:hAnsi="Cambria Math"/>
          </w:rPr>
          <m:t>c</m:t>
        </m:r>
      </m:oMath>
      <w:r>
        <w:t xml:space="preserve">), that is, incorrectly concludes that an effect exists (with a particular sign) when the true parameter is zero. We conduct a Monte Carlo simulation in which, for each condition, we generated families of size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with </w:t>
      </w:r>
      <m:oMath>
        <m:r>
          <w:rPr>
            <w:rFonts w:ascii="Cambria Math" w:hAnsi="Cambria Math"/>
          </w:rPr>
          <w:lastRenderedPageBreak/>
          <m:t>n</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observations per dataset, and repeated the procedure </w:t>
      </w:r>
      <m:oMath>
        <m:r>
          <w:rPr>
            <w:rFonts w:ascii="Cambria Math" w:hAnsi="Cambria Math"/>
          </w:rPr>
          <m:t>10</m:t>
        </m:r>
        <m:r>
          <m:rPr>
            <m:sty m:val="p"/>
          </m:rPr>
          <w:rPr>
            <w:rFonts w:ascii="Cambria Math" w:hAnsi="Cambria Math"/>
          </w:rPr>
          <m:t>,</m:t>
        </m:r>
        <m:r>
          <w:rPr>
            <w:rFonts w:ascii="Cambria Math" w:hAnsi="Cambria Math"/>
          </w:rPr>
          <m:t>000</m:t>
        </m:r>
      </m:oMath>
      <w:r>
        <w:t xml:space="preserve"> times. In every replication, data were generated under the global null: each dataset had true mean </w:t>
      </w:r>
      <m:oMath>
        <m:r>
          <w:rPr>
            <w:rFonts w:ascii="Cambria Math" w:hAnsi="Cambria Math"/>
          </w:rPr>
          <m:t>0</m:t>
        </m:r>
      </m:oMath>
      <w:r>
        <w:t xml:space="preserve"> and unit variance,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Each dataset was analyzed using a conjugate normal model with known variance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1</m:t>
        </m:r>
      </m:oMath>
      <w:r>
        <w:t xml:space="preserve"> and prior </w:t>
      </w:r>
      <m:oMath>
        <m:r>
          <w:rPr>
            <w:rFonts w:ascii="Cambria Math" w:hAnsi="Cambria Math"/>
          </w:rPr>
          <m:t>θ</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where </w:t>
      </w:r>
      <m:oMath>
        <m:r>
          <w:rPr>
            <w:rFonts w:ascii="Cambria Math" w:hAnsi="Cambria Math"/>
          </w:rPr>
          <m:t>τ</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spans skeptical to flat priors. We drew posterior samples of </w:t>
      </w:r>
      <m:oMath>
        <m:r>
          <w:rPr>
            <w:rFonts w:ascii="Cambria Math" w:hAnsi="Cambria Math"/>
          </w:rPr>
          <m:t>θ</m:t>
        </m:r>
      </m:oMath>
      <w:r>
        <w:t xml:space="preserve"> from the resulting normal posterior and computed </w:t>
      </w:r>
      <w:r>
        <w:rPr>
          <w:i/>
          <w:iCs/>
        </w:rPr>
        <w:t>pd</w:t>
      </w:r>
      <w:r>
        <w:t xml:space="preserve"> as </w:t>
      </w:r>
      <m:oMath>
        <m:r>
          <w:rPr>
            <w:rFonts w:ascii="Cambria Math" w:hAnsi="Cambria Math"/>
          </w:rPr>
          <m:t>pd</m:t>
        </m:r>
        <m:r>
          <m:rPr>
            <m:sty m:val="p"/>
          </m:rPr>
          <w:rPr>
            <w:rFonts w:ascii="Cambria Math" w:hAnsi="Cambria Math"/>
          </w:rPr>
          <m:t>=max</m:t>
        </m:r>
        <m:d>
          <m:dPr>
            <m:ctrlPr>
              <w:rPr>
                <w:rFonts w:ascii="Cambria Math" w:hAnsi="Cambria Math"/>
              </w:rPr>
            </m:ctrlPr>
          </m:dPr>
          <m:e>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y</m:t>
                </m:r>
              </m:e>
            </m:d>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y</m:t>
                </m:r>
              </m:e>
            </m:d>
          </m:e>
        </m:d>
      </m:oMath>
      <w:r>
        <w:t xml:space="preserve"> using these draws. For the frequentist comparison, we conducted two-sided one-sample </w:t>
      </w:r>
      <m:oMath>
        <m:r>
          <w:rPr>
            <w:rFonts w:ascii="Cambria Math" w:hAnsi="Cambria Math"/>
          </w:rPr>
          <m:t>z</m:t>
        </m:r>
      </m:oMath>
      <w:r>
        <w:t>-tests.</w:t>
      </w:r>
    </w:p>
    <w:p w14:paraId="3A135C86" w14:textId="77777777" w:rsidR="004D4137" w:rsidRDefault="004D4137" w:rsidP="008124C4">
      <w:pPr>
        <w:pStyle w:val="Heading3"/>
        <w:spacing w:line="360" w:lineRule="auto"/>
      </w:pPr>
      <w:bookmarkStart w:id="10" w:name="prior-influence"/>
    </w:p>
    <w:p w14:paraId="61F6A0BF" w14:textId="3E8CC94D" w:rsidR="00AC772F" w:rsidRDefault="00000000" w:rsidP="008124C4">
      <w:pPr>
        <w:pStyle w:val="Heading3"/>
      </w:pPr>
      <w:r>
        <w:t>Prior influence</w:t>
      </w:r>
    </w:p>
    <w:p w14:paraId="4D81B7B9" w14:textId="77777777" w:rsidR="00AC772F" w:rsidRDefault="00000000" w:rsidP="008124C4">
      <w:pPr>
        <w:pStyle w:val="FirstParagraph"/>
        <w:spacing w:line="360" w:lineRule="auto"/>
      </w:pPr>
      <w:r>
        <w:t xml:space="preserve">Under the null hypothesis, two-sided </w:t>
      </w:r>
      <w:r>
        <w:rPr>
          <w:i/>
          <w:iCs/>
        </w:rPr>
        <w:t>p</w:t>
      </w:r>
      <w:r>
        <w:t xml:space="preserve">-values are uniformly distributed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because </w:t>
      </w:r>
      <w:r>
        <w:rPr>
          <w:i/>
          <w:iCs/>
        </w:rPr>
        <w:t>pd</w:t>
      </w:r>
      <w:r>
        <w:t xml:space="preserve"> can be mapped to the </w:t>
      </w:r>
      <w:r>
        <w:rPr>
          <w:i/>
          <w:iCs/>
        </w:rPr>
        <w:t>p</w:t>
      </w:r>
      <w:r>
        <w:t xml:space="preserve">-value, this implies a corresponding null reference behavior for </w:t>
      </w:r>
      <w:r>
        <w:rPr>
          <w:i/>
          <w:iCs/>
        </w:rPr>
        <w:t>pd</w:t>
      </w:r>
      <w:r>
        <w:t xml:space="preserve"> on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m:t>
            </m:r>
          </m:e>
        </m:d>
      </m:oMath>
      <w:r>
        <w:t xml:space="preserve"> in the continuous case. However, because the </w:t>
      </w:r>
      <w:r>
        <w:rPr>
          <w:i/>
          <w:iCs/>
        </w:rPr>
        <w:t>pd</w:t>
      </w:r>
      <w:r>
        <w:t xml:space="preserve"> is a posterior probability about the sign of </w:t>
      </w:r>
      <m:oMath>
        <m:r>
          <w:rPr>
            <w:rFonts w:ascii="Cambria Math" w:hAnsi="Cambria Math"/>
          </w:rPr>
          <m:t>θ</m:t>
        </m:r>
      </m:oMath>
      <w:r>
        <w:t xml:space="preserve">, its null distribution is not determined by the likelihood alone: it can shift depending on how strongly the prior concentrates probability near 0 (i.e., how readily the prior “expects” near-null effects). Showing this prior dependence at </w:t>
      </w:r>
      <m:oMath>
        <m:r>
          <w:rPr>
            <w:rFonts w:ascii="Cambria Math" w:hAnsi="Cambria Math"/>
          </w:rPr>
          <m:t>m</m:t>
        </m:r>
        <m:r>
          <m:rPr>
            <m:sty m:val="p"/>
          </m:rPr>
          <w:rPr>
            <w:rFonts w:ascii="Cambria Math" w:hAnsi="Cambria Math"/>
          </w:rPr>
          <m:t>=</m:t>
        </m:r>
        <m:r>
          <w:rPr>
            <w:rFonts w:ascii="Cambria Math" w:hAnsi="Cambria Math"/>
          </w:rPr>
          <m:t>1</m:t>
        </m:r>
      </m:oMath>
      <w:r>
        <w:t xml:space="preserve"> makes the target of later multiplicity analyses explicit: even before any multiplicity is introduced, a fixed cutoff such as </w:t>
      </w:r>
      <m:oMath>
        <m:r>
          <w:rPr>
            <w:rFonts w:ascii="Cambria Math" w:hAnsi="Cambria Math"/>
          </w:rPr>
          <m:t>pd</m:t>
        </m:r>
        <m:r>
          <m:rPr>
            <m:sty m:val="p"/>
          </m:rPr>
          <w:rPr>
            <w:rFonts w:ascii="Cambria Math" w:hAnsi="Cambria Math"/>
          </w:rPr>
          <m:t>&gt;</m:t>
        </m:r>
        <m:r>
          <w:rPr>
            <w:rFonts w:ascii="Cambria Math" w:hAnsi="Cambria Math"/>
          </w:rPr>
          <m:t>0.975</m:t>
        </m:r>
      </m:oMath>
      <w:r>
        <w:t xml:space="preserve"> does not have a universal “null meaning” across priors and sample sizes.</w:t>
      </w:r>
    </w:p>
    <w:p w14:paraId="0472031C" w14:textId="77777777" w:rsidR="00AC772F" w:rsidRDefault="00000000" w:rsidP="008124C4">
      <w:pPr>
        <w:pStyle w:val="BodyText"/>
        <w:spacing w:line="360" w:lineRule="auto"/>
      </w:pPr>
      <w:r>
        <w:t xml:space="preserve">As shown in </w:t>
      </w:r>
      <w:hyperlink w:anchor="fig-uniform-pd">
        <w:r w:rsidR="00AC772F">
          <w:rPr>
            <w:rStyle w:val="Hyperlink"/>
          </w:rPr>
          <w:t>Figure 3</w:t>
        </w:r>
      </w:hyperlink>
      <w:r>
        <w:t xml:space="preserve">, </w:t>
      </w:r>
      <w:r>
        <w:rPr>
          <w:i/>
          <w:iCs/>
        </w:rPr>
        <w:t>pd</w:t>
      </w:r>
      <w:r>
        <w:t xml:space="preserve"> exhibits behavior broadly analogous to a </w:t>
      </w:r>
      <w:r>
        <w:rPr>
          <w:i/>
          <w:iCs/>
        </w:rPr>
        <w:t>p</w:t>
      </w:r>
      <w:r>
        <w:t>-value when samples are large and the prior places relatively little mass near 0. However, increasing prior skepticism (i.e., concentrating more prior mass around 0) reduces the Type I error rate.</w:t>
      </w:r>
    </w:p>
    <w:p w14:paraId="24EE06EA" w14:textId="77777777" w:rsidR="00AC772F" w:rsidRDefault="00000000" w:rsidP="008124C4">
      <w:pPr>
        <w:spacing w:line="360" w:lineRule="auto"/>
      </w:pPr>
      <w:r>
        <w:br w:type="page"/>
      </w:r>
    </w:p>
    <w:p w14:paraId="401F81FD" w14:textId="5EC15A16" w:rsidR="004D4137" w:rsidRDefault="004D4137" w:rsidP="008124C4">
      <w:pPr>
        <w:pStyle w:val="FigureTitle"/>
        <w:spacing w:line="360" w:lineRule="auto"/>
        <w:rPr>
          <w:sz w:val="22"/>
          <w:szCs w:val="22"/>
        </w:rPr>
      </w:pPr>
      <w:bookmarkStart w:id="11" w:name="fig-uniform-pd"/>
      <w:r>
        <w:rPr>
          <w:noProof/>
          <w:sz w:val="22"/>
          <w:szCs w:val="22"/>
        </w:rPr>
        <w:lastRenderedPageBreak/>
        <w:drawing>
          <wp:inline distT="0" distB="0" distL="0" distR="0" wp14:anchorId="3AA9F7E7" wp14:editId="5D0B70DE">
            <wp:extent cx="5943600" cy="5943600"/>
            <wp:effectExtent l="0" t="0" r="0" b="0"/>
            <wp:docPr id="1683893462" name="Picture 1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3462" name="Picture 11" descr="A graph of a number of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9BF243B" w14:textId="27609ACD" w:rsidR="00AC772F" w:rsidRPr="004D4137" w:rsidRDefault="00000000" w:rsidP="008124C4">
      <w:pPr>
        <w:pStyle w:val="FigureTitle"/>
        <w:spacing w:line="360" w:lineRule="auto"/>
        <w:rPr>
          <w:sz w:val="22"/>
          <w:szCs w:val="22"/>
        </w:rPr>
      </w:pPr>
      <w:r w:rsidRPr="004D4137">
        <w:rPr>
          <w:sz w:val="22"/>
          <w:szCs w:val="22"/>
        </w:rPr>
        <w:t>Figure 3</w:t>
      </w:r>
      <w:r w:rsidR="004D4137">
        <w:rPr>
          <w:sz w:val="22"/>
          <w:szCs w:val="22"/>
        </w:rPr>
        <w:t xml:space="preserve">. </w:t>
      </w:r>
      <w:r w:rsidRPr="004D4137">
        <w:rPr>
          <w:b w:val="0"/>
          <w:bCs/>
          <w:sz w:val="22"/>
          <w:szCs w:val="22"/>
        </w:rPr>
        <w:t xml:space="preserve">Null reference distributions for </w:t>
      </w:r>
      <w:r w:rsidRPr="004D4137">
        <w:rPr>
          <w:b w:val="0"/>
          <w:bCs/>
          <w:i/>
          <w:iCs/>
          <w:sz w:val="22"/>
          <w:szCs w:val="22"/>
        </w:rPr>
        <w:t>p</w:t>
      </w:r>
      <w:r w:rsidRPr="004D4137">
        <w:rPr>
          <w:b w:val="0"/>
          <w:bCs/>
          <w:sz w:val="22"/>
          <w:szCs w:val="22"/>
        </w:rPr>
        <w:t xml:space="preserve">-values and probability of direction. Panel A shows the histogram of two-sided one-sample z-test </w:t>
      </w:r>
      <w:r w:rsidRPr="004D4137">
        <w:rPr>
          <w:b w:val="0"/>
          <w:bCs/>
          <w:i/>
          <w:iCs/>
          <w:sz w:val="22"/>
          <w:szCs w:val="22"/>
        </w:rPr>
        <w:t>p</w:t>
      </w:r>
      <w:r w:rsidRPr="004D4137">
        <w:rPr>
          <w:b w:val="0"/>
          <w:bCs/>
          <w:sz w:val="22"/>
          <w:szCs w:val="22"/>
        </w:rPr>
        <w:t>-values from 10,000 replications under the global null (</w:t>
      </w:r>
      <m:oMath>
        <m:r>
          <m:rPr>
            <m:sty m:val="bi"/>
          </m:rPr>
          <w:rPr>
            <w:rFonts w:ascii="Cambria Math" w:hAnsi="Cambria Math"/>
            <w:sz w:val="22"/>
            <w:szCs w:val="22"/>
          </w:rPr>
          <m:t>θ</m:t>
        </m:r>
        <m:r>
          <m:rPr>
            <m:sty m:val="b"/>
          </m:rPr>
          <w:rPr>
            <w:rFonts w:ascii="Cambria Math" w:hAnsi="Cambria Math"/>
            <w:sz w:val="22"/>
            <w:szCs w:val="22"/>
          </w:rPr>
          <m:t>=</m:t>
        </m:r>
        <m:r>
          <m:rPr>
            <m:sty m:val="bi"/>
          </m:rPr>
          <w:rPr>
            <w:rFonts w:ascii="Cambria Math" w:hAnsi="Cambria Math"/>
            <w:sz w:val="22"/>
            <w:szCs w:val="22"/>
          </w:rPr>
          <m:t>0</m:t>
        </m:r>
      </m:oMath>
      <w:r w:rsidRPr="004D4137">
        <w:rPr>
          <w:b w:val="0"/>
          <w:bCs/>
          <w:sz w:val="22"/>
          <w:szCs w:val="22"/>
        </w:rPr>
        <w:t>), with binwidth 0.025. Panel B shows the corresponding empirical distributions of the probability of direction (</w:t>
      </w:r>
      <w:r w:rsidRPr="004D4137">
        <w:rPr>
          <w:b w:val="0"/>
          <w:bCs/>
          <w:i/>
          <w:iCs/>
          <w:sz w:val="22"/>
          <w:szCs w:val="22"/>
        </w:rPr>
        <w:t>pd</w:t>
      </w:r>
      <w:r w:rsidRPr="004D4137">
        <w:rPr>
          <w:b w:val="0"/>
          <w:bCs/>
          <w:sz w:val="22"/>
          <w:szCs w:val="22"/>
        </w:rPr>
        <w:t>) computed from a conjugate normal posterior, stratified by sample size (</w:t>
      </w:r>
      <m:oMath>
        <m:r>
          <m:rPr>
            <m:sty m:val="bi"/>
          </m:rPr>
          <w:rPr>
            <w:rFonts w:ascii="Cambria Math" w:hAnsi="Cambria Math"/>
            <w:sz w:val="22"/>
            <w:szCs w:val="22"/>
          </w:rPr>
          <m:t>n</m:t>
        </m:r>
        <m:r>
          <m:rPr>
            <m:sty m:val="b"/>
          </m:rPr>
          <w:rPr>
            <w:rFonts w:ascii="Cambria Math" w:hAnsi="Cambria Math"/>
            <w:sz w:val="22"/>
            <w:szCs w:val="22"/>
          </w:rPr>
          <m:t>=</m:t>
        </m:r>
        <m:r>
          <m:rPr>
            <m:sty m:val="bi"/>
          </m:rPr>
          <w:rPr>
            <w:rFonts w:ascii="Cambria Math" w:hAnsi="Cambria Math"/>
            <w:sz w:val="22"/>
            <w:szCs w:val="22"/>
          </w:rPr>
          <m:t>30</m:t>
        </m:r>
        <m:r>
          <m:rPr>
            <m:sty m:val="b"/>
          </m:rPr>
          <w:rPr>
            <w:rFonts w:ascii="Cambria Math" w:hAnsi="Cambria Math"/>
            <w:sz w:val="22"/>
            <w:szCs w:val="22"/>
          </w:rPr>
          <m:t>,</m:t>
        </m:r>
        <m:r>
          <m:rPr>
            <m:sty m:val="bi"/>
          </m:rPr>
          <w:rPr>
            <w:rFonts w:ascii="Cambria Math" w:hAnsi="Cambria Math"/>
            <w:sz w:val="22"/>
            <w:szCs w:val="22"/>
          </w:rPr>
          <m:t>50</m:t>
        </m:r>
        <m:r>
          <m:rPr>
            <m:sty m:val="b"/>
          </m:rPr>
          <w:rPr>
            <w:rFonts w:ascii="Cambria Math" w:hAnsi="Cambria Math"/>
            <w:sz w:val="22"/>
            <w:szCs w:val="22"/>
          </w:rPr>
          <m:t>,</m:t>
        </m:r>
        <m:r>
          <m:rPr>
            <m:sty m:val="bi"/>
          </m:rPr>
          <w:rPr>
            <w:rFonts w:ascii="Cambria Math" w:hAnsi="Cambria Math"/>
            <w:sz w:val="22"/>
            <w:szCs w:val="22"/>
          </w:rPr>
          <m:t>100</m:t>
        </m:r>
      </m:oMath>
      <w:r w:rsidRPr="004D4137">
        <w:rPr>
          <w:b w:val="0"/>
          <w:bCs/>
          <w:sz w:val="22"/>
          <w:szCs w:val="22"/>
        </w:rPr>
        <w:t>; rows) and prior scale (</w:t>
      </w:r>
      <m:oMath>
        <m:r>
          <m:rPr>
            <m:sty m:val="bi"/>
          </m:rPr>
          <w:rPr>
            <w:rFonts w:ascii="Cambria Math" w:hAnsi="Cambria Math"/>
            <w:sz w:val="22"/>
            <w:szCs w:val="22"/>
          </w:rPr>
          <m:t>θ</m:t>
        </m:r>
        <m:r>
          <m:rPr>
            <m:scr m:val="script"/>
            <m:sty m:val="b"/>
          </m:rPr>
          <w:rPr>
            <w:rFonts w:ascii="Cambria Math" w:hAnsi="Cambria Math"/>
            <w:sz w:val="22"/>
            <w:szCs w:val="22"/>
          </w:rPr>
          <m:t>∼N</m:t>
        </m:r>
        <m:d>
          <m:dPr>
            <m:ctrlPr>
              <w:rPr>
                <w:rFonts w:ascii="Cambria Math" w:hAnsi="Cambria Math"/>
                <w:b w:val="0"/>
                <w:bCs/>
                <w:sz w:val="22"/>
                <w:szCs w:val="22"/>
              </w:rPr>
            </m:ctrlPr>
          </m:dPr>
          <m:e>
            <m:r>
              <m:rPr>
                <m:sty m:val="bi"/>
              </m:rPr>
              <w:rPr>
                <w:rFonts w:ascii="Cambria Math" w:hAnsi="Cambria Math"/>
                <w:sz w:val="22"/>
                <w:szCs w:val="22"/>
              </w:rPr>
              <m:t>0</m:t>
            </m:r>
            <m:r>
              <m:rPr>
                <m:sty m:val="b"/>
              </m:rPr>
              <w:rPr>
                <w:rFonts w:ascii="Cambria Math" w:hAnsi="Cambria Math"/>
                <w:sz w:val="22"/>
                <w:szCs w:val="22"/>
              </w:rPr>
              <m:t>,</m:t>
            </m:r>
            <m:sSup>
              <m:sSupPr>
                <m:ctrlPr>
                  <w:rPr>
                    <w:rFonts w:ascii="Cambria Math" w:hAnsi="Cambria Math"/>
                    <w:b w:val="0"/>
                    <w:bCs/>
                    <w:sz w:val="22"/>
                    <w:szCs w:val="22"/>
                  </w:rPr>
                </m:ctrlPr>
              </m:sSupPr>
              <m:e>
                <m:r>
                  <m:rPr>
                    <m:sty m:val="bi"/>
                  </m:rPr>
                  <w:rPr>
                    <w:rFonts w:ascii="Cambria Math" w:hAnsi="Cambria Math"/>
                    <w:sz w:val="22"/>
                    <w:szCs w:val="22"/>
                  </w:rPr>
                  <m:t>τ</m:t>
                </m:r>
              </m:e>
              <m:sup>
                <m:r>
                  <m:rPr>
                    <m:sty m:val="bi"/>
                  </m:rPr>
                  <w:rPr>
                    <w:rFonts w:ascii="Cambria Math" w:hAnsi="Cambria Math"/>
                    <w:sz w:val="22"/>
                    <w:szCs w:val="22"/>
                  </w:rPr>
                  <m:t>2</m:t>
                </m:r>
              </m:sup>
            </m:sSup>
          </m:e>
        </m:d>
      </m:oMath>
      <w:r w:rsidRPr="004D4137">
        <w:rPr>
          <w:b w:val="0"/>
          <w:bCs/>
          <w:sz w:val="22"/>
          <w:szCs w:val="22"/>
        </w:rPr>
        <w:t xml:space="preserve"> with </w:t>
      </w:r>
      <m:oMath>
        <m:r>
          <m:rPr>
            <m:sty m:val="bi"/>
          </m:rPr>
          <w:rPr>
            <w:rFonts w:ascii="Cambria Math" w:hAnsi="Cambria Math"/>
            <w:sz w:val="22"/>
            <w:szCs w:val="22"/>
          </w:rPr>
          <m:t>τ</m:t>
        </m:r>
        <m:r>
          <m:rPr>
            <m:sty m:val="b"/>
          </m:rPr>
          <w:rPr>
            <w:rFonts w:ascii="Cambria Math" w:hAnsi="Cambria Math"/>
            <w:sz w:val="22"/>
            <w:szCs w:val="22"/>
          </w:rPr>
          <m:t>∈{</m:t>
        </m:r>
        <m:r>
          <m:rPr>
            <m:sty m:val="bi"/>
          </m:rPr>
          <w:rPr>
            <w:rFonts w:ascii="Cambria Math" w:hAnsi="Cambria Math"/>
            <w:sz w:val="22"/>
            <w:szCs w:val="22"/>
          </w:rPr>
          <m:t>0.2</m:t>
        </m:r>
        <m:r>
          <m:rPr>
            <m:sty m:val="b"/>
          </m:rPr>
          <w:rPr>
            <w:rFonts w:ascii="Cambria Math" w:hAnsi="Cambria Math"/>
            <w:sz w:val="22"/>
            <w:szCs w:val="22"/>
          </w:rPr>
          <m:t>,</m:t>
        </m:r>
        <m:r>
          <m:rPr>
            <m:sty m:val="bi"/>
          </m:rPr>
          <w:rPr>
            <w:rFonts w:ascii="Cambria Math" w:hAnsi="Cambria Math"/>
            <w:sz w:val="22"/>
            <w:szCs w:val="22"/>
          </w:rPr>
          <m:t>0.5</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r>
          <m:rPr>
            <m:sty m:val="bi"/>
          </m:rPr>
          <w:rPr>
            <w:rFonts w:ascii="Cambria Math" w:hAnsi="Cambria Math"/>
            <w:sz w:val="22"/>
            <w:szCs w:val="22"/>
          </w:rPr>
          <m:t>1.5</m:t>
        </m:r>
        <m:r>
          <m:rPr>
            <m:sty m:val="b"/>
          </m:rPr>
          <w:rPr>
            <w:rFonts w:ascii="Cambria Math" w:hAnsi="Cambria Math"/>
            <w:sz w:val="22"/>
            <w:szCs w:val="22"/>
          </w:rPr>
          <m:t>,</m:t>
        </m:r>
        <m:r>
          <m:rPr>
            <m:sty m:val="bi"/>
          </m:rPr>
          <w:rPr>
            <w:rFonts w:ascii="Cambria Math" w:hAnsi="Cambria Math"/>
            <w:sz w:val="22"/>
            <w:szCs w:val="22"/>
          </w:rPr>
          <m:t>2</m:t>
        </m:r>
        <m:r>
          <m:rPr>
            <m:sty m:val="b"/>
          </m:rPr>
          <w:rPr>
            <w:rFonts w:ascii="Cambria Math" w:hAnsi="Cambria Math"/>
            <w:sz w:val="22"/>
            <w:szCs w:val="22"/>
          </w:rPr>
          <m:t>}</m:t>
        </m:r>
      </m:oMath>
      <w:r w:rsidRPr="004D4137">
        <w:rPr>
          <w:b w:val="0"/>
          <w:bCs/>
          <w:sz w:val="22"/>
          <w:szCs w:val="22"/>
        </w:rPr>
        <w:t>; columns). The vertical dashed line marks the commonly used evidential cutoff (</w:t>
      </w:r>
      <w:r w:rsidRPr="004D4137">
        <w:rPr>
          <w:b w:val="0"/>
          <w:bCs/>
          <w:i/>
          <w:iCs/>
          <w:sz w:val="22"/>
          <w:szCs w:val="22"/>
        </w:rPr>
        <w:t>pd</w:t>
      </w:r>
      <w:r w:rsidRPr="004D4137">
        <w:rPr>
          <w:b w:val="0"/>
          <w:bCs/>
          <w:sz w:val="22"/>
          <w:szCs w:val="22"/>
        </w:rPr>
        <w:t xml:space="preserve"> = 0.975), which corresponds to a two-sided </w:t>
      </w:r>
      <w:r w:rsidRPr="004D4137">
        <w:rPr>
          <w:b w:val="0"/>
          <w:bCs/>
          <w:i/>
          <w:iCs/>
          <w:sz w:val="22"/>
          <w:szCs w:val="22"/>
        </w:rPr>
        <w:t>p</w:t>
      </w:r>
      <w:r w:rsidRPr="004D4137">
        <w:rPr>
          <w:b w:val="0"/>
          <w:bCs/>
          <w:sz w:val="22"/>
          <w:szCs w:val="22"/>
        </w:rPr>
        <w:t xml:space="preserve">-value of 0.05 under the standard conversion </w:t>
      </w:r>
      <m:oMath>
        <m:r>
          <m:rPr>
            <m:sty m:val="bi"/>
          </m:rPr>
          <w:rPr>
            <w:rFonts w:ascii="Cambria Math" w:hAnsi="Cambria Math"/>
            <w:sz w:val="22"/>
            <w:szCs w:val="22"/>
          </w:rPr>
          <m:t>p</m:t>
        </m:r>
        <m:r>
          <m:rPr>
            <m:sty m:val="b"/>
          </m:rPr>
          <w:rPr>
            <w:rFonts w:ascii="Cambria Math" w:hAnsi="Cambria Math"/>
            <w:sz w:val="22"/>
            <w:szCs w:val="22"/>
          </w:rPr>
          <m:t>=</m:t>
        </m:r>
        <m:r>
          <m:rPr>
            <m:sty m:val="bi"/>
          </m:rPr>
          <w:rPr>
            <w:rFonts w:ascii="Cambria Math" w:hAnsi="Cambria Math"/>
            <w:sz w:val="22"/>
            <w:szCs w:val="22"/>
          </w:rPr>
          <m:t>2</m:t>
        </m:r>
        <m:d>
          <m:dPr>
            <m:ctrlPr>
              <w:rPr>
                <w:rFonts w:ascii="Cambria Math" w:hAnsi="Cambria Math"/>
                <w:b w:val="0"/>
                <w:bCs/>
                <w:sz w:val="22"/>
                <w:szCs w:val="22"/>
              </w:rPr>
            </m:ctrlPr>
          </m:dPr>
          <m:e>
            <m:r>
              <m:rPr>
                <m:sty m:val="bi"/>
              </m:rPr>
              <w:rPr>
                <w:rFonts w:ascii="Cambria Math" w:hAnsi="Cambria Math"/>
                <w:sz w:val="22"/>
                <w:szCs w:val="22"/>
              </w:rPr>
              <m:t>1</m:t>
            </m:r>
            <m:r>
              <m:rPr>
                <m:sty m:val="b"/>
              </m:rPr>
              <w:rPr>
                <w:rFonts w:ascii="Cambria Math" w:hAnsi="Cambria Math"/>
                <w:sz w:val="22"/>
                <w:szCs w:val="22"/>
              </w:rPr>
              <m:t>-</m:t>
            </m:r>
            <m:r>
              <m:rPr>
                <m:sty m:val="bi"/>
              </m:rPr>
              <w:rPr>
                <w:rFonts w:ascii="Cambria Math" w:hAnsi="Cambria Math"/>
                <w:sz w:val="22"/>
                <w:szCs w:val="22"/>
              </w:rPr>
              <m:t>pd</m:t>
            </m:r>
          </m:e>
        </m:d>
      </m:oMath>
      <w:r w:rsidRPr="004D4137">
        <w:rPr>
          <w:b w:val="0"/>
          <w:bCs/>
          <w:sz w:val="22"/>
          <w:szCs w:val="22"/>
        </w:rPr>
        <w:t>.</w:t>
      </w:r>
    </w:p>
    <w:p w14:paraId="44DDC69F" w14:textId="3FFD758C" w:rsidR="00AC772F" w:rsidRDefault="00AC772F" w:rsidP="008124C4">
      <w:pPr>
        <w:pStyle w:val="FigureWithoutNote"/>
        <w:spacing w:line="360" w:lineRule="auto"/>
      </w:pPr>
    </w:p>
    <w:p w14:paraId="0B199DC7" w14:textId="77777777" w:rsidR="00AC772F" w:rsidRDefault="00000000" w:rsidP="008124C4">
      <w:pPr>
        <w:pStyle w:val="Heading3"/>
      </w:pPr>
      <w:bookmarkStart w:id="12" w:name="behavior-under-multiplicity"/>
      <w:bookmarkEnd w:id="10"/>
      <w:bookmarkEnd w:id="11"/>
      <w:r>
        <w:lastRenderedPageBreak/>
        <w:t>Behavior under multiplicity</w:t>
      </w:r>
    </w:p>
    <w:p w14:paraId="70C690DD" w14:textId="77777777" w:rsidR="00AC772F" w:rsidRDefault="00000000" w:rsidP="008124C4">
      <w:pPr>
        <w:pStyle w:val="FirstParagraph"/>
        <w:spacing w:line="360" w:lineRule="auto"/>
      </w:pPr>
      <w:r>
        <w:t xml:space="preserve">Building on this baseline, multiplicity can be introduced as a second, distinct mechanism: even when each individual test has only a small probability of producing an extreme </w:t>
      </w:r>
      <w:r>
        <w:rPr>
          <w:i/>
          <w:iCs/>
        </w:rPr>
        <w:t>pd</w:t>
      </w:r>
      <w:r>
        <w:t xml:space="preserve"> under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the probability that at least one among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is extreme increases with the number of tests </w:t>
      </w:r>
      <m:oMath>
        <m:r>
          <w:rPr>
            <w:rFonts w:ascii="Cambria Math" w:hAnsi="Cambria Math"/>
          </w:rPr>
          <m:t>m</m:t>
        </m:r>
      </m:oMath>
      <w:r>
        <w:t xml:space="preserve">. We quantify this familywise error rate (FWER) behavior by estimating </w:t>
      </w:r>
      <w:r>
        <w:rPr>
          <w:i/>
          <w:iCs/>
        </w:rPr>
        <w:t>pd</w:t>
      </w:r>
      <w:r>
        <w:t xml:space="preserve"> for families ranging from </w:t>
      </w:r>
      <m:oMath>
        <m:r>
          <w:rPr>
            <w:rFonts w:ascii="Cambria Math" w:hAnsi="Cambria Math"/>
          </w:rPr>
          <m:t>m</m:t>
        </m:r>
        <m:r>
          <m:rPr>
            <m:sty m:val="p"/>
          </m:rPr>
          <w:rPr>
            <w:rFonts w:ascii="Cambria Math" w:hAnsi="Cambria Math"/>
          </w:rPr>
          <m:t>=</m:t>
        </m:r>
        <m:r>
          <w:rPr>
            <w:rFonts w:ascii="Cambria Math" w:hAnsi="Cambria Math"/>
          </w:rPr>
          <m:t>1</m:t>
        </m:r>
      </m:oMath>
      <w:r>
        <w:t xml:space="preserve"> to </w:t>
      </w:r>
      <m:oMath>
        <m:r>
          <w:rPr>
            <w:rFonts w:ascii="Cambria Math" w:hAnsi="Cambria Math"/>
          </w:rPr>
          <m:t>m</m:t>
        </m:r>
        <m:r>
          <m:rPr>
            <m:sty m:val="p"/>
          </m:rPr>
          <w:rPr>
            <w:rFonts w:ascii="Cambria Math" w:hAnsi="Cambria Math"/>
          </w:rPr>
          <m:t>=</m:t>
        </m:r>
        <m:r>
          <w:rPr>
            <w:rFonts w:ascii="Cambria Math" w:hAnsi="Cambria Math"/>
          </w:rPr>
          <m:t>20</m:t>
        </m:r>
      </m:oMath>
      <w:r>
        <w:t>.</w:t>
      </w:r>
    </w:p>
    <w:p w14:paraId="0CB0699F" w14:textId="77777777" w:rsidR="00AC772F" w:rsidRDefault="00000000" w:rsidP="008124C4">
      <w:pPr>
        <w:pStyle w:val="BodyText"/>
        <w:spacing w:line="360" w:lineRule="auto"/>
      </w:pPr>
      <w:r>
        <w:t xml:space="preserve">As expected, </w:t>
      </w:r>
      <w:r>
        <w:rPr>
          <w:i/>
          <w:iCs/>
        </w:rPr>
        <w:t>pd</w:t>
      </w:r>
      <w:r>
        <w:t xml:space="preserve"> again behaves broadly analogously to the </w:t>
      </w:r>
      <w:r>
        <w:rPr>
          <w:i/>
          <w:iCs/>
        </w:rPr>
        <w:t>p</w:t>
      </w:r>
      <w:r>
        <w:t>-value when sample sizes are large and the prior places relatively little mass near 0 (</w:t>
      </w:r>
      <w:hyperlink w:anchor="fig-fwer1-pd">
        <w:r w:rsidR="00AC772F">
          <w:rPr>
            <w:rStyle w:val="Hyperlink"/>
          </w:rPr>
          <w:t>Figure 4</w:t>
        </w:r>
      </w:hyperlink>
      <w:r>
        <w:t>). By contrast, as the prior becomes more skeptical (i.e., increasingly concentrated around 0), the FWER decreases.</w:t>
      </w:r>
    </w:p>
    <w:p w14:paraId="66D0AB7C" w14:textId="77777777" w:rsidR="00AC772F" w:rsidRDefault="00000000" w:rsidP="008124C4">
      <w:pPr>
        <w:spacing w:line="360" w:lineRule="auto"/>
      </w:pPr>
      <w:r>
        <w:br w:type="page"/>
      </w:r>
    </w:p>
    <w:p w14:paraId="0B8F2F63" w14:textId="167E293D" w:rsidR="004D4137" w:rsidRDefault="004D4137" w:rsidP="008124C4">
      <w:pPr>
        <w:pStyle w:val="FigureTitle"/>
        <w:spacing w:line="360" w:lineRule="auto"/>
        <w:rPr>
          <w:sz w:val="22"/>
          <w:szCs w:val="22"/>
        </w:rPr>
      </w:pPr>
      <w:bookmarkStart w:id="13" w:name="fig-fwer1-pd"/>
      <w:r>
        <w:rPr>
          <w:noProof/>
          <w:sz w:val="22"/>
          <w:szCs w:val="22"/>
        </w:rPr>
        <w:lastRenderedPageBreak/>
        <w:drawing>
          <wp:inline distT="0" distB="0" distL="0" distR="0" wp14:anchorId="0100BBE4" wp14:editId="48E03985">
            <wp:extent cx="5943600" cy="4245610"/>
            <wp:effectExtent l="0" t="0" r="0" b="0"/>
            <wp:docPr id="399597743" name="Picture 15" descr="A graph of 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7743" name="Picture 15" descr="A graph of a graph of a number of poin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297AEDE" w14:textId="43A42794" w:rsidR="00AC772F" w:rsidRPr="004D4137" w:rsidRDefault="00000000" w:rsidP="008124C4">
      <w:pPr>
        <w:pStyle w:val="FigureTitle"/>
        <w:spacing w:line="360" w:lineRule="auto"/>
        <w:rPr>
          <w:sz w:val="22"/>
          <w:szCs w:val="22"/>
        </w:rPr>
      </w:pPr>
      <w:r w:rsidRPr="004D4137">
        <w:rPr>
          <w:sz w:val="22"/>
          <w:szCs w:val="22"/>
        </w:rPr>
        <w:t>Figure 4</w:t>
      </w:r>
      <w:r w:rsidR="004D4137">
        <w:rPr>
          <w:sz w:val="22"/>
          <w:szCs w:val="22"/>
        </w:rPr>
        <w:t>.</w:t>
      </w:r>
      <w:r w:rsidR="004D4137" w:rsidRPr="004D4137">
        <w:rPr>
          <w:b w:val="0"/>
          <w:bCs/>
          <w:sz w:val="22"/>
          <w:szCs w:val="22"/>
        </w:rPr>
        <w:t xml:space="preserve"> </w:t>
      </w:r>
      <w:r w:rsidRPr="004D4137">
        <w:rPr>
          <w:b w:val="0"/>
          <w:bCs/>
          <w:sz w:val="22"/>
          <w:szCs w:val="22"/>
        </w:rPr>
        <w:t>Familywise error rates under the global null for p-values and probability of direction. The figure shows the estimated familywise error rate (FWER), defined as the probability of at least one false positive across m tests, as a function of the number of tests (m), based on 10,000 replications under the global null (</w:t>
      </w:r>
      <m:oMath>
        <m:r>
          <m:rPr>
            <m:sty m:val="bi"/>
          </m:rPr>
          <w:rPr>
            <w:rFonts w:ascii="Cambria Math" w:hAnsi="Cambria Math"/>
            <w:sz w:val="22"/>
            <w:szCs w:val="22"/>
          </w:rPr>
          <m:t>θ</m:t>
        </m:r>
        <m:r>
          <m:rPr>
            <m:sty m:val="b"/>
          </m:rPr>
          <w:rPr>
            <w:rFonts w:ascii="Cambria Math" w:hAnsi="Cambria Math"/>
            <w:sz w:val="22"/>
            <w:szCs w:val="22"/>
          </w:rPr>
          <m:t>=</m:t>
        </m:r>
        <m:r>
          <m:rPr>
            <m:sty m:val="bi"/>
          </m:rPr>
          <w:rPr>
            <w:rFonts w:ascii="Cambria Math" w:hAnsi="Cambria Math"/>
            <w:sz w:val="22"/>
            <w:szCs w:val="22"/>
          </w:rPr>
          <m:t>0</m:t>
        </m:r>
      </m:oMath>
      <w:r w:rsidRPr="004D4137">
        <w:rPr>
          <w:b w:val="0"/>
          <w:bCs/>
          <w:sz w:val="22"/>
          <w:szCs w:val="22"/>
        </w:rPr>
        <w:t xml:space="preserve"> for all tests). The pink curve corresponds to declaring at least one discovery when at least one two-sided one-sample z-test p-value &lt; 0.05, whereas the blue curve corresponds to declaring at least one discovery when at least one pd &gt; 0.975 under the conjugate normal Bayesian model. Rows vary the per-test sample size (</w:t>
      </w:r>
      <m:oMath>
        <m:r>
          <m:rPr>
            <m:sty m:val="bi"/>
          </m:rPr>
          <w:rPr>
            <w:rFonts w:ascii="Cambria Math" w:hAnsi="Cambria Math"/>
            <w:sz w:val="22"/>
            <w:szCs w:val="22"/>
          </w:rPr>
          <m:t>n</m:t>
        </m:r>
        <m:r>
          <m:rPr>
            <m:sty m:val="b"/>
          </m:rPr>
          <w:rPr>
            <w:rFonts w:ascii="Cambria Math" w:hAnsi="Cambria Math"/>
            <w:sz w:val="22"/>
            <w:szCs w:val="22"/>
          </w:rPr>
          <m:t>=</m:t>
        </m:r>
        <m:r>
          <m:rPr>
            <m:sty m:val="bi"/>
          </m:rPr>
          <w:rPr>
            <w:rFonts w:ascii="Cambria Math" w:hAnsi="Cambria Math"/>
            <w:sz w:val="22"/>
            <w:szCs w:val="22"/>
          </w:rPr>
          <m:t>30</m:t>
        </m:r>
        <m:r>
          <m:rPr>
            <m:sty m:val="b"/>
          </m:rPr>
          <w:rPr>
            <w:rFonts w:ascii="Cambria Math" w:hAnsi="Cambria Math"/>
            <w:sz w:val="22"/>
            <w:szCs w:val="22"/>
          </w:rPr>
          <m:t>,</m:t>
        </m:r>
        <m:r>
          <m:rPr>
            <m:sty m:val="bi"/>
          </m:rPr>
          <w:rPr>
            <w:rFonts w:ascii="Cambria Math" w:hAnsi="Cambria Math"/>
            <w:sz w:val="22"/>
            <w:szCs w:val="22"/>
          </w:rPr>
          <m:t>50</m:t>
        </m:r>
        <m:r>
          <m:rPr>
            <m:sty m:val="b"/>
          </m:rPr>
          <w:rPr>
            <w:rFonts w:ascii="Cambria Math" w:hAnsi="Cambria Math"/>
            <w:sz w:val="22"/>
            <w:szCs w:val="22"/>
          </w:rPr>
          <m:t>,</m:t>
        </m:r>
        <m:r>
          <m:rPr>
            <m:sty m:val="bi"/>
          </m:rPr>
          <w:rPr>
            <w:rFonts w:ascii="Cambria Math" w:hAnsi="Cambria Math"/>
            <w:sz w:val="22"/>
            <w:szCs w:val="22"/>
          </w:rPr>
          <m:t>100</m:t>
        </m:r>
      </m:oMath>
      <w:r w:rsidRPr="004D4137">
        <w:rPr>
          <w:b w:val="0"/>
          <w:bCs/>
          <w:sz w:val="22"/>
          <w:szCs w:val="22"/>
        </w:rPr>
        <w:t>), and columns vary the prior scale (</w:t>
      </w:r>
      <m:oMath>
        <m:r>
          <m:rPr>
            <m:sty m:val="bi"/>
          </m:rPr>
          <w:rPr>
            <w:rFonts w:ascii="Cambria Math" w:hAnsi="Cambria Math"/>
            <w:sz w:val="22"/>
            <w:szCs w:val="22"/>
          </w:rPr>
          <m:t>θ</m:t>
        </m:r>
        <m:r>
          <m:rPr>
            <m:scr m:val="script"/>
            <m:sty m:val="b"/>
          </m:rPr>
          <w:rPr>
            <w:rFonts w:ascii="Cambria Math" w:hAnsi="Cambria Math"/>
            <w:sz w:val="22"/>
            <w:szCs w:val="22"/>
          </w:rPr>
          <m:t>∼N</m:t>
        </m:r>
        <m:d>
          <m:dPr>
            <m:ctrlPr>
              <w:rPr>
                <w:rFonts w:ascii="Cambria Math" w:hAnsi="Cambria Math"/>
                <w:b w:val="0"/>
                <w:bCs/>
                <w:sz w:val="22"/>
                <w:szCs w:val="22"/>
              </w:rPr>
            </m:ctrlPr>
          </m:dPr>
          <m:e>
            <m:r>
              <m:rPr>
                <m:sty m:val="bi"/>
              </m:rPr>
              <w:rPr>
                <w:rFonts w:ascii="Cambria Math" w:hAnsi="Cambria Math"/>
                <w:sz w:val="22"/>
                <w:szCs w:val="22"/>
              </w:rPr>
              <m:t>0</m:t>
            </m:r>
            <m:r>
              <m:rPr>
                <m:sty m:val="b"/>
              </m:rPr>
              <w:rPr>
                <w:rFonts w:ascii="Cambria Math" w:hAnsi="Cambria Math"/>
                <w:sz w:val="22"/>
                <w:szCs w:val="22"/>
              </w:rPr>
              <m:t>,</m:t>
            </m:r>
            <m:sSup>
              <m:sSupPr>
                <m:ctrlPr>
                  <w:rPr>
                    <w:rFonts w:ascii="Cambria Math" w:hAnsi="Cambria Math"/>
                    <w:b w:val="0"/>
                    <w:bCs/>
                    <w:sz w:val="22"/>
                    <w:szCs w:val="22"/>
                  </w:rPr>
                </m:ctrlPr>
              </m:sSupPr>
              <m:e>
                <m:r>
                  <m:rPr>
                    <m:sty m:val="bi"/>
                  </m:rPr>
                  <w:rPr>
                    <w:rFonts w:ascii="Cambria Math" w:hAnsi="Cambria Math"/>
                    <w:sz w:val="22"/>
                    <w:szCs w:val="22"/>
                  </w:rPr>
                  <m:t>τ</m:t>
                </m:r>
              </m:e>
              <m:sup>
                <m:r>
                  <m:rPr>
                    <m:sty m:val="bi"/>
                  </m:rPr>
                  <w:rPr>
                    <w:rFonts w:ascii="Cambria Math" w:hAnsi="Cambria Math"/>
                    <w:sz w:val="22"/>
                    <w:szCs w:val="22"/>
                  </w:rPr>
                  <m:t>2</m:t>
                </m:r>
              </m:sup>
            </m:sSup>
          </m:e>
        </m:d>
      </m:oMath>
      <w:r w:rsidRPr="004D4137">
        <w:rPr>
          <w:b w:val="0"/>
          <w:bCs/>
          <w:sz w:val="22"/>
          <w:szCs w:val="22"/>
        </w:rPr>
        <w:t xml:space="preserve"> with </w:t>
      </w:r>
      <m:oMath>
        <m:r>
          <m:rPr>
            <m:sty m:val="bi"/>
          </m:rPr>
          <w:rPr>
            <w:rFonts w:ascii="Cambria Math" w:hAnsi="Cambria Math"/>
            <w:sz w:val="22"/>
            <w:szCs w:val="22"/>
          </w:rPr>
          <m:t>τ</m:t>
        </m:r>
        <m:r>
          <m:rPr>
            <m:sty m:val="b"/>
          </m:rPr>
          <w:rPr>
            <w:rFonts w:ascii="Cambria Math" w:hAnsi="Cambria Math"/>
            <w:sz w:val="22"/>
            <w:szCs w:val="22"/>
          </w:rPr>
          <m:t>∈{</m:t>
        </m:r>
        <m:r>
          <m:rPr>
            <m:sty m:val="bi"/>
          </m:rPr>
          <w:rPr>
            <w:rFonts w:ascii="Cambria Math" w:hAnsi="Cambria Math"/>
            <w:sz w:val="22"/>
            <w:szCs w:val="22"/>
          </w:rPr>
          <m:t>0.2</m:t>
        </m:r>
        <m:r>
          <m:rPr>
            <m:sty m:val="b"/>
          </m:rPr>
          <w:rPr>
            <w:rFonts w:ascii="Cambria Math" w:hAnsi="Cambria Math"/>
            <w:sz w:val="22"/>
            <w:szCs w:val="22"/>
          </w:rPr>
          <m:t>,</m:t>
        </m:r>
        <m:r>
          <m:rPr>
            <m:sty m:val="bi"/>
          </m:rPr>
          <w:rPr>
            <w:rFonts w:ascii="Cambria Math" w:hAnsi="Cambria Math"/>
            <w:sz w:val="22"/>
            <w:szCs w:val="22"/>
          </w:rPr>
          <m:t>0.5</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r>
          <m:rPr>
            <m:sty m:val="bi"/>
          </m:rPr>
          <w:rPr>
            <w:rFonts w:ascii="Cambria Math" w:hAnsi="Cambria Math"/>
            <w:sz w:val="22"/>
            <w:szCs w:val="22"/>
          </w:rPr>
          <m:t>1.5</m:t>
        </m:r>
        <m:r>
          <m:rPr>
            <m:sty m:val="b"/>
          </m:rPr>
          <w:rPr>
            <w:rFonts w:ascii="Cambria Math" w:hAnsi="Cambria Math"/>
            <w:sz w:val="22"/>
            <w:szCs w:val="22"/>
          </w:rPr>
          <m:t>,</m:t>
        </m:r>
        <m:r>
          <m:rPr>
            <m:sty m:val="bi"/>
          </m:rPr>
          <w:rPr>
            <w:rFonts w:ascii="Cambria Math" w:hAnsi="Cambria Math"/>
            <w:sz w:val="22"/>
            <w:szCs w:val="22"/>
          </w:rPr>
          <m:t>2</m:t>
        </m:r>
        <m:r>
          <m:rPr>
            <m:sty m:val="b"/>
          </m:rPr>
          <w:rPr>
            <w:rFonts w:ascii="Cambria Math" w:hAnsi="Cambria Math"/>
            <w:sz w:val="22"/>
            <w:szCs w:val="22"/>
          </w:rPr>
          <m:t>}</m:t>
        </m:r>
      </m:oMath>
      <w:r w:rsidRPr="004D4137">
        <w:rPr>
          <w:b w:val="0"/>
          <w:bCs/>
          <w:sz w:val="22"/>
          <w:szCs w:val="22"/>
        </w:rPr>
        <w:t>).</w:t>
      </w:r>
    </w:p>
    <w:p w14:paraId="723CDFCF" w14:textId="77777777" w:rsidR="008124C4" w:rsidRDefault="008124C4" w:rsidP="008124C4">
      <w:pPr>
        <w:pStyle w:val="FigureWithoutNote"/>
        <w:spacing w:line="360" w:lineRule="auto"/>
      </w:pPr>
    </w:p>
    <w:bookmarkEnd w:id="13"/>
    <w:p w14:paraId="21D7EDAF" w14:textId="6BD2B29B" w:rsidR="00AC772F" w:rsidRDefault="00000000" w:rsidP="008124C4">
      <w:pPr>
        <w:pStyle w:val="AfterWithoutNote"/>
        <w:spacing w:line="360" w:lineRule="auto"/>
      </w:pPr>
      <w:r>
        <w:t xml:space="preserve">The results of this simulation imply that Type I error can, in principle, be reduced by adopting a more skeptical prior for the parameters within each individual model; however, this is unlikely to be the most appropriate way to address multiplicity. </w:t>
      </w:r>
      <w:proofErr w:type="gramStart"/>
      <w:r>
        <w:t>In particular, prior</w:t>
      </w:r>
      <w:proofErr w:type="gramEnd"/>
      <w:r>
        <w:t xml:space="preserve"> used to estimate a given parameter should be driven by substantive knowledge about that specific quantity, not by the mere fact that other hypotheses are being tested in parallel [</w:t>
      </w:r>
      <w:r>
        <w:rPr>
          <w:b/>
          <w:bCs/>
        </w:rPr>
        <w:t>REF</w:t>
      </w:r>
      <w:r>
        <w:t xml:space="preserve">]. For this </w:t>
      </w:r>
      <w:r>
        <w:lastRenderedPageBreak/>
        <w:t>reason, the approach proposed below focuses on adjusting between-model prior probabilities (i.e., prior odds across competing hypotheses), rather than modifying the within-model prior for any single parameter [</w:t>
      </w:r>
      <w:r>
        <w:rPr>
          <w:b/>
          <w:bCs/>
        </w:rPr>
        <w:t>REF</w:t>
      </w:r>
      <w:r>
        <w:t>].</w:t>
      </w:r>
    </w:p>
    <w:p w14:paraId="65718E8F" w14:textId="77777777" w:rsidR="004D4137" w:rsidRDefault="004D4137" w:rsidP="008124C4">
      <w:pPr>
        <w:pStyle w:val="Heading2"/>
        <w:spacing w:line="360" w:lineRule="auto"/>
      </w:pPr>
      <w:bookmarkStart w:id="14" w:name="X39b629a5f639e2d76edccfcb224f5a2ffaf8996"/>
      <w:bookmarkEnd w:id="9"/>
      <w:bookmarkEnd w:id="12"/>
    </w:p>
    <w:p w14:paraId="73C6194E" w14:textId="09AA559E" w:rsidR="00AC772F" w:rsidRDefault="00000000" w:rsidP="008124C4">
      <w:pPr>
        <w:pStyle w:val="Heading2"/>
      </w:pPr>
      <w:r>
        <w:t xml:space="preserve">Probability of direction, posterior odds, and </w:t>
      </w:r>
      <w:r w:rsidR="00852EE8">
        <w:t>prior odds</w:t>
      </w:r>
      <w:r>
        <w:t xml:space="preserve"> adjustment</w:t>
      </w:r>
    </w:p>
    <w:p w14:paraId="11C5B129" w14:textId="77777777" w:rsidR="00AC772F" w:rsidRDefault="00000000" w:rsidP="008124C4">
      <w:pPr>
        <w:pStyle w:val="Heading3"/>
      </w:pPr>
      <w:bookmarkStart w:id="15" w:name="Xc0a5fd3dba2f40d3352b823beb7729489312e7a"/>
      <w:r>
        <w:t>From posterior probabilities to posterior odds</w:t>
      </w:r>
    </w:p>
    <w:p w14:paraId="682A340E" w14:textId="77777777" w:rsidR="00AC772F" w:rsidRDefault="00000000" w:rsidP="008124C4">
      <w:pPr>
        <w:pStyle w:val="FirstParagraph"/>
        <w:spacing w:line="360" w:lineRule="auto"/>
      </w:pPr>
      <w:r>
        <w:t xml:space="preserve">To connect </w:t>
      </w:r>
      <m:oMath>
        <m:r>
          <w:rPr>
            <w:rFonts w:ascii="Cambria Math" w:hAnsi="Cambria Math"/>
          </w:rPr>
          <m:t>pd</m:t>
        </m:r>
      </m:oMath>
      <w:r>
        <w:t xml:space="preserve"> to an evidential interpretation, consider the directional hypotheses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θ</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θ</m:t>
        </m:r>
        <m:r>
          <m:rPr>
            <m:sty m:val="p"/>
          </m:rPr>
          <w:rPr>
            <w:rFonts w:ascii="Cambria Math" w:hAnsi="Cambria Math"/>
          </w:rPr>
          <m:t>&lt;</m:t>
        </m:r>
        <m:r>
          <w:rPr>
            <w:rFonts w:ascii="Cambria Math" w:hAnsi="Cambria Math"/>
          </w:rPr>
          <m:t>0</m:t>
        </m:r>
      </m:oMath>
      <w:r>
        <w:t xml:space="preserve">. These hypotheses partition the parameter space based on the sign of </w:t>
      </w:r>
      <m:oMath>
        <m:r>
          <w:rPr>
            <w:rFonts w:ascii="Cambria Math" w:hAnsi="Cambria Math"/>
          </w:rPr>
          <m:t>θ</m:t>
        </m:r>
      </m:oMath>
      <w:r>
        <w:t xml:space="preserve">. If the prior for </w:t>
      </w:r>
      <m:oMath>
        <m:r>
          <w:rPr>
            <w:rFonts w:ascii="Cambria Math" w:hAnsi="Cambria Math"/>
          </w:rPr>
          <m:t>θ</m:t>
        </m:r>
      </m:oMath>
      <w:r>
        <w:t xml:space="preserve"> is continuous and symmetric about 0, then the two directions are equally plausible a priori: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361BE5D6" w14:textId="77777777" w:rsidR="00AC772F" w:rsidRDefault="00000000" w:rsidP="008124C4">
      <w:pPr>
        <w:pStyle w:val="BodyText"/>
        <w:spacing w:line="360" w:lineRule="auto"/>
      </w:pPr>
      <w:r>
        <w:t xml:space="preserve">Without loss of generality, assume the posterior favors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so that </w:t>
      </w:r>
      <m:oMath>
        <m:r>
          <w:rPr>
            <w:rFonts w:ascii="Cambria Math" w:hAnsi="Cambria Math"/>
          </w:rPr>
          <m:t>pd</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y</m:t>
            </m:r>
          </m:e>
        </m:d>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y</m:t>
            </m:r>
          </m:e>
        </m:d>
      </m:oMath>
      <w:r>
        <w:t xml:space="preserve"> (if the posterior instead favors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we simply relabel the hypotheses), then the complement is given by </w:t>
      </w:r>
      <m:oMath>
        <m:r>
          <w:rPr>
            <w:rFonts w:ascii="Cambria Math" w:hAnsi="Cambria Math"/>
          </w:rPr>
          <m:t>1</m:t>
        </m:r>
        <m:r>
          <m:rPr>
            <m:sty m:val="p"/>
          </m:rPr>
          <w:rPr>
            <w:rFonts w:ascii="Cambria Math" w:hAnsi="Cambria Math"/>
          </w:rPr>
          <m:t>-</m:t>
        </m:r>
        <m:r>
          <w:rPr>
            <w:rFonts w:ascii="Cambria Math" w:hAnsi="Cambria Math"/>
          </w:rPr>
          <m:t>pd</m:t>
        </m:r>
        <m:r>
          <m:rPr>
            <m:sty m:val="p"/>
          </m:rPr>
          <w:rPr>
            <w:rFonts w:ascii="Cambria Math" w:hAnsi="Cambria Math"/>
          </w:rPr>
          <m:t>=Pr</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e>
        </m:d>
      </m:oMath>
      <w:r>
        <w:t>. The posterior odds comparing these two hypothesis are therefore:</w:t>
      </w:r>
    </w:p>
    <w:p w14:paraId="674D1A08" w14:textId="77777777" w:rsidR="00AC772F" w:rsidRDefault="00000000" w:rsidP="008124C4">
      <w:pPr>
        <w:pStyle w:val="BodyText"/>
        <w:spacing w:line="360" w:lineRule="auto"/>
      </w:pPr>
      <m:oMathPara>
        <m:oMathParaPr>
          <m:jc m:val="center"/>
        </m:oMathParaPr>
        <m:oMath>
          <m:f>
            <m:fPr>
              <m:ctrlPr>
                <w:rPr>
                  <w:rFonts w:ascii="Cambria Math" w:hAnsi="Cambria Math"/>
                </w:rPr>
              </m:ctrlPr>
            </m:fPr>
            <m:num>
              <m:r>
                <w:rPr>
                  <w:rFonts w:ascii="Cambria Math" w:hAnsi="Cambria Math"/>
                </w:rPr>
                <m:t>pd</m:t>
              </m:r>
            </m:num>
            <m:den>
              <m:r>
                <w:rPr>
                  <w:rFonts w:ascii="Cambria Math" w:hAnsi="Cambria Math"/>
                </w:rPr>
                <m:t>1</m:t>
              </m:r>
              <m:r>
                <m:rPr>
                  <m:sty m:val="p"/>
                </m:rPr>
                <w:rPr>
                  <w:rFonts w:ascii="Cambria Math" w:hAnsi="Cambria Math"/>
                </w:rPr>
                <m:t>-</m:t>
              </m:r>
              <m:r>
                <w:rPr>
                  <w:rFonts w:ascii="Cambria Math" w:hAnsi="Cambria Math"/>
                </w:rPr>
                <m:t>pd</m:t>
              </m:r>
            </m:den>
          </m:f>
          <m:r>
            <m:rPr>
              <m:sty m:val="p"/>
            </m:rPr>
            <w:rPr>
              <w:rFonts w:ascii="Cambria Math" w:hAnsi="Cambria Math"/>
            </w:rPr>
            <m:t>=</m:t>
          </m:r>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y</m:t>
                  </m:r>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y</m:t>
                  </m:r>
                </m:e>
              </m:d>
            </m:den>
          </m:f>
          <m:r>
            <m:rPr>
              <m:sty m:val="p"/>
            </m:rPr>
            <w:rPr>
              <w:rFonts w:ascii="Cambria Math" w:hAnsi="Cambria Math"/>
            </w:rPr>
            <m:t>.</m:t>
          </m:r>
        </m:oMath>
      </m:oMathPara>
    </w:p>
    <w:p w14:paraId="13EC9633" w14:textId="77777777" w:rsidR="00AC772F" w:rsidRDefault="00000000" w:rsidP="008124C4">
      <w:pPr>
        <w:pStyle w:val="FirstParagraph"/>
        <w:spacing w:line="360" w:lineRule="auto"/>
      </w:pPr>
      <w:r>
        <w:t>Applying Bayes’ rule, these posterior odds can be decomposed into a Bayes factor and prior odds:</w:t>
      </w:r>
    </w:p>
    <w:p w14:paraId="764AEE94" w14:textId="77777777" w:rsidR="00AC772F" w:rsidRDefault="00000000" w:rsidP="008124C4">
      <w:pPr>
        <w:pStyle w:val="BodyText"/>
        <w:spacing w:line="360" w:lineRule="auto"/>
      </w:pPr>
      <m:oMathPara>
        <m:oMathParaPr>
          <m:jc m:val="center"/>
        </m:oMathParaPr>
        <m:oMath>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y</m:t>
                  </m:r>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y</m:t>
                  </m:r>
                </m:e>
              </m:d>
            </m:den>
          </m:f>
          <m:r>
            <m:rPr>
              <m:sty m:val="p"/>
            </m:rPr>
            <w:rPr>
              <w:rFonts w:ascii="Cambria Math" w:hAnsi="Cambria Math"/>
            </w:rPr>
            <m:t>=</m:t>
          </m:r>
          <m:sSub>
            <m:sSubPr>
              <m:ctrlPr>
                <w:rPr>
                  <w:rFonts w:ascii="Cambria Math" w:hAnsi="Cambria Math"/>
                </w:rPr>
              </m:ctrlPr>
            </m:sSubPr>
            <m:e>
              <m:r>
                <m:rPr>
                  <m:nor/>
                </m:rPr>
                <m:t>BF</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den>
          </m:f>
          <m:r>
            <m:rPr>
              <m:sty m:val="p"/>
            </m:rPr>
            <w:rPr>
              <w:rFonts w:ascii="Cambria Math" w:hAnsi="Cambria Math"/>
            </w:rPr>
            <m:t>,</m:t>
          </m:r>
        </m:oMath>
      </m:oMathPara>
    </w:p>
    <w:p w14:paraId="33AF8B9E" w14:textId="77777777" w:rsidR="00AC772F" w:rsidRDefault="00000000" w:rsidP="008124C4">
      <w:pPr>
        <w:pStyle w:val="FirstParagraph"/>
        <w:spacing w:line="360" w:lineRule="auto"/>
        <w:ind w:firstLine="0"/>
      </w:pPr>
      <w:r>
        <w:t xml:space="preserve">where </w:t>
      </w:r>
      <m:oMath>
        <m:r>
          <m:rPr>
            <m:nor/>
          </m:rPr>
          <m:t>BF</m:t>
        </m:r>
        <m:r>
          <m:rPr>
            <m:sty m:val="p"/>
          </m:rPr>
          <w:rPr>
            <w:rFonts w:ascii="Cambria Math" w:hAnsi="Cambria Math"/>
          </w:rPr>
          <m:t>+/-</m:t>
        </m:r>
      </m:oMath>
      <w:r>
        <w:t xml:space="preserve"> quantifies the relative likelihood of the data under </w:t>
      </w:r>
      <m:oMath>
        <m:r>
          <w:rPr>
            <w:rFonts w:ascii="Cambria Math" w:hAnsi="Cambria Math"/>
          </w:rPr>
          <m:t>H</m:t>
        </m:r>
        <m:r>
          <m:rPr>
            <m:sty m:val="p"/>
          </m:rPr>
          <w:rPr>
            <w:rFonts w:ascii="Cambria Math" w:hAnsi="Cambria Math"/>
          </w:rPr>
          <m:t>+</m:t>
        </m:r>
      </m:oMath>
      <w:r>
        <w:t xml:space="preserve"> versus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Under prior symmetry, </w:t>
      </w:r>
      <m:oMath>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den>
        </m:f>
        <m:r>
          <m:rPr>
            <m:sty m:val="p"/>
          </m:rPr>
          <w:rPr>
            <w:rFonts w:ascii="Cambria Math" w:hAnsi="Cambria Math"/>
          </w:rPr>
          <m:t>=</m:t>
        </m:r>
        <m:r>
          <w:rPr>
            <w:rFonts w:ascii="Cambria Math" w:hAnsi="Cambria Math"/>
          </w:rPr>
          <m:t>1</m:t>
        </m:r>
      </m:oMath>
      <w:r>
        <w:t xml:space="preserve">, which yields </w:t>
      </w:r>
      <m:oMath>
        <m:f>
          <m:fPr>
            <m:ctrlPr>
              <w:rPr>
                <w:rFonts w:ascii="Cambria Math" w:hAnsi="Cambria Math"/>
              </w:rPr>
            </m:ctrlPr>
          </m:fPr>
          <m:num>
            <m:r>
              <w:rPr>
                <w:rFonts w:ascii="Cambria Math" w:hAnsi="Cambria Math"/>
              </w:rPr>
              <m:t>pd</m:t>
            </m:r>
          </m:num>
          <m:den>
            <m:r>
              <w:rPr>
                <w:rFonts w:ascii="Cambria Math" w:hAnsi="Cambria Math"/>
              </w:rPr>
              <m:t>1</m:t>
            </m:r>
            <m:r>
              <m:rPr>
                <m:sty m:val="p"/>
              </m:rPr>
              <w:rPr>
                <w:rFonts w:ascii="Cambria Math" w:hAnsi="Cambria Math"/>
              </w:rPr>
              <m:t>-</m:t>
            </m:r>
            <m:r>
              <w:rPr>
                <w:rFonts w:ascii="Cambria Math" w:hAnsi="Cambria Math"/>
              </w:rPr>
              <m:t>pd</m:t>
            </m:r>
          </m:den>
        </m:f>
        <m:r>
          <m:rPr>
            <m:sty m:val="p"/>
          </m:rPr>
          <w:rPr>
            <w:rFonts w:ascii="Cambria Math" w:hAnsi="Cambria Math"/>
          </w:rPr>
          <m:t>=</m:t>
        </m:r>
        <m:sSub>
          <m:sSubPr>
            <m:ctrlPr>
              <w:rPr>
                <w:rFonts w:ascii="Cambria Math" w:hAnsi="Cambria Math"/>
              </w:rPr>
            </m:ctrlPr>
          </m:sSubPr>
          <m:e>
            <m:r>
              <m:rPr>
                <m:nor/>
              </m:rPr>
              <m:t>BF</m:t>
            </m:r>
          </m:e>
          <m:sub>
            <m:r>
              <m:rPr>
                <m:sty m:val="p"/>
              </m:rPr>
              <w:rPr>
                <w:rFonts w:ascii="Cambria Math" w:hAnsi="Cambria Math"/>
              </w:rPr>
              <m:t>+/-</m:t>
            </m:r>
          </m:sub>
        </m:sSub>
      </m:oMath>
      <w:r>
        <w:t xml:space="preserve"> (</w:t>
      </w:r>
      <w:hyperlink w:anchor="ref-Casella1987">
        <w:r w:rsidR="00AC772F">
          <w:rPr>
            <w:rStyle w:val="Hyperlink"/>
          </w:rPr>
          <w:t>Casella &amp; Berger, 1987</w:t>
        </w:r>
      </w:hyperlink>
      <w:r>
        <w:t xml:space="preserve">; </w:t>
      </w:r>
      <w:hyperlink w:anchor="ref-Marsman2017">
        <w:r w:rsidR="00AC772F">
          <w:rPr>
            <w:rStyle w:val="Hyperlink"/>
          </w:rPr>
          <w:t>Marsman &amp; Wagenmakers, 2017</w:t>
        </w:r>
      </w:hyperlink>
      <w:r>
        <w:t xml:space="preserve">). Thus, the odds </w:t>
      </w:r>
      <m:oMath>
        <m:f>
          <m:fPr>
            <m:ctrlPr>
              <w:rPr>
                <w:rFonts w:ascii="Cambria Math" w:hAnsi="Cambria Math"/>
              </w:rPr>
            </m:ctrlPr>
          </m:fPr>
          <m:num>
            <m:r>
              <w:rPr>
                <w:rFonts w:ascii="Cambria Math" w:hAnsi="Cambria Math"/>
              </w:rPr>
              <m:t>pd</m:t>
            </m:r>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pd</m:t>
                </m:r>
              </m:e>
            </m:d>
          </m:den>
        </m:f>
      </m:oMath>
      <w:r>
        <w:t xml:space="preserve"> computed from posterior draws can be interpreted directly as evidence favoring </w:t>
      </w:r>
      <m:oMath>
        <m:r>
          <w:rPr>
            <w:rFonts w:ascii="Cambria Math" w:hAnsi="Cambria Math"/>
          </w:rPr>
          <m:t>θ</m:t>
        </m:r>
        <m:r>
          <m:rPr>
            <m:sty m:val="p"/>
          </m:rPr>
          <w:rPr>
            <w:rFonts w:ascii="Cambria Math" w:hAnsi="Cambria Math"/>
          </w:rPr>
          <m:t>&gt;</m:t>
        </m:r>
        <m:r>
          <w:rPr>
            <w:rFonts w:ascii="Cambria Math" w:hAnsi="Cambria Math"/>
          </w:rPr>
          <m:t>0</m:t>
        </m:r>
      </m:oMath>
      <w:r>
        <w:t xml:space="preserve"> over </w:t>
      </w:r>
      <m:oMath>
        <m:r>
          <w:rPr>
            <w:rFonts w:ascii="Cambria Math" w:hAnsi="Cambria Math"/>
          </w:rPr>
          <m:t>θ</m:t>
        </m:r>
        <m:r>
          <m:rPr>
            <m:sty m:val="p"/>
          </m:rPr>
          <w:rPr>
            <w:rFonts w:ascii="Cambria Math" w:hAnsi="Cambria Math"/>
          </w:rPr>
          <m:t>≤</m:t>
        </m:r>
        <m:r>
          <w:rPr>
            <w:rFonts w:ascii="Cambria Math" w:hAnsi="Cambria Math"/>
          </w:rPr>
          <m:t>0</m:t>
        </m:r>
      </m:oMath>
      <w:r>
        <w:t xml:space="preserve"> (or </w:t>
      </w:r>
      <m:oMath>
        <m:r>
          <w:rPr>
            <w:rFonts w:ascii="Cambria Math" w:hAnsi="Cambria Math"/>
          </w:rPr>
          <m:t>θ</m:t>
        </m:r>
        <m:r>
          <m:rPr>
            <m:sty m:val="p"/>
          </m:rPr>
          <w:rPr>
            <w:rFonts w:ascii="Cambria Math" w:hAnsi="Cambria Math"/>
          </w:rPr>
          <m:t>&lt;</m:t>
        </m:r>
        <m:r>
          <w:rPr>
            <w:rFonts w:ascii="Cambria Math" w:hAnsi="Cambria Math"/>
          </w:rPr>
          <m:t>0</m:t>
        </m:r>
      </m:oMath>
      <w:r>
        <w:t xml:space="preserve"> over </w:t>
      </w:r>
      <m:oMath>
        <m:r>
          <w:rPr>
            <w:rFonts w:ascii="Cambria Math" w:hAnsi="Cambria Math"/>
          </w:rPr>
          <m:t>θ</m:t>
        </m:r>
        <m:r>
          <m:rPr>
            <m:sty m:val="p"/>
          </m:rPr>
          <w:rPr>
            <w:rFonts w:ascii="Cambria Math" w:hAnsi="Cambria Math"/>
          </w:rPr>
          <m:t>≥</m:t>
        </m:r>
        <m:r>
          <w:rPr>
            <w:rFonts w:ascii="Cambria Math" w:hAnsi="Cambria Math"/>
          </w:rPr>
          <m:t>0</m:t>
        </m:r>
      </m:oMath>
      <w:r>
        <w:t>).</w:t>
      </w:r>
    </w:p>
    <w:p w14:paraId="6187921E" w14:textId="77777777" w:rsidR="004D4137" w:rsidRDefault="004D4137" w:rsidP="008124C4">
      <w:pPr>
        <w:pStyle w:val="Heading3"/>
        <w:spacing w:line="360" w:lineRule="auto"/>
      </w:pPr>
      <w:bookmarkStart w:id="16" w:name="Xd053b13745f6753e6a7504adf04468cb41bc367"/>
      <w:bookmarkEnd w:id="15"/>
    </w:p>
    <w:p w14:paraId="708BFCCB" w14:textId="217630CA" w:rsidR="00AC772F" w:rsidRDefault="00000000" w:rsidP="008124C4">
      <w:pPr>
        <w:pStyle w:val="Heading3"/>
      </w:pPr>
      <w:r>
        <w:t xml:space="preserve">Multiplicity adjustment via post-hoc </w:t>
      </w:r>
      <w:r w:rsidR="00852EE8">
        <w:t>prior odds</w:t>
      </w:r>
    </w:p>
    <w:p w14:paraId="456DF421" w14:textId="77777777" w:rsidR="00AC772F" w:rsidRDefault="00000000" w:rsidP="008124C4">
      <w:pPr>
        <w:pStyle w:val="FirstParagraph"/>
        <w:spacing w:line="360" w:lineRule="auto"/>
      </w:pPr>
      <w:r>
        <w:t xml:space="preserve">When assessing a single directional claim under a symmetric prior centered at the null, </w:t>
      </w:r>
      <m:oMath>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den>
        </m:f>
        <m:r>
          <m:rPr>
            <m:sty m:val="p"/>
          </m:rPr>
          <w:rPr>
            <w:rFonts w:ascii="Cambria Math" w:hAnsi="Cambria Math"/>
          </w:rPr>
          <m:t>=</m:t>
        </m:r>
        <m:r>
          <w:rPr>
            <w:rFonts w:ascii="Cambria Math" w:hAnsi="Cambria Math"/>
          </w:rPr>
          <m:t>1</m:t>
        </m:r>
      </m:oMath>
      <w:r>
        <w:t xml:space="preserve"> encoding prior indifference. However, when </w:t>
      </w:r>
      <w:r>
        <w:rPr>
          <w:i/>
          <w:iCs/>
        </w:rPr>
        <w:t>m</w:t>
      </w:r>
      <w:r>
        <w:t xml:space="preserve"> hypotheses are tested simultaneously, </w:t>
      </w:r>
      <w:r>
        <w:lastRenderedPageBreak/>
        <w:t xml:space="preserve">assigning prior probability </w:t>
      </w:r>
      <m:oMath>
        <m:f>
          <m:fPr>
            <m:ctrlPr>
              <w:rPr>
                <w:rFonts w:ascii="Cambria Math" w:hAnsi="Cambria Math"/>
              </w:rPr>
            </m:ctrlPr>
          </m:fPr>
          <m:num>
            <m:r>
              <w:rPr>
                <w:rFonts w:ascii="Cambria Math" w:hAnsi="Cambria Math"/>
              </w:rPr>
              <m:t>1</m:t>
            </m:r>
          </m:num>
          <m:den>
            <m:r>
              <w:rPr>
                <w:rFonts w:ascii="Cambria Math" w:hAnsi="Cambria Math"/>
              </w:rPr>
              <m:t>2</m:t>
            </m:r>
          </m:den>
        </m:f>
      </m:oMath>
      <w:r>
        <w:t xml:space="preserve"> to each directional claim implies a joint prior that rapidly concentrates probability on the event that at least one effect departs from 0. For instance, with </w:t>
      </w:r>
      <m:oMath>
        <m:r>
          <w:rPr>
            <w:rFonts w:ascii="Cambria Math" w:hAnsi="Cambria Math"/>
          </w:rPr>
          <m:t>m</m:t>
        </m:r>
        <m:r>
          <m:rPr>
            <m:sty m:val="p"/>
          </m:rPr>
          <w:rPr>
            <w:rFonts w:ascii="Cambria Math" w:hAnsi="Cambria Math"/>
          </w:rPr>
          <m:t>=</m:t>
        </m:r>
        <m:r>
          <w:rPr>
            <w:rFonts w:ascii="Cambria Math" w:hAnsi="Cambria Math"/>
          </w:rPr>
          <m:t>10</m:t>
        </m:r>
      </m:oMath>
      <w:r>
        <w:t xml:space="preserve"> the implied prior probability that all effects are not in the favored direction (i.e., in the opposite direction with zero included) is </w:t>
      </w:r>
      <m:oMath>
        <m:sSup>
          <m:sSupPr>
            <m:ctrlPr>
              <w:rPr>
                <w:rFonts w:ascii="Cambria Math" w:hAnsi="Cambria Math"/>
              </w:rPr>
            </m:ctrlPr>
          </m:sSupPr>
          <m:e>
            <m:r>
              <w:rPr>
                <w:rFonts w:ascii="Cambria Math" w:hAnsi="Cambria Math"/>
              </w:rPr>
              <m:t>0.5</m:t>
            </m:r>
          </m:e>
          <m:sup>
            <m:r>
              <w:rPr>
                <w:rFonts w:ascii="Cambria Math" w:hAnsi="Cambria Math"/>
              </w:rPr>
              <m:t>10</m:t>
            </m:r>
          </m:sup>
        </m:sSup>
        <m:r>
          <m:rPr>
            <m:sty m:val="p"/>
          </m:rPr>
          <w:rPr>
            <w:rFonts w:ascii="Cambria Math" w:hAnsi="Cambria Math"/>
          </w:rPr>
          <m:t>≈</m:t>
        </m:r>
        <m:r>
          <w:rPr>
            <w:rFonts w:ascii="Cambria Math" w:hAnsi="Cambria Math"/>
          </w:rPr>
          <m:t>0.001</m:t>
        </m:r>
      </m:oMath>
      <w:r>
        <w:t>.</w:t>
      </w:r>
    </w:p>
    <w:p w14:paraId="263B5D8C" w14:textId="77777777" w:rsidR="00AC772F" w:rsidRDefault="00000000" w:rsidP="008124C4">
      <w:pPr>
        <w:pStyle w:val="BodyText"/>
        <w:spacing w:line="360" w:lineRule="auto"/>
      </w:pPr>
      <w:r>
        <w:t xml:space="preserve">In this scenario, a principled way to address multiplicity is to decrease the prior odds assigned to any particular directional claim as a function of </w:t>
      </w:r>
      <w:r>
        <w:rPr>
          <w:i/>
          <w:iCs/>
        </w:rPr>
        <w:t>m</w:t>
      </w:r>
      <w:r>
        <w:t xml:space="preserve">, while leaving the the Bayes factor component unchanged. Because the analysis is symmetric in the sign of </w:t>
      </w:r>
      <m:oMath>
        <m:r>
          <w:rPr>
            <w:rFonts w:ascii="Cambria Math" w:hAnsi="Cambria Math"/>
          </w:rPr>
          <m:t>θ</m:t>
        </m:r>
      </m:oMath>
      <w:r>
        <w:t xml:space="preserve"> and </w:t>
      </w:r>
      <w:r>
        <w:rPr>
          <w:i/>
          <w:iCs/>
        </w:rPr>
        <w:t>pd</w:t>
      </w:r>
      <w:r>
        <w:t xml:space="preserve"> is defined as the posterior probability of the dominant direction, the same adjustment can be applied regardless of whether the posterior favors </w:t>
      </w:r>
      <m:oMath>
        <m:r>
          <w:rPr>
            <w:rFonts w:ascii="Cambria Math" w:hAnsi="Cambria Math"/>
          </w:rPr>
          <m:t>θ</m:t>
        </m:r>
        <m:r>
          <m:rPr>
            <m:sty m:val="p"/>
          </m:rPr>
          <w:rPr>
            <w:rFonts w:ascii="Cambria Math" w:hAnsi="Cambria Math"/>
          </w:rPr>
          <m:t>&gt;</m:t>
        </m:r>
        <m:r>
          <w:rPr>
            <w:rFonts w:ascii="Cambria Math" w:hAnsi="Cambria Math"/>
          </w:rPr>
          <m:t>0</m:t>
        </m:r>
      </m:oMath>
      <w:r>
        <w:t xml:space="preserve"> or </w:t>
      </w:r>
      <m:oMath>
        <m:r>
          <w:rPr>
            <w:rFonts w:ascii="Cambria Math" w:hAnsi="Cambria Math"/>
          </w:rPr>
          <m:t>θ</m:t>
        </m:r>
        <m:r>
          <m:rPr>
            <m:sty m:val="p"/>
          </m:rPr>
          <w:rPr>
            <w:rFonts w:ascii="Cambria Math" w:hAnsi="Cambria Math"/>
          </w:rPr>
          <m:t>&lt;</m:t>
        </m:r>
        <m:r>
          <w:rPr>
            <w:rFonts w:ascii="Cambria Math" w:hAnsi="Cambria Math"/>
          </w:rPr>
          <m:t>0</m:t>
        </m:r>
      </m:oMath>
      <w:r>
        <w:t>.</w:t>
      </w:r>
    </w:p>
    <w:p w14:paraId="4E80893E" w14:textId="77777777" w:rsidR="00AC772F" w:rsidRDefault="00000000" w:rsidP="008124C4">
      <w:pPr>
        <w:pStyle w:val="BodyText"/>
        <w:spacing w:line="360" w:lineRule="auto"/>
      </w:pPr>
      <w:r>
        <w:t xml:space="preserve">Concretely, let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oMath>
      <w:r>
        <w:t xml:space="preserve"> and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oMath>
      <w:r>
        <w:t xml:space="preserve"> denote the multiplicity-adjusted prior probabilities assigned to the favored direction and its complement, respectively (with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r>
          <m:rPr>
            <m:sty m:val="p"/>
          </m:rPr>
          <w:rPr>
            <w:rFonts w:ascii="Cambria Math" w:hAnsi="Cambria Math"/>
          </w:rPr>
          <m:t>=</m:t>
        </m:r>
        <m:r>
          <w:rPr>
            <w:rFonts w:ascii="Cambria Math" w:hAnsi="Cambria Math"/>
          </w:rPr>
          <m:t>1</m:t>
        </m:r>
      </m:oMath>
      <w:r>
        <w:t>). The adjusted posterior odds are then:</w:t>
      </w:r>
    </w:p>
    <w:p w14:paraId="341DF102" w14:textId="77777777" w:rsidR="00AC772F" w:rsidRDefault="00000000" w:rsidP="008124C4">
      <w:pPr>
        <w:pStyle w:val="BodyText"/>
        <w:spacing w:line="360" w:lineRule="auto"/>
      </w:pPr>
      <m:oMathPara>
        <m:oMathParaPr>
          <m:jc m:val="center"/>
        </m:oMathParaPr>
        <m:oMath>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d</m:t>
                  </m:r>
                </m:e>
                <m:sub>
                  <m:r>
                    <m:rPr>
                      <m:nor/>
                    </m:rPr>
                    <m:t>adj</m:t>
                  </m:r>
                </m:sub>
              </m:sSub>
            </m:num>
            <m:den>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m:rPr>
                      <m:nor/>
                    </m:rPr>
                    <m:t>adj</m:t>
                  </m:r>
                </m:sub>
              </m:sSub>
            </m:den>
          </m:f>
          <m:r>
            <m:rPr>
              <m:sty m:val="p"/>
            </m:rPr>
            <w:rPr>
              <w:rFonts w:ascii="Cambria Math" w:hAnsi="Cambria Math"/>
            </w:rPr>
            <m:t>=</m:t>
          </m:r>
          <m:f>
            <m:fPr>
              <m:ctrlPr>
                <w:rPr>
                  <w:rFonts w:ascii="Cambria Math" w:hAnsi="Cambria Math"/>
                </w:rPr>
              </m:ctrlPr>
            </m:fPr>
            <m:num>
              <m:r>
                <w:rPr>
                  <w:rFonts w:ascii="Cambria Math" w:hAnsi="Cambria Math"/>
                </w:rPr>
                <m:t>pd</m:t>
              </m:r>
            </m:num>
            <m:den>
              <m:r>
                <w:rPr>
                  <w:rFonts w:ascii="Cambria Math" w:hAnsi="Cambria Math"/>
                </w:rPr>
                <m:t>1</m:t>
              </m:r>
              <m:r>
                <m:rPr>
                  <m:sty m:val="p"/>
                </m:rPr>
                <w:rPr>
                  <w:rFonts w:ascii="Cambria Math" w:hAnsi="Cambria Math"/>
                </w:rPr>
                <m:t>-</m:t>
              </m:r>
              <m:r>
                <w:rPr>
                  <w:rFonts w:ascii="Cambria Math" w:hAnsi="Cambria Math"/>
                </w:rPr>
                <m:t>pd</m:t>
              </m:r>
            </m:den>
          </m:f>
          <m:r>
            <m:rPr>
              <m:sty m:val="p"/>
            </m:rPr>
            <w:rPr>
              <w:rFonts w:ascii="Cambria Math" w:hAnsi="Cambria Math"/>
            </w:rPr>
            <m:t>×</m:t>
          </m:r>
          <m:f>
            <m:fPr>
              <m:ctrlPr>
                <w:rPr>
                  <w:rFonts w:ascii="Cambria Math" w:hAnsi="Cambria Math"/>
                </w:rPr>
              </m:ctrlPr>
            </m:fPr>
            <m:num>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num>
            <m:den>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den>
          </m:f>
          <m:r>
            <m:rPr>
              <m:sty m:val="p"/>
            </m:rPr>
            <w:rPr>
              <w:rFonts w:ascii="Cambria Math" w:hAnsi="Cambria Math"/>
            </w:rPr>
            <m:t>,</m:t>
          </m:r>
        </m:oMath>
      </m:oMathPara>
    </w:p>
    <w:p w14:paraId="7BB39943" w14:textId="77777777" w:rsidR="00AC772F" w:rsidRDefault="00000000" w:rsidP="008124C4">
      <w:pPr>
        <w:pStyle w:val="FirstParagraph"/>
        <w:spacing w:line="360" w:lineRule="auto"/>
      </w:pPr>
      <w:r>
        <w:t>so that, equivalently,</w:t>
      </w:r>
    </w:p>
    <w:p w14:paraId="340BA0BE" w14:textId="77777777" w:rsidR="00AC772F" w:rsidRDefault="00000000" w:rsidP="008124C4">
      <w:pPr>
        <w:pStyle w:val="BodyText"/>
        <w:spacing w:line="360" w:lineRule="auto"/>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d</m:t>
              </m:r>
            </m:e>
            <m:sub>
              <m:r>
                <m:rPr>
                  <m:nor/>
                </m:rPr>
                <m:t>adj</m:t>
              </m:r>
            </m:sub>
          </m:sSub>
          <m:r>
            <m:rPr>
              <m:sty m:val="p"/>
            </m:rPr>
            <w:rPr>
              <w:rFonts w:ascii="Cambria Math" w:hAnsi="Cambria Math"/>
            </w:rPr>
            <m:t>=</m:t>
          </m:r>
          <m:f>
            <m:fPr>
              <m:ctrlPr>
                <w:rPr>
                  <w:rFonts w:ascii="Cambria Math" w:hAnsi="Cambria Math"/>
                </w:rPr>
              </m:ctrlPr>
            </m:fPr>
            <m:num>
              <m:r>
                <w:rPr>
                  <w:rFonts w:ascii="Cambria Math" w:hAnsi="Cambria Math"/>
                </w:rPr>
                <m:t>pd</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num>
            <m:den>
              <m:r>
                <w:rPr>
                  <w:rFonts w:ascii="Cambria Math" w:hAnsi="Cambria Math"/>
                </w:rPr>
                <m:t>pd</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pd</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den>
          </m:f>
          <m:r>
            <m:rPr>
              <m:sty m:val="p"/>
            </m:rPr>
            <w:rPr>
              <w:rFonts w:ascii="Cambria Math" w:hAnsi="Cambria Math"/>
            </w:rPr>
            <m:t>.</m:t>
          </m:r>
        </m:oMath>
      </m:oMathPara>
    </w:p>
    <w:p w14:paraId="3D22672D" w14:textId="33A17CE7" w:rsidR="00AC772F" w:rsidRDefault="00000000" w:rsidP="008124C4">
      <w:pPr>
        <w:pStyle w:val="FirstParagraph"/>
        <w:spacing w:line="360" w:lineRule="auto"/>
        <w:ind w:firstLine="0"/>
      </w:pPr>
      <w:r>
        <w:t xml:space="preserve">Thus, the multiplicity adjustment acts through the </w:t>
      </w:r>
      <w:r w:rsidR="00852EE8">
        <w:t>prior odds</w:t>
      </w:r>
      <w:r>
        <w:t xml:space="preserve"> factor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oMath>
      <w:r>
        <w:t>.</w:t>
      </w:r>
    </w:p>
    <w:p w14:paraId="1C4E97FF" w14:textId="77777777" w:rsidR="004D4137" w:rsidRDefault="004D4137" w:rsidP="008124C4">
      <w:pPr>
        <w:pStyle w:val="Heading3"/>
        <w:spacing w:line="360" w:lineRule="auto"/>
      </w:pPr>
      <w:bookmarkStart w:id="17" w:name="choosing-the-prior-odds"/>
      <w:bookmarkEnd w:id="16"/>
    </w:p>
    <w:p w14:paraId="6BDCEE21" w14:textId="62EA9F0F" w:rsidR="00AC772F" w:rsidRDefault="00000000" w:rsidP="008124C4">
      <w:pPr>
        <w:pStyle w:val="Heading3"/>
      </w:pPr>
      <w:r>
        <w:t>Choosing the prior</w:t>
      </w:r>
      <w:r w:rsidR="00852EE8">
        <w:t xml:space="preserve"> </w:t>
      </w:r>
      <w:r>
        <w:t>odds</w:t>
      </w:r>
    </w:p>
    <w:p w14:paraId="5B6CCAF5" w14:textId="77777777" w:rsidR="008124C4" w:rsidRDefault="00000000" w:rsidP="008124C4">
      <w:pPr>
        <w:pStyle w:val="FirstParagraph"/>
        <w:spacing w:line="360" w:lineRule="auto"/>
      </w:pPr>
      <w:r>
        <w:t>One common formalization (</w:t>
      </w:r>
      <w:hyperlink w:anchor="ref-Jeffreys1938">
        <w:r w:rsidR="00AC772F">
          <w:rPr>
            <w:rStyle w:val="Hyperlink"/>
          </w:rPr>
          <w:t>Jeffreys, 1938</w:t>
        </w:r>
      </w:hyperlink>
      <w:r>
        <w:t xml:space="preserve">; </w:t>
      </w:r>
      <w:hyperlink w:anchor="ref-Westfall1997">
        <w:r w:rsidR="00AC772F">
          <w:rPr>
            <w:rStyle w:val="Hyperlink"/>
          </w:rPr>
          <w:t>Westfall et al., 199</w:t>
        </w:r>
        <w:r w:rsidR="00AC772F">
          <w:rPr>
            <w:rStyle w:val="Hyperlink"/>
          </w:rPr>
          <w:t>7</w:t>
        </w:r>
      </w:hyperlink>
      <w:r>
        <w:t xml:space="preserve">) introduces a global null event </w:t>
      </w:r>
      <m:oMath>
        <m:r>
          <w:rPr>
            <w:rFonts w:ascii="Cambria Math" w:hAnsi="Cambria Math"/>
          </w:rPr>
          <m:t>Q</m:t>
        </m:r>
      </m:oMath>
      <w:r>
        <w:t xml:space="preserve"> (all null hypotheses are true) and its complement </w:t>
      </w:r>
      <m:oMath>
        <m:r>
          <m:rPr>
            <m:sty m:val="p"/>
          </m:rPr>
          <w:rPr>
            <w:rFonts w:ascii="Cambria Math" w:hAnsi="Cambria Math"/>
          </w:rPr>
          <m:t>¬</m:t>
        </m:r>
        <m:r>
          <w:rPr>
            <w:rFonts w:ascii="Cambria Math" w:hAnsi="Cambria Math"/>
          </w:rPr>
          <m:t>Q</m:t>
        </m:r>
      </m:oMath>
      <w:r>
        <w:t xml:space="preserve"> (at least one null is false), and assigns equal prior probability: </w:t>
      </w:r>
      <m:oMath>
        <m:r>
          <m:rPr>
            <m:nor/>
          </m:rPr>
          <m:t>Pr</m:t>
        </m:r>
        <m:d>
          <m:dPr>
            <m:ctrlPr>
              <w:rPr>
                <w:rFonts w:ascii="Cambria Math" w:hAnsi="Cambria Math"/>
              </w:rPr>
            </m:ctrlPr>
          </m:dPr>
          <m:e>
            <m:r>
              <w:rPr>
                <w:rFonts w:ascii="Cambria Math" w:hAnsi="Cambria Math"/>
              </w:rPr>
              <m:t>Q</m:t>
            </m:r>
          </m:e>
        </m:d>
        <m:r>
          <m:rPr>
            <m:sty m:val="p"/>
          </m:rPr>
          <w:rPr>
            <w:rFonts w:ascii="Cambria Math" w:hAnsi="Cambria Math"/>
          </w:rPr>
          <m:t>=</m:t>
        </m:r>
        <m:r>
          <m:rPr>
            <m:nor/>
          </m:rPr>
          <m:t>Pr</m:t>
        </m:r>
        <m:d>
          <m:dPr>
            <m:ctrlPr>
              <w:rPr>
                <w:rFonts w:ascii="Cambria Math" w:hAnsi="Cambria Math"/>
              </w:rPr>
            </m:ctrlPr>
          </m:dPr>
          <m:e>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Under independence and a common per-hypothesis probability </w:t>
      </w:r>
      <m:oMath>
        <m:r>
          <w:rPr>
            <w:rFonts w:ascii="Cambria Math" w:hAnsi="Cambria Math"/>
          </w:rPr>
          <m:t>k</m:t>
        </m:r>
      </m:oMath>
      <w:r>
        <w:t xml:space="preserve"> that a null is false, this implies:</w:t>
      </w:r>
    </w:p>
    <w:p w14:paraId="2820AE60" w14:textId="6E901C24" w:rsidR="008124C4" w:rsidRDefault="00000000" w:rsidP="008124C4">
      <w:pPr>
        <w:pStyle w:val="FirstParagraph"/>
        <w:spacing w:line="360" w:lineRule="auto"/>
        <w:ind w:firstLine="0"/>
        <w:jc w:val="center"/>
        <w:rPr>
          <w:rFonts w:eastAsiaTheme="minorEastAsia"/>
        </w:rPr>
      </w:pPr>
      <m:oMathPara>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e>
            <m:sup>
              <m:r>
                <w:rPr>
                  <w:rFonts w:ascii="Cambria Math" w:hAnsi="Cambria Math"/>
                </w:rPr>
                <m:t>m</m:t>
              </m:r>
            </m:sup>
          </m:sSup>
          <m:r>
            <m:rPr>
              <m:sty m:val="p"/>
            </m:rPr>
            <w:rPr>
              <w:rFonts w:ascii="Cambria Math" w:hAnsi="Cambria Math"/>
            </w:rPr>
            <m:t>=</m:t>
          </m:r>
          <m:r>
            <w:rPr>
              <w:rFonts w:ascii="Cambria Math" w:hAnsi="Cambria Math"/>
            </w:rPr>
            <m:t>0.5 </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1</m:t>
              </m:r>
              <m:r>
                <m:rPr>
                  <m:sty m:val="p"/>
                </m:rPr>
                <w:rPr>
                  <w:rFonts w:ascii="Cambria Math" w:hAnsi="Cambria Math"/>
                </w:rPr>
                <m:t>/</m:t>
              </m:r>
              <m:r>
                <w:rPr>
                  <w:rFonts w:ascii="Cambria Math" w:hAnsi="Cambria Math"/>
                </w:rPr>
                <m:t>m</m:t>
              </m:r>
            </m:sup>
          </m:sSup>
          <m:r>
            <m:rPr>
              <m:sty m:val="p"/>
            </m:rPr>
            <w:rPr>
              <w:rFonts w:ascii="Cambria Math" w:hAnsi="Cambria Math"/>
            </w:rPr>
            <m:t>.</m:t>
          </m:r>
        </m:oMath>
      </m:oMathPara>
    </w:p>
    <w:p w14:paraId="773C425B" w14:textId="58FD71BB" w:rsidR="00AC772F" w:rsidRDefault="00000000" w:rsidP="008124C4">
      <w:pPr>
        <w:pStyle w:val="FirstParagraph"/>
        <w:spacing w:line="360" w:lineRule="auto"/>
        <w:ind w:firstLine="0"/>
      </w:pPr>
      <w:r>
        <w:t xml:space="preserve">As </w:t>
      </w:r>
      <m:oMath>
        <m:r>
          <w:rPr>
            <w:rFonts w:ascii="Cambria Math" w:hAnsi="Cambria Math"/>
          </w:rPr>
          <m:t>m</m:t>
        </m:r>
      </m:oMath>
      <w:r>
        <w:t xml:space="preserve"> increases, the per-hypothesis prior probability </w:t>
      </w:r>
      <m:oMath>
        <m:r>
          <w:rPr>
            <w:rFonts w:ascii="Cambria Math" w:hAnsi="Cambria Math"/>
          </w:rPr>
          <m:t>k</m:t>
        </m:r>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1</m:t>
                    </m:r>
                  </m:e>
                  <m:sub>
                    <m:r>
                      <w:rPr>
                        <w:rFonts w:ascii="Cambria Math" w:hAnsi="Cambria Math"/>
                      </w:rPr>
                      <m:t>m</m:t>
                    </m:r>
                  </m:sub>
                </m:sSub>
              </m:sub>
            </m:sSub>
          </m:e>
        </m:d>
      </m:oMath>
      <w:r>
        <w:t xml:space="preserve"> decreases (</w:t>
      </w:r>
      <w:hyperlink w:anchor="fig-prior-adj">
        <w:r w:rsidR="00AC772F">
          <w:rPr>
            <w:rStyle w:val="Hyperlink"/>
          </w:rPr>
          <w:t>Figure 5</w:t>
        </w:r>
      </w:hyperlink>
      <w:r>
        <w:t xml:space="preserve">), encoding increasing prior skepticism about any particular deviation from the null; correspondingly,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oMath>
      <w:r>
        <w:t xml:space="preserve"> increases.</w:t>
      </w:r>
    </w:p>
    <w:p w14:paraId="378A9BAE" w14:textId="709273A6" w:rsidR="004D4137" w:rsidRPr="004D4137" w:rsidRDefault="004D4137" w:rsidP="008124C4">
      <w:pPr>
        <w:pStyle w:val="BodyText"/>
        <w:spacing w:line="360" w:lineRule="auto"/>
        <w:ind w:firstLine="0"/>
        <w:jc w:val="center"/>
      </w:pPr>
      <w:r>
        <w:rPr>
          <w:noProof/>
        </w:rPr>
        <w:lastRenderedPageBreak/>
        <w:drawing>
          <wp:inline distT="0" distB="0" distL="0" distR="0" wp14:anchorId="3D6B8D46" wp14:editId="313DA6D5">
            <wp:extent cx="3717471" cy="2124439"/>
            <wp:effectExtent l="0" t="0" r="3810" b="0"/>
            <wp:docPr id="1408703943" name="Picture 16"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03943" name="Picture 16" descr="A graph of a number of objec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38101" cy="2193376"/>
                    </a:xfrm>
                    <a:prstGeom prst="rect">
                      <a:avLst/>
                    </a:prstGeom>
                  </pic:spPr>
                </pic:pic>
              </a:graphicData>
            </a:graphic>
          </wp:inline>
        </w:drawing>
      </w:r>
    </w:p>
    <w:p w14:paraId="41C63C17" w14:textId="71FB8357" w:rsidR="00AC772F" w:rsidRPr="004D4137" w:rsidRDefault="00000000" w:rsidP="008124C4">
      <w:pPr>
        <w:pStyle w:val="FigureTitle"/>
        <w:spacing w:line="360" w:lineRule="auto"/>
        <w:rPr>
          <w:sz w:val="22"/>
          <w:szCs w:val="22"/>
        </w:rPr>
      </w:pPr>
      <w:bookmarkStart w:id="18" w:name="fig-prior-adj"/>
      <w:r w:rsidRPr="004D4137">
        <w:rPr>
          <w:sz w:val="22"/>
          <w:szCs w:val="22"/>
        </w:rPr>
        <w:t>Figure 5</w:t>
      </w:r>
      <w:r w:rsidR="004D4137">
        <w:rPr>
          <w:sz w:val="22"/>
          <w:szCs w:val="22"/>
        </w:rPr>
        <w:t xml:space="preserve">. </w:t>
      </w:r>
      <w:r w:rsidRPr="004D4137">
        <w:rPr>
          <w:b w:val="0"/>
          <w:bCs/>
          <w:sz w:val="22"/>
          <w:szCs w:val="22"/>
        </w:rPr>
        <w:t xml:space="preserve">Per-hypothesis prior probability </w:t>
      </w:r>
      <m:oMath>
        <m:r>
          <m:rPr>
            <m:sty m:val="bi"/>
          </m:rPr>
          <w:rPr>
            <w:rFonts w:ascii="Cambria Math" w:hAnsi="Cambria Math"/>
            <w:sz w:val="22"/>
            <w:szCs w:val="22"/>
          </w:rPr>
          <m:t>k</m:t>
        </m:r>
      </m:oMath>
      <w:r w:rsidRPr="004D4137">
        <w:rPr>
          <w:b w:val="0"/>
          <w:bCs/>
          <w:sz w:val="22"/>
          <w:szCs w:val="22"/>
        </w:rPr>
        <w:t xml:space="preserve"> s a function of the total number of hypotheses </w:t>
      </w:r>
      <m:oMath>
        <m:r>
          <m:rPr>
            <m:sty m:val="bi"/>
          </m:rPr>
          <w:rPr>
            <w:rFonts w:ascii="Cambria Math" w:hAnsi="Cambria Math"/>
            <w:sz w:val="22"/>
            <w:szCs w:val="22"/>
          </w:rPr>
          <m:t>m</m:t>
        </m:r>
      </m:oMath>
      <w:r w:rsidRPr="004D4137">
        <w:rPr>
          <w:b w:val="0"/>
          <w:bCs/>
          <w:sz w:val="22"/>
          <w:szCs w:val="22"/>
        </w:rPr>
        <w:t xml:space="preserve">, with the overall prior probability of at least one effect fixed at </w:t>
      </w:r>
      <m:oMath>
        <m:r>
          <m:rPr>
            <m:sty m:val="bi"/>
          </m:rPr>
          <w:rPr>
            <w:rFonts w:ascii="Cambria Math" w:hAnsi="Cambria Math"/>
            <w:sz w:val="22"/>
            <w:szCs w:val="22"/>
          </w:rPr>
          <m:t>q</m:t>
        </m:r>
        <m:r>
          <m:rPr>
            <m:sty m:val="b"/>
          </m:rPr>
          <w:rPr>
            <w:rFonts w:ascii="Cambria Math" w:hAnsi="Cambria Math"/>
            <w:sz w:val="22"/>
            <w:szCs w:val="22"/>
          </w:rPr>
          <m:t>=</m:t>
        </m:r>
        <m:r>
          <m:rPr>
            <m:sty m:val="bi"/>
          </m:rPr>
          <w:rPr>
            <w:rFonts w:ascii="Cambria Math" w:hAnsi="Cambria Math"/>
            <w:sz w:val="22"/>
            <w:szCs w:val="22"/>
          </w:rPr>
          <m:t>0.5</m:t>
        </m:r>
      </m:oMath>
      <w:r w:rsidRPr="004D4137">
        <w:rPr>
          <w:b w:val="0"/>
          <w:bCs/>
          <w:sz w:val="22"/>
          <w:szCs w:val="22"/>
        </w:rPr>
        <w:t xml:space="preserve">. The per-hypothesis prior is given by </w:t>
      </w:r>
      <m:oMath>
        <m:r>
          <m:rPr>
            <m:sty m:val="bi"/>
          </m:rPr>
          <w:rPr>
            <w:rFonts w:ascii="Cambria Math" w:hAnsi="Cambria Math"/>
            <w:sz w:val="22"/>
            <w:szCs w:val="22"/>
          </w:rPr>
          <m:t>k</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sSup>
          <m:sSupPr>
            <m:ctrlPr>
              <w:rPr>
                <w:rFonts w:ascii="Cambria Math" w:hAnsi="Cambria Math"/>
                <w:b w:val="0"/>
                <w:bCs/>
                <w:sz w:val="22"/>
                <w:szCs w:val="22"/>
              </w:rPr>
            </m:ctrlPr>
          </m:sSupPr>
          <m:e>
            <m:r>
              <m:rPr>
                <m:sty m:val="bi"/>
              </m:rPr>
              <w:rPr>
                <w:rFonts w:ascii="Cambria Math" w:hAnsi="Cambria Math"/>
                <w:sz w:val="22"/>
                <w:szCs w:val="22"/>
              </w:rPr>
              <m:t>0.5</m:t>
            </m:r>
          </m:e>
          <m:sup>
            <m:r>
              <m:rPr>
                <m:sty m:val="bi"/>
              </m:rPr>
              <w:rPr>
                <w:rFonts w:ascii="Cambria Math" w:hAnsi="Cambria Math"/>
                <w:sz w:val="22"/>
                <w:szCs w:val="22"/>
              </w:rPr>
              <m:t>1</m:t>
            </m:r>
            <m:r>
              <m:rPr>
                <m:sty m:val="b"/>
              </m:rPr>
              <w:rPr>
                <w:rFonts w:ascii="Cambria Math" w:hAnsi="Cambria Math"/>
                <w:sz w:val="22"/>
                <w:szCs w:val="22"/>
              </w:rPr>
              <m:t>/</m:t>
            </m:r>
            <m:r>
              <m:rPr>
                <m:sty m:val="bi"/>
              </m:rPr>
              <w:rPr>
                <w:rFonts w:ascii="Cambria Math" w:hAnsi="Cambria Math"/>
                <w:sz w:val="22"/>
                <w:szCs w:val="22"/>
              </w:rPr>
              <m:t>m</m:t>
            </m:r>
          </m:sup>
        </m:sSup>
      </m:oMath>
      <w:r w:rsidRPr="004D4137">
        <w:rPr>
          <w:b w:val="0"/>
          <w:bCs/>
          <w:sz w:val="22"/>
          <w:szCs w:val="22"/>
        </w:rPr>
        <w:t>.</w:t>
      </w:r>
    </w:p>
    <w:p w14:paraId="6CFC07EF" w14:textId="22433D1C" w:rsidR="00AC772F" w:rsidRDefault="00AC772F" w:rsidP="008124C4">
      <w:pPr>
        <w:pStyle w:val="FigureWithoutNote"/>
        <w:spacing w:line="360" w:lineRule="auto"/>
      </w:pPr>
    </w:p>
    <w:bookmarkEnd w:id="18"/>
    <w:p w14:paraId="133EB3F0" w14:textId="1DB5B42F" w:rsidR="00AC772F" w:rsidRDefault="00000000" w:rsidP="008124C4">
      <w:pPr>
        <w:pStyle w:val="AfterWithoutNote"/>
        <w:spacing w:line="360" w:lineRule="auto"/>
      </w:pPr>
      <w:r>
        <w:t xml:space="preserve">In this simulation, we compare this method with the Šidák </w:t>
      </w:r>
      <w:r>
        <w:rPr>
          <w:i/>
          <w:iCs/>
        </w:rPr>
        <w:t>p</w:t>
      </w:r>
      <w:r>
        <w:t>-value adjustment (</w:t>
      </w:r>
      <m:oMath>
        <m:sSub>
          <m:sSubPr>
            <m:ctrlPr>
              <w:rPr>
                <w:rFonts w:ascii="Cambria Math" w:hAnsi="Cambria Math"/>
              </w:rPr>
            </m:ctrlPr>
          </m:sSubPr>
          <m:e>
            <m:r>
              <w:rPr>
                <w:rFonts w:ascii="Cambria Math" w:hAnsi="Cambria Math"/>
              </w:rPr>
              <m:t>p</m:t>
            </m:r>
          </m:e>
          <m:sub>
            <m:r>
              <w:rPr>
                <w:rFonts w:ascii="Cambria Math" w:hAnsi="Cambria Math"/>
              </w:rPr>
              <m:t>adj</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m</m:t>
            </m:r>
          </m:sup>
        </m:sSup>
      </m:oMath>
      <w:r>
        <w:t>), which gives exact frequentist family-wise error rate control under independence.</w:t>
      </w:r>
    </w:p>
    <w:p w14:paraId="4DC5E14D" w14:textId="7C94609C" w:rsidR="00F23904" w:rsidRDefault="00F23904" w:rsidP="008124C4">
      <w:pPr>
        <w:pStyle w:val="FigureTitle"/>
        <w:spacing w:line="360" w:lineRule="auto"/>
        <w:rPr>
          <w:sz w:val="22"/>
          <w:szCs w:val="22"/>
        </w:rPr>
      </w:pPr>
      <w:bookmarkStart w:id="19" w:name="fig-fwer2-pd"/>
      <w:r>
        <w:rPr>
          <w:noProof/>
          <w:sz w:val="22"/>
          <w:szCs w:val="22"/>
        </w:rPr>
        <w:lastRenderedPageBreak/>
        <w:drawing>
          <wp:inline distT="0" distB="0" distL="0" distR="0" wp14:anchorId="634B4A2A" wp14:editId="028BF4CD">
            <wp:extent cx="5943600" cy="4754880"/>
            <wp:effectExtent l="0" t="0" r="0" b="0"/>
            <wp:docPr id="2131113300" name="Picture 18"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13300" name="Picture 18" descr="A graph of a number of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7100857" w14:textId="7AC0B3FD" w:rsidR="00AC772F" w:rsidRPr="004D4137" w:rsidRDefault="00000000" w:rsidP="008124C4">
      <w:pPr>
        <w:pStyle w:val="FigureTitle"/>
        <w:spacing w:line="360" w:lineRule="auto"/>
        <w:rPr>
          <w:sz w:val="22"/>
          <w:szCs w:val="22"/>
        </w:rPr>
      </w:pPr>
      <w:r w:rsidRPr="004D4137">
        <w:rPr>
          <w:sz w:val="22"/>
          <w:szCs w:val="22"/>
        </w:rPr>
        <w:t>Figure 6</w:t>
      </w:r>
      <w:r w:rsidR="004D4137">
        <w:rPr>
          <w:sz w:val="22"/>
          <w:szCs w:val="22"/>
        </w:rPr>
        <w:t xml:space="preserve">. </w:t>
      </w:r>
      <w:r w:rsidRPr="004D4137">
        <w:rPr>
          <w:b w:val="0"/>
          <w:bCs/>
          <w:sz w:val="22"/>
          <w:szCs w:val="22"/>
        </w:rPr>
        <w:t>Familywise error rates under the global null for adjusted p-values and probability of direction. The figure shows the estimated familywise error rate (FWER), defined as the probability of at least one false positive across m tests, as a function of the number of tests (m), based on 10,000 replications under the global null (</w:t>
      </w:r>
      <m:oMath>
        <m:r>
          <m:rPr>
            <m:sty m:val="bi"/>
          </m:rPr>
          <w:rPr>
            <w:rFonts w:ascii="Cambria Math" w:hAnsi="Cambria Math"/>
            <w:sz w:val="22"/>
            <w:szCs w:val="22"/>
          </w:rPr>
          <m:t>θ</m:t>
        </m:r>
        <m:r>
          <m:rPr>
            <m:sty m:val="b"/>
          </m:rPr>
          <w:rPr>
            <w:rFonts w:ascii="Cambria Math" w:hAnsi="Cambria Math"/>
            <w:sz w:val="22"/>
            <w:szCs w:val="22"/>
          </w:rPr>
          <m:t>=</m:t>
        </m:r>
        <m:r>
          <m:rPr>
            <m:sty m:val="bi"/>
          </m:rPr>
          <w:rPr>
            <w:rFonts w:ascii="Cambria Math" w:hAnsi="Cambria Math"/>
            <w:sz w:val="22"/>
            <w:szCs w:val="22"/>
          </w:rPr>
          <m:t>0</m:t>
        </m:r>
      </m:oMath>
      <w:r w:rsidRPr="004D4137">
        <w:rPr>
          <w:b w:val="0"/>
          <w:bCs/>
          <w:sz w:val="22"/>
          <w:szCs w:val="22"/>
        </w:rPr>
        <w:t xml:space="preserve"> for all tests). The red curve corresponds to declaring at least one discovery when at least one two-sided one-sample z-test p-value &lt; 0.05, whereas the blue curve corresponds to declaring at least one discovery when at least one pd &gt; 0.975 under the conjugate normal Bayesian model. Rows vary the per-test sample size (</w:t>
      </w:r>
      <m:oMath>
        <m:r>
          <m:rPr>
            <m:sty m:val="bi"/>
          </m:rPr>
          <w:rPr>
            <w:rFonts w:ascii="Cambria Math" w:hAnsi="Cambria Math"/>
            <w:sz w:val="22"/>
            <w:szCs w:val="22"/>
          </w:rPr>
          <m:t>n</m:t>
        </m:r>
        <m:r>
          <m:rPr>
            <m:sty m:val="b"/>
          </m:rPr>
          <w:rPr>
            <w:rFonts w:ascii="Cambria Math" w:hAnsi="Cambria Math"/>
            <w:sz w:val="22"/>
            <w:szCs w:val="22"/>
          </w:rPr>
          <m:t>=</m:t>
        </m:r>
        <m:r>
          <m:rPr>
            <m:sty m:val="bi"/>
          </m:rPr>
          <w:rPr>
            <w:rFonts w:ascii="Cambria Math" w:hAnsi="Cambria Math"/>
            <w:sz w:val="22"/>
            <w:szCs w:val="22"/>
          </w:rPr>
          <m:t>30</m:t>
        </m:r>
        <m:r>
          <m:rPr>
            <m:sty m:val="b"/>
          </m:rPr>
          <w:rPr>
            <w:rFonts w:ascii="Cambria Math" w:hAnsi="Cambria Math"/>
            <w:sz w:val="22"/>
            <w:szCs w:val="22"/>
          </w:rPr>
          <m:t>,</m:t>
        </m:r>
        <m:r>
          <m:rPr>
            <m:sty m:val="bi"/>
          </m:rPr>
          <w:rPr>
            <w:rFonts w:ascii="Cambria Math" w:hAnsi="Cambria Math"/>
            <w:sz w:val="22"/>
            <w:szCs w:val="22"/>
          </w:rPr>
          <m:t>50</m:t>
        </m:r>
        <m:r>
          <m:rPr>
            <m:sty m:val="b"/>
          </m:rPr>
          <w:rPr>
            <w:rFonts w:ascii="Cambria Math" w:hAnsi="Cambria Math"/>
            <w:sz w:val="22"/>
            <w:szCs w:val="22"/>
          </w:rPr>
          <m:t>,</m:t>
        </m:r>
        <m:r>
          <m:rPr>
            <m:sty m:val="bi"/>
          </m:rPr>
          <w:rPr>
            <w:rFonts w:ascii="Cambria Math" w:hAnsi="Cambria Math"/>
            <w:sz w:val="22"/>
            <w:szCs w:val="22"/>
          </w:rPr>
          <m:t>100</m:t>
        </m:r>
      </m:oMath>
      <w:r w:rsidRPr="004D4137">
        <w:rPr>
          <w:b w:val="0"/>
          <w:bCs/>
          <w:sz w:val="22"/>
          <w:szCs w:val="22"/>
        </w:rPr>
        <w:t>), and columns vary the prior scale (</w:t>
      </w:r>
      <m:oMath>
        <m:r>
          <m:rPr>
            <m:sty m:val="bi"/>
          </m:rPr>
          <w:rPr>
            <w:rFonts w:ascii="Cambria Math" w:hAnsi="Cambria Math"/>
            <w:sz w:val="22"/>
            <w:szCs w:val="22"/>
          </w:rPr>
          <m:t>θ</m:t>
        </m:r>
        <m:r>
          <m:rPr>
            <m:scr m:val="script"/>
            <m:sty m:val="b"/>
          </m:rPr>
          <w:rPr>
            <w:rFonts w:ascii="Cambria Math" w:hAnsi="Cambria Math"/>
            <w:sz w:val="22"/>
            <w:szCs w:val="22"/>
          </w:rPr>
          <m:t>∼N</m:t>
        </m:r>
        <m:d>
          <m:dPr>
            <m:ctrlPr>
              <w:rPr>
                <w:rFonts w:ascii="Cambria Math" w:hAnsi="Cambria Math"/>
                <w:b w:val="0"/>
                <w:bCs/>
                <w:sz w:val="22"/>
                <w:szCs w:val="22"/>
              </w:rPr>
            </m:ctrlPr>
          </m:dPr>
          <m:e>
            <m:r>
              <m:rPr>
                <m:sty m:val="bi"/>
              </m:rPr>
              <w:rPr>
                <w:rFonts w:ascii="Cambria Math" w:hAnsi="Cambria Math"/>
                <w:sz w:val="22"/>
                <w:szCs w:val="22"/>
              </w:rPr>
              <m:t>0</m:t>
            </m:r>
            <m:r>
              <m:rPr>
                <m:sty m:val="b"/>
              </m:rPr>
              <w:rPr>
                <w:rFonts w:ascii="Cambria Math" w:hAnsi="Cambria Math"/>
                <w:sz w:val="22"/>
                <w:szCs w:val="22"/>
              </w:rPr>
              <m:t>,</m:t>
            </m:r>
            <m:sSup>
              <m:sSupPr>
                <m:ctrlPr>
                  <w:rPr>
                    <w:rFonts w:ascii="Cambria Math" w:hAnsi="Cambria Math"/>
                    <w:b w:val="0"/>
                    <w:bCs/>
                    <w:sz w:val="22"/>
                    <w:szCs w:val="22"/>
                  </w:rPr>
                </m:ctrlPr>
              </m:sSupPr>
              <m:e>
                <m:r>
                  <m:rPr>
                    <m:sty m:val="bi"/>
                  </m:rPr>
                  <w:rPr>
                    <w:rFonts w:ascii="Cambria Math" w:hAnsi="Cambria Math"/>
                    <w:sz w:val="22"/>
                    <w:szCs w:val="22"/>
                  </w:rPr>
                  <m:t>τ</m:t>
                </m:r>
              </m:e>
              <m:sup>
                <m:r>
                  <m:rPr>
                    <m:sty m:val="bi"/>
                  </m:rPr>
                  <w:rPr>
                    <w:rFonts w:ascii="Cambria Math" w:hAnsi="Cambria Math"/>
                    <w:sz w:val="22"/>
                    <w:szCs w:val="22"/>
                  </w:rPr>
                  <m:t>2</m:t>
                </m:r>
              </m:sup>
            </m:sSup>
          </m:e>
        </m:d>
      </m:oMath>
      <w:r w:rsidRPr="004D4137">
        <w:rPr>
          <w:b w:val="0"/>
          <w:bCs/>
          <w:sz w:val="22"/>
          <w:szCs w:val="22"/>
        </w:rPr>
        <w:t xml:space="preserve"> with </w:t>
      </w:r>
      <m:oMath>
        <m:r>
          <m:rPr>
            <m:sty m:val="bi"/>
          </m:rPr>
          <w:rPr>
            <w:rFonts w:ascii="Cambria Math" w:hAnsi="Cambria Math"/>
            <w:sz w:val="22"/>
            <w:szCs w:val="22"/>
          </w:rPr>
          <m:t>τ</m:t>
        </m:r>
        <m:r>
          <m:rPr>
            <m:sty m:val="b"/>
          </m:rPr>
          <w:rPr>
            <w:rFonts w:ascii="Cambria Math" w:hAnsi="Cambria Math"/>
            <w:sz w:val="22"/>
            <w:szCs w:val="22"/>
          </w:rPr>
          <m:t>∈{</m:t>
        </m:r>
        <m:r>
          <m:rPr>
            <m:sty m:val="bi"/>
          </m:rPr>
          <w:rPr>
            <w:rFonts w:ascii="Cambria Math" w:hAnsi="Cambria Math"/>
            <w:sz w:val="22"/>
            <w:szCs w:val="22"/>
          </w:rPr>
          <m:t>0.2</m:t>
        </m:r>
        <m:r>
          <m:rPr>
            <m:sty m:val="b"/>
          </m:rPr>
          <w:rPr>
            <w:rFonts w:ascii="Cambria Math" w:hAnsi="Cambria Math"/>
            <w:sz w:val="22"/>
            <w:szCs w:val="22"/>
          </w:rPr>
          <m:t>,</m:t>
        </m:r>
        <m:r>
          <m:rPr>
            <m:sty m:val="bi"/>
          </m:rPr>
          <w:rPr>
            <w:rFonts w:ascii="Cambria Math" w:hAnsi="Cambria Math"/>
            <w:sz w:val="22"/>
            <w:szCs w:val="22"/>
          </w:rPr>
          <m:t>0.5</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r>
          <m:rPr>
            <m:sty m:val="bi"/>
          </m:rPr>
          <w:rPr>
            <w:rFonts w:ascii="Cambria Math" w:hAnsi="Cambria Math"/>
            <w:sz w:val="22"/>
            <w:szCs w:val="22"/>
          </w:rPr>
          <m:t>1.5</m:t>
        </m:r>
        <m:r>
          <m:rPr>
            <m:sty m:val="b"/>
          </m:rPr>
          <w:rPr>
            <w:rFonts w:ascii="Cambria Math" w:hAnsi="Cambria Math"/>
            <w:sz w:val="22"/>
            <w:szCs w:val="22"/>
          </w:rPr>
          <m:t>,</m:t>
        </m:r>
        <m:r>
          <m:rPr>
            <m:sty m:val="bi"/>
          </m:rPr>
          <w:rPr>
            <w:rFonts w:ascii="Cambria Math" w:hAnsi="Cambria Math"/>
            <w:sz w:val="22"/>
            <w:szCs w:val="22"/>
          </w:rPr>
          <m:t>2</m:t>
        </m:r>
        <m:r>
          <m:rPr>
            <m:sty m:val="b"/>
          </m:rPr>
          <w:rPr>
            <w:rFonts w:ascii="Cambria Math" w:hAnsi="Cambria Math"/>
            <w:sz w:val="22"/>
            <w:szCs w:val="22"/>
          </w:rPr>
          <m:t>}</m:t>
        </m:r>
      </m:oMath>
      <w:r w:rsidRPr="004D4137">
        <w:rPr>
          <w:b w:val="0"/>
          <w:bCs/>
          <w:sz w:val="22"/>
          <w:szCs w:val="22"/>
        </w:rPr>
        <w:t>).</w:t>
      </w:r>
    </w:p>
    <w:p w14:paraId="2D1CACCD" w14:textId="088C1F49" w:rsidR="00AC772F" w:rsidRDefault="00AC772F" w:rsidP="008124C4">
      <w:pPr>
        <w:pStyle w:val="FigureWithoutNote"/>
        <w:spacing w:line="360" w:lineRule="auto"/>
      </w:pPr>
    </w:p>
    <w:bookmarkEnd w:id="19"/>
    <w:p w14:paraId="401DFAFB" w14:textId="15C7AA15" w:rsidR="00AC772F" w:rsidRDefault="00000000" w:rsidP="008124C4">
      <w:pPr>
        <w:pStyle w:val="AfterWithoutNote"/>
        <w:spacing w:line="360" w:lineRule="auto"/>
      </w:pPr>
      <w:r>
        <w:t xml:space="preserve">While grounded in Bayesian </w:t>
      </w:r>
      <w:r w:rsidR="00852EE8">
        <w:t>prior odds</w:t>
      </w:r>
      <w:r>
        <w:t xml:space="preserve"> logic, the procedure exhibits behavior </w:t>
      </w:r>
      <w:proofErr w:type="gramStart"/>
      <w:r>
        <w:t>similar to</w:t>
      </w:r>
      <w:proofErr w:type="gramEnd"/>
      <w:r>
        <w:t xml:space="preserve"> frequentist multiplicity correction, though it tends to be more conservative even when </w:t>
      </w:r>
      <m:oMath>
        <m:r>
          <w:rPr>
            <w:rFonts w:ascii="Cambria Math" w:hAnsi="Cambria Math"/>
          </w:rPr>
          <m:t>n</m:t>
        </m:r>
      </m:oMath>
      <w:r>
        <w:t xml:space="preserve"> and </w:t>
      </w:r>
      <m:oMath>
        <m:r>
          <w:rPr>
            <w:rFonts w:ascii="Cambria Math" w:hAnsi="Cambria Math"/>
          </w:rPr>
          <m:t>τ</m:t>
        </m:r>
      </m:oMath>
      <w:r>
        <w:t xml:space="preserve"> are large.</w:t>
      </w:r>
    </w:p>
    <w:p w14:paraId="78B821E4" w14:textId="7A37CCA3" w:rsidR="00AC772F" w:rsidRDefault="00000000" w:rsidP="008124C4">
      <w:pPr>
        <w:pStyle w:val="BodyText"/>
        <w:spacing w:line="360" w:lineRule="auto"/>
      </w:pPr>
      <w:r>
        <w:lastRenderedPageBreak/>
        <w:t xml:space="preserve">This procedure naturally allows to incorporate prior information based on background knowledge. Rather than fixing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r>
          <w:rPr>
            <w:rFonts w:ascii="Cambria Math" w:hAnsi="Cambria Math"/>
          </w:rPr>
          <m:t>0.5</m:t>
        </m:r>
      </m:oMath>
      <w:r>
        <w:t xml:space="preserve">, researchers can specify their prior belief </w:t>
      </w:r>
      <m:oMath>
        <m:r>
          <w:rPr>
            <w:rFonts w:ascii="Cambria Math" w:hAnsi="Cambria Math"/>
          </w:rPr>
          <m:t>q</m:t>
        </m:r>
      </m:oMath>
      <w:r>
        <w:t xml:space="preserve"> about the global null hypothesis, that is, the probability that all </w:t>
      </w:r>
      <m:oMath>
        <m:r>
          <w:rPr>
            <w:rFonts w:ascii="Cambria Math" w:hAnsi="Cambria Math"/>
          </w:rPr>
          <m:t>m</m:t>
        </m:r>
      </m:oMath>
      <w:r>
        <w:t xml:space="preserve"> hypotheses are null. This global prior </w:t>
      </w:r>
      <m:oMath>
        <m:r>
          <w:rPr>
            <w:rFonts w:ascii="Cambria Math" w:hAnsi="Cambria Math"/>
          </w:rPr>
          <m:t>q</m:t>
        </m:r>
      </m:oMath>
      <w:r>
        <w:t xml:space="preserve"> can be translated into a per-hypothesis prior probability </w:t>
      </w:r>
      <m:oMath>
        <m:r>
          <w:rPr>
            <w:rFonts w:ascii="Cambria Math" w:hAnsi="Cambria Math"/>
          </w:rPr>
          <m:t>k</m:t>
        </m:r>
      </m:oMath>
      <w:r>
        <w:t>.</w:t>
      </w:r>
      <w:r w:rsidR="00F23904">
        <w:t xml:space="preserve"> </w:t>
      </w:r>
      <w:r>
        <w:t xml:space="preserve">Assuming independence across hypotheses, if each hypothesis is non-null with probability </w:t>
      </w:r>
      <m:oMath>
        <m:r>
          <w:rPr>
            <w:rFonts w:ascii="Cambria Math" w:hAnsi="Cambria Math"/>
          </w:rPr>
          <m:t>k</m:t>
        </m:r>
      </m:oMath>
      <w:r>
        <w:t xml:space="preserve">, then the probability that all hypotheses are null is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e>
          <m:sup>
            <m:r>
              <w:rPr>
                <w:rFonts w:ascii="Cambria Math" w:hAnsi="Cambria Math"/>
              </w:rPr>
              <m:t>m</m:t>
            </m:r>
          </m:sup>
        </m:sSup>
      </m:oMath>
      <w:r>
        <w:t xml:space="preserve">. Prior knowledge guides the choice of </w:t>
      </w:r>
      <m:oMath>
        <m:r>
          <w:rPr>
            <w:rFonts w:ascii="Cambria Math" w:hAnsi="Cambria Math"/>
          </w:rPr>
          <m:t>q</m:t>
        </m:r>
      </m:oMath>
      <w:r>
        <w:t xml:space="preserve">: when few or no real effects are expected, </w:t>
      </w:r>
      <m:oMath>
        <m:r>
          <w:rPr>
            <w:rFonts w:ascii="Cambria Math" w:hAnsi="Cambria Math"/>
          </w:rPr>
          <m:t>q</m:t>
        </m:r>
      </m:oMath>
      <w:r>
        <w:t xml:space="preserve"> should be large (e.g., 0.5); when targeting well-established effects, </w:t>
      </w:r>
      <m:oMath>
        <m:r>
          <w:rPr>
            <w:rFonts w:ascii="Cambria Math" w:hAnsi="Cambria Math"/>
          </w:rPr>
          <m:t>q</m:t>
        </m:r>
      </m:oMath>
      <w:r>
        <w:t xml:space="preserve"> can be smaller (e.g., 0.1). This leads to the general calibration:</w:t>
      </w:r>
    </w:p>
    <w:p w14:paraId="4C434857" w14:textId="05B1949A" w:rsidR="00852EE8" w:rsidRPr="00852EE8" w:rsidRDefault="00000000" w:rsidP="00852EE8">
      <w:pPr>
        <w:pStyle w:val="BodyText"/>
        <w:rPr>
          <w:rFonts w:eastAsiaTheme="minorEastAsia"/>
        </w:rPr>
      </w:pPr>
      <m:oMathPara>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e>
            <m:sup>
              <m:r>
                <w:rPr>
                  <w:rFonts w:ascii="Cambria Math" w:hAnsi="Cambria Math"/>
                </w:rPr>
                <m:t>m</m:t>
              </m:r>
            </m:sup>
          </m:sSup>
          <m:r>
            <m:rPr>
              <m:sty m:val="p"/>
            </m:rPr>
            <w:rPr>
              <w:rFonts w:ascii="Cambria Math" w:hAnsi="Cambria Math"/>
            </w:rPr>
            <m:t>=</m:t>
          </m:r>
          <m:r>
            <w:rPr>
              <w:rFonts w:ascii="Cambria Math" w:hAnsi="Cambria Math"/>
            </w:rPr>
            <m:t>q </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m</m:t>
              </m:r>
            </m:sup>
          </m:sSup>
          <m:r>
            <m:rPr>
              <m:sty m:val="p"/>
            </m:rPr>
            <w:rPr>
              <w:rFonts w:ascii="Cambria Math" w:hAnsi="Cambria Math"/>
            </w:rPr>
            <m:t>.</m:t>
          </m:r>
        </m:oMath>
      </m:oMathPara>
    </w:p>
    <w:p w14:paraId="548720CF" w14:textId="77777777" w:rsidR="00AC772F" w:rsidRDefault="00000000" w:rsidP="008124C4">
      <w:pPr>
        <w:pStyle w:val="FirstParagraph"/>
        <w:spacing w:line="360" w:lineRule="auto"/>
      </w:pPr>
      <w:r>
        <w:t xml:space="preserve">However, with small </w:t>
      </w:r>
      <m:oMath>
        <m:r>
          <w:rPr>
            <w:rFonts w:ascii="Cambria Math" w:hAnsi="Cambria Math"/>
          </w:rPr>
          <m:t>m</m:t>
        </m:r>
      </m:oMath>
      <w:r>
        <w:t xml:space="preserve"> and low </w:t>
      </w:r>
      <m:oMath>
        <m:r>
          <w:rPr>
            <w:rFonts w:ascii="Cambria Math" w:hAnsi="Cambria Math"/>
          </w:rPr>
          <m:t>q</m:t>
        </m:r>
      </m:oMath>
      <w:r>
        <w:t xml:space="preserve"> values, this formula can paradoxically inflate rather than reduce posterior probabilities. This occurs when the per-hypothesis prior probability of the null hypothesis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m</m:t>
            </m:r>
          </m:sup>
        </m:sSup>
      </m:oMath>
      <w:r>
        <w:t xml:space="preserve">) falls below 0.5, effectively favoring the alternative hypothesis. Because we conceive this adjustment as a safeguard against inflated false positives, it is crucial to ensure it never acts in the opposite direction. To this end, the procedure should include a safeguard: if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0</m:t>
                    </m:r>
                  </m:e>
                  <m:sub>
                    <m:r>
                      <w:rPr>
                        <w:rFonts w:ascii="Cambria Math" w:hAnsi="Cambria Math"/>
                      </w:rPr>
                      <m:t>m</m:t>
                    </m:r>
                  </m:sub>
                </m:sSub>
              </m:sub>
            </m:sSub>
          </m:e>
        </m:d>
        <m:r>
          <m:rPr>
            <m:sty m:val="p"/>
          </m:rPr>
          <w:rPr>
            <w:rFonts w:ascii="Cambria Math" w:hAnsi="Cambria Math"/>
          </w:rPr>
          <m:t>&lt;</m:t>
        </m:r>
        <m:r>
          <w:rPr>
            <w:rFonts w:ascii="Cambria Math" w:hAnsi="Cambria Math"/>
          </w:rPr>
          <m:t>0.5</m:t>
        </m:r>
      </m:oMath>
      <w:r>
        <w:t>, the original posterior probabilities should remain unmodified.</w:t>
      </w:r>
    </w:p>
    <w:p w14:paraId="5F028734" w14:textId="77777777" w:rsidR="00AC772F" w:rsidRDefault="00000000" w:rsidP="008124C4">
      <w:pPr>
        <w:pStyle w:val="BodyText"/>
        <w:spacing w:line="360" w:lineRule="auto"/>
      </w:pPr>
      <w:r>
        <w:t xml:space="preserve">Once </w:t>
      </w:r>
      <m:oMath>
        <m:r>
          <w:rPr>
            <w:rFonts w:ascii="Cambria Math" w:hAnsi="Cambria Math"/>
          </w:rPr>
          <m:t>q</m:t>
        </m:r>
      </m:oMath>
      <w:r>
        <w:t xml:space="preserve"> is fixed, the prior odds assigned to each individual hypothesis become a deterministic function of the family size </w:t>
      </w:r>
      <m:oMath>
        <m:r>
          <w:rPr>
            <w:rFonts w:ascii="Cambria Math" w:hAnsi="Cambria Math"/>
          </w:rPr>
          <m:t>m</m:t>
        </m:r>
      </m:oMath>
      <w:r>
        <w:t xml:space="preserve">: larger families imply smaller </w:t>
      </w:r>
      <m:oMath>
        <m:r>
          <w:rPr>
            <w:rFonts w:ascii="Cambria Math" w:hAnsi="Cambria Math"/>
          </w:rPr>
          <m:t>k</m:t>
        </m:r>
      </m:oMath>
      <w:r>
        <w:t xml:space="preserve">, and consequently a higher prior probability on the null for each test. To illustrate this dependence, we consider two data-generating regimes: a global-null scenario in which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0</m:t>
        </m:r>
      </m:oMath>
      <w:r>
        <w:t>, and an alternative scenario in which all but one effect are null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nor/>
          </m:rPr>
          <m:t xml:space="preserve">, </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0.2</m:t>
        </m:r>
      </m:oMath>
      <w:r>
        <w:t xml:space="preserve">). We then repeat the previous simulation procedure with </w:t>
      </w:r>
      <m:oMath>
        <m:r>
          <w:rPr>
            <w:rFonts w:ascii="Cambria Math" w:hAnsi="Cambria Math"/>
          </w:rPr>
          <m:t>τ</m:t>
        </m:r>
        <m:r>
          <m:rPr>
            <m:sty m:val="p"/>
          </m:rPr>
          <w:rPr>
            <w:rFonts w:ascii="Cambria Math" w:hAnsi="Cambria Math"/>
          </w:rPr>
          <m:t>=</m:t>
        </m:r>
        <m:r>
          <w:rPr>
            <w:rFonts w:ascii="Cambria Math" w:hAnsi="Cambria Math"/>
          </w:rPr>
          <m:t>2</m:t>
        </m:r>
      </m:oMath>
      <w:r>
        <w:t xml:space="preserve"> and </w:t>
      </w:r>
      <m:oMath>
        <m:r>
          <w:rPr>
            <w:rFonts w:ascii="Cambria Math" w:hAnsi="Cambria Math"/>
          </w:rPr>
          <m:t>n</m:t>
        </m:r>
        <m:r>
          <m:rPr>
            <m:sty m:val="p"/>
          </m:rPr>
          <w:rPr>
            <w:rFonts w:ascii="Cambria Math" w:hAnsi="Cambria Math"/>
          </w:rPr>
          <m:t>=</m:t>
        </m:r>
        <m:r>
          <w:rPr>
            <w:rFonts w:ascii="Cambria Math" w:hAnsi="Cambria Math"/>
          </w:rPr>
          <m:t>50</m:t>
        </m:r>
      </m:oMath>
      <w:r>
        <w:t xml:space="preserve">, i.e. a setting in which </w:t>
      </w:r>
      <w:r>
        <w:rPr>
          <w:i/>
          <w:iCs/>
        </w:rPr>
        <w:t>pd</w:t>
      </w:r>
      <w:r>
        <w:t xml:space="preserve"> and </w:t>
      </w:r>
      <w:r>
        <w:rPr>
          <w:i/>
          <w:iCs/>
        </w:rPr>
        <w:t>p</w:t>
      </w:r>
      <w:r>
        <w:t xml:space="preserve">-value behavior is broadly comparable, while varying only the number of tests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and the prior parameter </w:t>
      </w:r>
      <m:oMath>
        <m:r>
          <w:rPr>
            <w:rFonts w:ascii="Cambria Math" w:hAnsi="Cambria Math"/>
          </w:rPr>
          <m:t>q</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0.10</m:t>
        </m:r>
        <m:r>
          <m:rPr>
            <m:sty m:val="p"/>
          </m:rPr>
          <w:rPr>
            <w:rFonts w:ascii="Cambria Math" w:hAnsi="Cambria Math"/>
          </w:rPr>
          <m:t>}</m:t>
        </m:r>
      </m:oMath>
      <w:r>
        <w:t>.</w:t>
      </w:r>
    </w:p>
    <w:p w14:paraId="7F09C634" w14:textId="77777777" w:rsidR="00AC772F" w:rsidRDefault="00000000" w:rsidP="008124C4">
      <w:pPr>
        <w:spacing w:line="360" w:lineRule="auto"/>
      </w:pPr>
      <w:r>
        <w:br w:type="page"/>
      </w:r>
    </w:p>
    <w:p w14:paraId="3935ACE6" w14:textId="756C2412" w:rsidR="00AC772F" w:rsidRPr="00F23904" w:rsidRDefault="00F23904" w:rsidP="008124C4">
      <w:pPr>
        <w:pStyle w:val="FigureTitle"/>
        <w:spacing w:line="360" w:lineRule="auto"/>
        <w:rPr>
          <w:sz w:val="22"/>
          <w:szCs w:val="22"/>
        </w:rPr>
      </w:pPr>
      <w:bookmarkStart w:id="20" w:name="fig-fwer-pw"/>
      <w:r>
        <w:rPr>
          <w:noProof/>
          <w:sz w:val="22"/>
          <w:szCs w:val="22"/>
        </w:rPr>
        <w:lastRenderedPageBreak/>
        <w:drawing>
          <wp:inline distT="0" distB="0" distL="0" distR="0" wp14:anchorId="50B0CF95" wp14:editId="7C090EDB">
            <wp:extent cx="5796366" cy="6955639"/>
            <wp:effectExtent l="0" t="0" r="0" b="4445"/>
            <wp:docPr id="1376437639" name="Picture 2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37639" name="Picture 23" descr="A graph of different sizes and colo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7207" cy="6980648"/>
                    </a:xfrm>
                    <a:prstGeom prst="rect">
                      <a:avLst/>
                    </a:prstGeom>
                  </pic:spPr>
                </pic:pic>
              </a:graphicData>
            </a:graphic>
          </wp:inline>
        </w:drawing>
      </w:r>
      <w:r w:rsidRPr="00F23904">
        <w:rPr>
          <w:sz w:val="22"/>
          <w:szCs w:val="22"/>
        </w:rPr>
        <w:t>Figure 7</w:t>
      </w:r>
      <w:r>
        <w:rPr>
          <w:sz w:val="22"/>
          <w:szCs w:val="22"/>
        </w:rPr>
        <w:t xml:space="preserve">. </w:t>
      </w:r>
      <w:r w:rsidRPr="00F23904">
        <w:rPr>
          <w:b w:val="0"/>
          <w:bCs/>
          <w:sz w:val="22"/>
          <w:szCs w:val="22"/>
        </w:rPr>
        <w:t xml:space="preserve">Familywise error rate (Panel A), power (Panel B), and difference between method (Panel C) for adjusted </w:t>
      </w:r>
      <w:r w:rsidRPr="00F23904">
        <w:rPr>
          <w:b w:val="0"/>
          <w:bCs/>
          <w:i/>
          <w:iCs/>
          <w:sz w:val="22"/>
          <w:szCs w:val="22"/>
        </w:rPr>
        <w:t>p</w:t>
      </w:r>
      <w:r w:rsidRPr="00F23904">
        <w:rPr>
          <w:b w:val="0"/>
          <w:bCs/>
          <w:sz w:val="22"/>
          <w:szCs w:val="22"/>
        </w:rPr>
        <w:t>-values and probability of direction as a function of the number of tests (</w:t>
      </w:r>
      <m:oMath>
        <m:r>
          <m:rPr>
            <m:sty m:val="bi"/>
          </m:rPr>
          <w:rPr>
            <w:rFonts w:ascii="Cambria Math" w:hAnsi="Cambria Math"/>
            <w:sz w:val="22"/>
            <w:szCs w:val="22"/>
          </w:rPr>
          <m:t>m</m:t>
        </m:r>
      </m:oMath>
      <w:r w:rsidRPr="00F23904">
        <w:rPr>
          <w:b w:val="0"/>
          <w:bCs/>
          <w:sz w:val="22"/>
          <w:szCs w:val="22"/>
        </w:rPr>
        <w:t xml:space="preserve">) and prior </w:t>
      </w:r>
      <m:oMath>
        <m:r>
          <m:rPr>
            <m:sty m:val="b"/>
          </m:rPr>
          <w:rPr>
            <w:rFonts w:ascii="Cambria Math" w:hAnsi="Cambria Math"/>
            <w:sz w:val="22"/>
            <w:szCs w:val="22"/>
          </w:rPr>
          <m:t>Pr</m:t>
        </m:r>
        <m:d>
          <m:dPr>
            <m:ctrlPr>
              <w:rPr>
                <w:rFonts w:ascii="Cambria Math" w:hAnsi="Cambria Math"/>
                <w:b w:val="0"/>
                <w:bCs/>
                <w:sz w:val="22"/>
                <w:szCs w:val="22"/>
              </w:rPr>
            </m:ctrlPr>
          </m:dPr>
          <m:e>
            <m:r>
              <m:rPr>
                <m:nor/>
              </m:rPr>
              <w:rPr>
                <w:b w:val="0"/>
                <w:bCs/>
                <w:sz w:val="22"/>
                <w:szCs w:val="22"/>
              </w:rPr>
              <m:t xml:space="preserve">all </m:t>
            </m:r>
            <m:r>
              <m:rPr>
                <m:sty m:val="bi"/>
              </m:rPr>
              <w:rPr>
                <w:rFonts w:ascii="Cambria Math" w:hAnsi="Cambria Math"/>
                <w:sz w:val="22"/>
                <w:szCs w:val="22"/>
              </w:rPr>
              <m:t>θ</m:t>
            </m:r>
            <m:r>
              <m:rPr>
                <m:sty m:val="b"/>
              </m:rPr>
              <w:rPr>
                <w:rFonts w:ascii="Cambria Math" w:hAnsi="Cambria Math"/>
                <w:sz w:val="22"/>
                <w:szCs w:val="22"/>
              </w:rPr>
              <m:t>=</m:t>
            </m:r>
            <m:r>
              <m:rPr>
                <m:sty m:val="bi"/>
              </m:rPr>
              <w:rPr>
                <w:rFonts w:ascii="Cambria Math" w:hAnsi="Cambria Math"/>
                <w:sz w:val="22"/>
                <w:szCs w:val="22"/>
              </w:rPr>
              <m:t>0</m:t>
            </m:r>
          </m:e>
        </m:d>
      </m:oMath>
      <w:r w:rsidRPr="00F23904">
        <w:rPr>
          <w:b w:val="0"/>
          <w:bCs/>
          <w:sz w:val="22"/>
          <w:szCs w:val="22"/>
        </w:rPr>
        <w:t xml:space="preserve">. The Šidák-adjusted </w:t>
      </w:r>
      <w:r w:rsidRPr="00F23904">
        <w:rPr>
          <w:b w:val="0"/>
          <w:bCs/>
          <w:i/>
          <w:iCs/>
          <w:sz w:val="22"/>
          <w:szCs w:val="22"/>
        </w:rPr>
        <w:t>p</w:t>
      </w:r>
      <w:r w:rsidRPr="00F23904">
        <w:rPr>
          <w:b w:val="0"/>
          <w:bCs/>
          <w:sz w:val="22"/>
          <w:szCs w:val="22"/>
        </w:rPr>
        <w:t xml:space="preserve">-value curve (pink) declares at least one discovery when any two-sided one-sample </w:t>
      </w:r>
      <w:r w:rsidRPr="00F23904">
        <w:rPr>
          <w:b w:val="0"/>
          <w:bCs/>
          <w:i/>
          <w:iCs/>
          <w:sz w:val="22"/>
          <w:szCs w:val="22"/>
        </w:rPr>
        <w:t>z</w:t>
      </w:r>
      <w:r w:rsidRPr="00F23904">
        <w:rPr>
          <w:b w:val="0"/>
          <w:bCs/>
          <w:sz w:val="22"/>
          <w:szCs w:val="22"/>
        </w:rPr>
        <w:t xml:space="preserve">-test satisfies </w:t>
      </w:r>
      <m:oMath>
        <m:r>
          <m:rPr>
            <m:sty m:val="bi"/>
          </m:rPr>
          <w:rPr>
            <w:rFonts w:ascii="Cambria Math" w:hAnsi="Cambria Math"/>
            <w:sz w:val="22"/>
            <w:szCs w:val="22"/>
          </w:rPr>
          <m:t>p</m:t>
        </m:r>
        <m:r>
          <m:rPr>
            <m:sty m:val="b"/>
          </m:rPr>
          <w:rPr>
            <w:rFonts w:ascii="Cambria Math" w:hAnsi="Cambria Math"/>
            <w:sz w:val="22"/>
            <w:szCs w:val="22"/>
          </w:rPr>
          <m:t>&lt;</m:t>
        </m:r>
        <m:r>
          <m:rPr>
            <m:sty m:val="bi"/>
          </m:rPr>
          <w:rPr>
            <w:rFonts w:ascii="Cambria Math" w:hAnsi="Cambria Math"/>
            <w:sz w:val="22"/>
            <w:szCs w:val="22"/>
          </w:rPr>
          <m:t>0.05</m:t>
        </m:r>
      </m:oMath>
      <w:r w:rsidRPr="00F23904">
        <w:rPr>
          <w:b w:val="0"/>
          <w:bCs/>
          <w:sz w:val="22"/>
          <w:szCs w:val="22"/>
        </w:rPr>
        <w:t xml:space="preserve">, whereas the adjusted </w:t>
      </w:r>
      <w:r w:rsidRPr="00F23904">
        <w:rPr>
          <w:b w:val="0"/>
          <w:bCs/>
          <w:i/>
          <w:iCs/>
          <w:sz w:val="22"/>
          <w:szCs w:val="22"/>
        </w:rPr>
        <w:t>pd</w:t>
      </w:r>
      <w:r w:rsidRPr="00F23904">
        <w:rPr>
          <w:b w:val="0"/>
          <w:bCs/>
          <w:sz w:val="22"/>
          <w:szCs w:val="22"/>
        </w:rPr>
        <w:t xml:space="preserve"> curve (blue) declares at least one </w:t>
      </w:r>
      <w:r w:rsidRPr="00F23904">
        <w:rPr>
          <w:b w:val="0"/>
          <w:bCs/>
          <w:sz w:val="22"/>
          <w:szCs w:val="22"/>
        </w:rPr>
        <w:lastRenderedPageBreak/>
        <w:t xml:space="preserve">discovery when any </w:t>
      </w:r>
      <m:oMath>
        <m:r>
          <m:rPr>
            <m:sty m:val="bi"/>
          </m:rPr>
          <w:rPr>
            <w:rFonts w:ascii="Cambria Math" w:hAnsi="Cambria Math"/>
            <w:sz w:val="22"/>
            <w:szCs w:val="22"/>
          </w:rPr>
          <m:t>pd</m:t>
        </m:r>
        <m:r>
          <m:rPr>
            <m:sty m:val="b"/>
          </m:rPr>
          <w:rPr>
            <w:rFonts w:ascii="Cambria Math" w:hAnsi="Cambria Math"/>
            <w:sz w:val="22"/>
            <w:szCs w:val="22"/>
          </w:rPr>
          <m:t>&gt;</m:t>
        </m:r>
        <m:r>
          <m:rPr>
            <m:sty m:val="bi"/>
          </m:rPr>
          <w:rPr>
            <w:rFonts w:ascii="Cambria Math" w:hAnsi="Cambria Math"/>
            <w:sz w:val="22"/>
            <w:szCs w:val="22"/>
          </w:rPr>
          <m:t>0.975</m:t>
        </m:r>
      </m:oMath>
      <w:r w:rsidRPr="00F23904">
        <w:rPr>
          <w:b w:val="0"/>
          <w:bCs/>
          <w:sz w:val="22"/>
          <w:szCs w:val="22"/>
        </w:rPr>
        <w:t xml:space="preserve"> under the conjugate normal Bayesian model. Panel C shows the difference (adjusted pd minus Šidák-adjusted p-value) for FWER (under the global null) and power (under the global alternative).</w:t>
      </w:r>
    </w:p>
    <w:p w14:paraId="5B36BF15" w14:textId="0298EB45" w:rsidR="00AC772F" w:rsidRDefault="00AC772F" w:rsidP="008124C4">
      <w:pPr>
        <w:pStyle w:val="FigureWithoutNote"/>
        <w:spacing w:line="360" w:lineRule="auto"/>
      </w:pPr>
    </w:p>
    <w:bookmarkEnd w:id="20"/>
    <w:p w14:paraId="5E4D6610" w14:textId="77777777" w:rsidR="00AC772F" w:rsidRDefault="00000000" w:rsidP="008124C4">
      <w:pPr>
        <w:pStyle w:val="AfterWithoutNote"/>
        <w:spacing w:line="360" w:lineRule="auto"/>
      </w:pPr>
      <w:r>
        <w:t xml:space="preserve">Across all values of </w:t>
      </w:r>
      <m:oMath>
        <m:r>
          <w:rPr>
            <w:rFonts w:ascii="Cambria Math" w:hAnsi="Cambria Math"/>
          </w:rPr>
          <m:t>m</m:t>
        </m:r>
      </m:oMath>
      <w:r>
        <w:t xml:space="preserve">, Šidák-adjusted </w:t>
      </w:r>
      <w:r>
        <w:rPr>
          <w:i/>
          <w:iCs/>
        </w:rPr>
        <w:t>p</w:t>
      </w:r>
      <w:r>
        <w:t xml:space="preserve">-values maintain the family-wise error rate (FWER; </w:t>
      </w:r>
      <w:hyperlink w:anchor="fig-fwer-pw">
        <w:r w:rsidR="00AC772F">
          <w:rPr>
            <w:rStyle w:val="Hyperlink"/>
          </w:rPr>
          <w:t>Figure 7</w:t>
        </w:r>
      </w:hyperlink>
      <w:r>
        <w:t>, Panel A) near the nominal level, but this control comes at the expense of diminished power (</w:t>
      </w:r>
      <w:hyperlink w:anchor="fig-fwer-pw">
        <w:r w:rsidR="00AC772F">
          <w:rPr>
            <w:rStyle w:val="Hyperlink"/>
          </w:rPr>
          <w:t>Figure 7</w:t>
        </w:r>
      </w:hyperlink>
      <w:r>
        <w:t xml:space="preserve">, Panel B). By contrast, the adjusted </w:t>
      </w:r>
      <w:r>
        <w:rPr>
          <w:i/>
          <w:iCs/>
        </w:rPr>
        <w:t>pd</w:t>
      </w:r>
      <w:r>
        <w:t xml:space="preserve"> procedure exhibits FWER and power trajectories that depend on the prior parameter </w:t>
      </w:r>
      <m:oMath>
        <m:r>
          <w:rPr>
            <w:rFonts w:ascii="Cambria Math" w:hAnsi="Cambria Math"/>
          </w:rPr>
          <m:t>q</m:t>
        </m:r>
      </m:oMath>
      <w:r>
        <w:t xml:space="preserve">. For smaller values of </w:t>
      </w:r>
      <m:oMath>
        <m:r>
          <w:rPr>
            <w:rFonts w:ascii="Cambria Math" w:hAnsi="Cambria Math"/>
          </w:rPr>
          <m:t>q</m:t>
        </m:r>
      </m:oMath>
      <w:r>
        <w:t xml:space="preserve"> (</w:t>
      </w:r>
      <m:oMath>
        <m:r>
          <w:rPr>
            <w:rFonts w:ascii="Cambria Math" w:hAnsi="Cambria Math"/>
          </w:rPr>
          <m:t>q</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0.10</m:t>
        </m:r>
        <m:r>
          <m:rPr>
            <m:sty m:val="p"/>
          </m:rPr>
          <w:rPr>
            <w:rFonts w:ascii="Cambria Math" w:hAnsi="Cambria Math"/>
          </w:rPr>
          <m:t>}</m:t>
        </m:r>
      </m:oMath>
      <w:r>
        <w:t>), the tradeoff is favorable: the increase in power is larger than the corresponding increase in FWER, implying gains relative to the loss of error control (</w:t>
      </w:r>
      <w:hyperlink w:anchor="fig-fwer-pw">
        <w:r w:rsidR="00AC772F">
          <w:rPr>
            <w:rStyle w:val="Hyperlink"/>
          </w:rPr>
          <w:t>Figure 7</w:t>
        </w:r>
      </w:hyperlink>
      <w:r>
        <w:t xml:space="preserve">, Panel C). By contrast, </w:t>
      </w:r>
      <m:oMath>
        <m:r>
          <w:rPr>
            <w:rFonts w:ascii="Cambria Math" w:hAnsi="Cambria Math"/>
          </w:rPr>
          <m:t>q</m:t>
        </m:r>
        <m:r>
          <m:rPr>
            <m:sty m:val="p"/>
          </m:rPr>
          <w:rPr>
            <w:rFonts w:ascii="Cambria Math" w:hAnsi="Cambria Math"/>
          </w:rPr>
          <m:t>=</m:t>
        </m:r>
        <m:r>
          <w:rPr>
            <w:rFonts w:ascii="Cambria Math" w:hAnsi="Cambria Math"/>
          </w:rPr>
          <m:t>0.4</m:t>
        </m:r>
      </m:oMath>
      <w:r>
        <w:t xml:space="preserve"> yields FWER and power curves that closely mirror the Šidák adjustment across the full range of </w:t>
      </w:r>
      <m:oMath>
        <m:r>
          <w:rPr>
            <w:rFonts w:ascii="Cambria Math" w:hAnsi="Cambria Math"/>
          </w:rPr>
          <m:t>m</m:t>
        </m:r>
      </m:oMath>
      <w:r>
        <w:t>, suggesting that this calibration allows the Bayesian adjustment to approximate classical strong FWER control (</w:t>
      </w:r>
      <w:hyperlink w:anchor="fig-fwer-pw">
        <w:r w:rsidR="00AC772F">
          <w:rPr>
            <w:rStyle w:val="Hyperlink"/>
          </w:rPr>
          <w:t>Figure 7</w:t>
        </w:r>
      </w:hyperlink>
      <w:r>
        <w:t>).</w:t>
      </w:r>
    </w:p>
    <w:p w14:paraId="0D433400" w14:textId="77777777" w:rsidR="00F23904" w:rsidRDefault="00F23904" w:rsidP="008124C4">
      <w:pPr>
        <w:pStyle w:val="Heading2"/>
        <w:spacing w:line="360" w:lineRule="auto"/>
      </w:pPr>
      <w:bookmarkStart w:id="21" w:name="application"/>
      <w:bookmarkEnd w:id="14"/>
      <w:bookmarkEnd w:id="17"/>
    </w:p>
    <w:p w14:paraId="5A51610F" w14:textId="50169446" w:rsidR="00AC772F" w:rsidRDefault="00000000" w:rsidP="008124C4">
      <w:pPr>
        <w:pStyle w:val="Heading2"/>
        <w:spacing w:line="360" w:lineRule="auto"/>
      </w:pPr>
      <w:r>
        <w:t>Application</w:t>
      </w:r>
    </w:p>
    <w:p w14:paraId="22E666F8" w14:textId="77777777" w:rsidR="00F23904" w:rsidRDefault="00F23904" w:rsidP="008124C4">
      <w:pPr>
        <w:pStyle w:val="Heading2"/>
        <w:spacing w:line="360" w:lineRule="auto"/>
      </w:pPr>
      <w:bookmarkStart w:id="22" w:name="discussion"/>
      <w:bookmarkEnd w:id="21"/>
    </w:p>
    <w:p w14:paraId="4F11DA36" w14:textId="77777777" w:rsidR="00E1483C" w:rsidRPr="00E1483C" w:rsidRDefault="00E1483C" w:rsidP="00E1483C">
      <w:pPr>
        <w:pStyle w:val="BodyText"/>
      </w:pPr>
    </w:p>
    <w:p w14:paraId="7F054FD7" w14:textId="662E8D0F" w:rsidR="00AC772F" w:rsidRDefault="00000000" w:rsidP="00E1483C">
      <w:pPr>
        <w:pStyle w:val="Heading2"/>
      </w:pPr>
      <w:r>
        <w:t>Discussion</w:t>
      </w:r>
    </w:p>
    <w:p w14:paraId="09D4F1AE" w14:textId="6140FE0C" w:rsidR="00AC772F" w:rsidRDefault="00E1483C" w:rsidP="00E1483C">
      <w:pPr>
        <w:pStyle w:val="FirstParagraph"/>
        <w:spacing w:line="360" w:lineRule="auto"/>
      </w:pPr>
      <w:r w:rsidRPr="00E1483C">
        <w:t xml:space="preserve">Our simulations demonstrate that extreme </w:t>
      </w:r>
      <w:r w:rsidRPr="00E1483C">
        <w:rPr>
          <w:i/>
          <w:iCs/>
        </w:rPr>
        <w:t>pd</w:t>
      </w:r>
      <w:r w:rsidRPr="00E1483C">
        <w:t xml:space="preserve"> values arise by chance with non-negligible frequency, and this problem compounds as researchers evaluate more parameters.</w:t>
      </w:r>
      <w:r>
        <w:t xml:space="preserve"> </w:t>
      </w:r>
      <w:r w:rsidRPr="00E1483C">
        <w:t xml:space="preserve">To address this, the multiplicity adjustment proposed here accommodates researcher-specific prior information, which may be informed by previous studies, measurement reliability, or structured expert elicitation </w:t>
      </w:r>
      <w:r w:rsidR="00000000">
        <w:t>[</w:t>
      </w:r>
      <w:r w:rsidR="00000000">
        <w:rPr>
          <w:b/>
          <w:bCs/>
        </w:rPr>
        <w:t>REFs</w:t>
      </w:r>
      <w:r w:rsidR="00000000">
        <w:t xml:space="preserve">]. More generally, researchers can specify hypothesis-specific priors (or “classes” of hypotheses) with different global null probabilities, for example, distinguishing </w:t>
      </w:r>
      <w:r w:rsidR="00DF10A6" w:rsidRPr="00DF10A6">
        <w:t>confirmatory</w:t>
      </w:r>
      <w:r w:rsidR="00DF10A6">
        <w:t xml:space="preserve"> </w:t>
      </w:r>
      <w:r w:rsidR="00000000">
        <w:t>hypotheses from exploratory ones.</w:t>
      </w:r>
    </w:p>
    <w:p w14:paraId="0569BDC1" w14:textId="1040301B" w:rsidR="00DF10A6" w:rsidRDefault="00DF10A6" w:rsidP="00DF10A6">
      <w:pPr>
        <w:pStyle w:val="BodyText"/>
        <w:spacing w:line="360" w:lineRule="auto"/>
      </w:pPr>
      <w:r>
        <w:t>A</w:t>
      </w:r>
      <w:r>
        <w:t xml:space="preserve">n </w:t>
      </w:r>
      <w:r>
        <w:t xml:space="preserve">advantage of this procedure is its applicability to </w:t>
      </w:r>
      <w:r>
        <w:rPr>
          <w:i/>
          <w:iCs/>
        </w:rPr>
        <w:t>pd</w:t>
      </w:r>
      <w:r>
        <w:t xml:space="preserve"> values computed from posterior distributions obtained under different models. </w:t>
      </w:r>
      <w:r w:rsidRPr="00DF10A6">
        <w:t xml:space="preserve">While the most coherent approach analyzes all relevant data within a single joint model that explicitly represents dependence [REFs], this is not always feasible in practice, and researchers often report </w:t>
      </w:r>
      <w:r w:rsidRPr="00DF10A6">
        <w:rPr>
          <w:i/>
          <w:iCs/>
        </w:rPr>
        <w:t>pd</w:t>
      </w:r>
      <w:r w:rsidRPr="00DF10A6">
        <w:t xml:space="preserve"> across multiple analyses within the </w:t>
      </w:r>
      <w:r w:rsidRPr="00DF10A6">
        <w:lastRenderedPageBreak/>
        <w:t xml:space="preserve">same manuscript [REFs]. </w:t>
      </w:r>
      <w:r>
        <w:t xml:space="preserve"> The </w:t>
      </w:r>
      <w:r>
        <w:t>procedure</w:t>
      </w:r>
      <w:r>
        <w:t xml:space="preserve"> outlined here provides a flexible toolkit for such scenarios. Additionally, the approach naturally extends beyond point-null testing by evaluating directional certainty relative to a smallest effect size of interest, shifting emphasis from non-zero effects to substantively meaningful thresholds (</w:t>
      </w:r>
      <w:proofErr w:type="spellStart"/>
      <w:r>
        <w:fldChar w:fldCharType="begin"/>
      </w:r>
      <w:r>
        <w:instrText>HYPERLINK \l "ref-Sesoi2018" \h</w:instrText>
      </w:r>
      <w:r>
        <w:fldChar w:fldCharType="separate"/>
      </w:r>
      <w:r>
        <w:rPr>
          <w:rStyle w:val="Hyperlink"/>
        </w:rPr>
        <w:t>Lakens</w:t>
      </w:r>
      <w:proofErr w:type="spellEnd"/>
      <w:r>
        <w:rPr>
          <w:rStyle w:val="Hyperlink"/>
        </w:rPr>
        <w:t xml:space="preserve"> et al., 2018</w:t>
      </w:r>
      <w:r>
        <w:fldChar w:fldCharType="end"/>
      </w:r>
      <w:r>
        <w:t>).</w:t>
      </w:r>
    </w:p>
    <w:p w14:paraId="64F4D751" w14:textId="0D5BE994" w:rsidR="00DF10A6" w:rsidRPr="00DF10A6" w:rsidRDefault="00DF10A6" w:rsidP="00DF10A6">
      <w:pPr>
        <w:pStyle w:val="BodyText"/>
        <w:spacing w:line="360" w:lineRule="auto"/>
        <w:rPr>
          <w:rFonts w:eastAsiaTheme="minorEastAsia"/>
        </w:rPr>
      </w:pPr>
      <w:r w:rsidRPr="00DF10A6">
        <w:t xml:space="preserve">The procedure does assume independence between hypotheses when allocating global null probability across m tests, treating each as providing independent evidence. When hypotheses are correlated through shared parameters, overlapping data structures, or measurement dependencies, this independence-based allocation overestimates the multiplicity penalty, yielding overly conservative adjustments. A practical solution is to replace the nominal </w:t>
      </w:r>
      <w:r w:rsidRPr="00DF10A6">
        <w:rPr>
          <w:i/>
          <w:iCs/>
        </w:rPr>
        <w:t>m</w:t>
      </w:r>
      <w:r w:rsidRPr="00DF10A6">
        <w:t xml:space="preserve"> with an effective number </w:t>
      </w:r>
      <m:oMath>
        <m:sSub>
          <m:sSubPr>
            <m:ctrlPr>
              <w:rPr>
                <w:rFonts w:ascii="Cambria Math" w:hAnsi="Cambria Math"/>
              </w:rPr>
            </m:ctrlPr>
          </m:sSubPr>
          <m:e>
            <m:r>
              <w:rPr>
                <w:rFonts w:ascii="Cambria Math" w:hAnsi="Cambria Math"/>
              </w:rPr>
              <m:t>m</m:t>
            </m:r>
          </m:e>
          <m:sub>
            <m:r>
              <m:rPr>
                <m:nor/>
              </m:rPr>
              <m:t>eff</m:t>
            </m:r>
          </m:sub>
        </m:sSub>
      </m:oMath>
      <w:r>
        <w:t xml:space="preserve"> </w:t>
      </w:r>
      <w:r w:rsidRPr="00DF10A6">
        <w:t xml:space="preserve"> that reflects the dependence structure. This can be achieved</w:t>
      </w:r>
      <w:r>
        <w:t>, for example,</w:t>
      </w:r>
      <w:r w:rsidRPr="00DF10A6">
        <w:t xml:space="preserve"> by computing a correlation matrix among posterior distributions (e.g., from the same model) and deriving </w:t>
      </w:r>
      <m:oMath>
        <m:sSub>
          <m:sSubPr>
            <m:ctrlPr>
              <w:rPr>
                <w:rFonts w:ascii="Cambria Math" w:hAnsi="Cambria Math"/>
              </w:rPr>
            </m:ctrlPr>
          </m:sSubPr>
          <m:e>
            <m:r>
              <w:rPr>
                <w:rFonts w:ascii="Cambria Math" w:hAnsi="Cambria Math"/>
              </w:rPr>
              <m:t>m</m:t>
            </m:r>
          </m:e>
          <m:sub>
            <m:r>
              <m:rPr>
                <m:nor/>
              </m:rPr>
              <m:t>eff</m:t>
            </m:r>
          </m:sub>
        </m:sSub>
      </m:oMath>
      <w:r w:rsidRPr="00DF10A6">
        <w:t xml:space="preserve"> via eigenvalue-based </w:t>
      </w:r>
      <w:r>
        <w:t>(</w:t>
      </w:r>
      <w:proofErr w:type="spellStart"/>
      <w:r>
        <w:fldChar w:fldCharType="begin"/>
      </w:r>
      <w:r>
        <w:instrText>HYPERLINK \l "ref-Cheverud2001" \h</w:instrText>
      </w:r>
      <w:r>
        <w:fldChar w:fldCharType="separate"/>
      </w:r>
      <w:r>
        <w:rPr>
          <w:rStyle w:val="Hyperlink"/>
        </w:rPr>
        <w:t>Cheverud</w:t>
      </w:r>
      <w:proofErr w:type="spellEnd"/>
      <w:r>
        <w:rPr>
          <w:rStyle w:val="Hyperlink"/>
        </w:rPr>
        <w:t>, 2001</w:t>
      </w:r>
      <w:r>
        <w:fldChar w:fldCharType="end"/>
      </w:r>
      <w:r>
        <w:t xml:space="preserve">; </w:t>
      </w:r>
      <w:hyperlink w:anchor="ref-Giudice2021">
        <w:r>
          <w:rPr>
            <w:rStyle w:val="Hyperlink"/>
          </w:rPr>
          <w:t>Del Giudice, 2021</w:t>
        </w:r>
      </w:hyperlink>
      <w:r>
        <w:t xml:space="preserve">; </w:t>
      </w:r>
      <w:hyperlink w:anchor="ref-Li2005">
        <w:r>
          <w:rPr>
            <w:rStyle w:val="Hyperlink"/>
          </w:rPr>
          <w:t>Li &amp; Ji, 2005</w:t>
        </w:r>
      </w:hyperlink>
      <w:r>
        <w:t>).</w:t>
      </w:r>
      <w:r w:rsidRPr="00DF10A6">
        <w:t xml:space="preserve"> Because </w:t>
      </w:r>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 xml:space="preserve"> </m:t>
        </m:r>
      </m:oMath>
      <w:r w:rsidRPr="00DF10A6">
        <w:t>depends on how correlation</w:t>
      </w:r>
      <w:r w:rsidR="00654048">
        <w:t>s</w:t>
      </w:r>
      <w:r w:rsidRPr="00DF10A6">
        <w:t xml:space="preserve"> </w:t>
      </w:r>
      <w:r w:rsidR="00654048">
        <w:t>are</w:t>
      </w:r>
      <w:r w:rsidRPr="00DF10A6">
        <w:t xml:space="preserve"> defined and estimated, it should be treated as a sensitivity parameter rather than a fixed quantity.</w:t>
      </w:r>
    </w:p>
    <w:p w14:paraId="12D16058" w14:textId="31129183" w:rsidR="00DF10A6" w:rsidRPr="00DF10A6" w:rsidRDefault="00DF10A6" w:rsidP="00DF10A6">
      <w:pPr>
        <w:pStyle w:val="BodyText"/>
        <w:spacing w:line="360" w:lineRule="auto"/>
      </w:pPr>
      <w:r>
        <w:t>F</w:t>
      </w:r>
      <w:r>
        <w:t xml:space="preserve">or applied reporting, we recommend a two-tier strategy: first, report the unadjusted </w:t>
      </w:r>
      <w:r>
        <w:rPr>
          <w:i/>
          <w:iCs/>
        </w:rPr>
        <w:t>pd</w:t>
      </w:r>
      <w:r>
        <w:t xml:space="preserve"> for each parameter to maintain transparency; second, report at least one multiplicity-adjusted measure using prior odds correction. As a baseline, researchers should present the conservative adjustment with </w:t>
      </w:r>
      <m:oMath>
        <m:r>
          <m:rPr>
            <m:sty m:val="p"/>
          </m:rPr>
          <w:rPr>
            <w:rFonts w:ascii="Cambria Math" w:hAnsi="Cambria Math"/>
          </w:rPr>
          <m:t>Pr</m:t>
        </m:r>
        <m:d>
          <m:dPr>
            <m:ctrlPr>
              <w:rPr>
                <w:rFonts w:ascii="Cambria Math" w:hAnsi="Cambria Math"/>
              </w:rPr>
            </m:ctrlPr>
          </m:dPr>
          <m:e>
            <m:r>
              <m:rPr>
                <m:nor/>
              </m:rPr>
              <m:t xml:space="preserve">all </m:t>
            </m:r>
            <m:r>
              <w:rPr>
                <w:rFonts w:ascii="Cambria Math" w:hAnsi="Cambria Math"/>
              </w:rPr>
              <m:t>θ</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0.4</m:t>
        </m:r>
      </m:oMath>
      <w:r>
        <w:t xml:space="preserve">, </w:t>
      </w:r>
      <w:r w:rsidR="00654048" w:rsidRPr="00654048">
        <w:t xml:space="preserve">which represents a skeptical but defensible stance </w:t>
      </w:r>
      <w:r w:rsidR="00654048">
        <w:t>as it</w:t>
      </w:r>
      <w:r w:rsidR="00654048" w:rsidRPr="00654048">
        <w:t xml:space="preserve"> produces adjustments analogous to the </w:t>
      </w:r>
      <w:proofErr w:type="spellStart"/>
      <w:r w:rsidR="00654048" w:rsidRPr="00654048">
        <w:t>Šidák</w:t>
      </w:r>
      <w:proofErr w:type="spellEnd"/>
      <w:r w:rsidR="00654048" w:rsidRPr="00654048">
        <w:t xml:space="preserve"> correction for </w:t>
      </w:r>
      <w:r w:rsidR="00654048" w:rsidRPr="00654048">
        <w:rPr>
          <w:i/>
          <w:iCs/>
        </w:rPr>
        <w:t>p</w:t>
      </w:r>
      <w:r w:rsidR="00654048" w:rsidRPr="00654048">
        <w:t>-values</w:t>
      </w:r>
      <w:r>
        <w:t>. When domain knowledge justifies alternative priors, report both conservative and informed adjustments to demonstrate robustness across different assumptions.</w:t>
      </w:r>
    </w:p>
    <w:p w14:paraId="7E9CB5A1" w14:textId="441ED7CC" w:rsidR="00AC772F" w:rsidRDefault="00DF10A6" w:rsidP="008124C4">
      <w:pPr>
        <w:pStyle w:val="BodyText"/>
        <w:spacing w:line="360" w:lineRule="auto"/>
      </w:pPr>
      <w:r>
        <w:t xml:space="preserve">Regardless of its limitations, </w:t>
      </w:r>
      <w:r w:rsidR="00000000">
        <w:t>we believe this procedure provides a principled approach to Bayesian multiplicity adjustment with meaningful implications for both interpretability and replicability of research findings.</w:t>
      </w:r>
    </w:p>
    <w:p w14:paraId="3BA58A4B" w14:textId="343CF097" w:rsidR="00852EE8" w:rsidRDefault="00852EE8" w:rsidP="008124C4">
      <w:pPr>
        <w:pStyle w:val="BodyText"/>
        <w:spacing w:line="360" w:lineRule="auto"/>
      </w:pPr>
    </w:p>
    <w:p w14:paraId="4B072DA8" w14:textId="77777777" w:rsidR="00654048" w:rsidRDefault="00654048" w:rsidP="008124C4">
      <w:pPr>
        <w:pStyle w:val="BodyText"/>
        <w:spacing w:line="360" w:lineRule="auto"/>
      </w:pPr>
    </w:p>
    <w:p w14:paraId="3C716D9C" w14:textId="77777777" w:rsidR="00654048" w:rsidRDefault="00654048" w:rsidP="008124C4">
      <w:pPr>
        <w:pStyle w:val="BodyText"/>
        <w:spacing w:line="360" w:lineRule="auto"/>
      </w:pPr>
    </w:p>
    <w:p w14:paraId="7E7FCA51" w14:textId="77777777" w:rsidR="00654048" w:rsidRDefault="00654048" w:rsidP="008124C4">
      <w:pPr>
        <w:pStyle w:val="BodyText"/>
        <w:spacing w:line="360" w:lineRule="auto"/>
      </w:pPr>
    </w:p>
    <w:p w14:paraId="5CF0E80F" w14:textId="77777777" w:rsidR="00AC772F" w:rsidRDefault="00000000" w:rsidP="00852EE8">
      <w:pPr>
        <w:pStyle w:val="Heading1"/>
      </w:pPr>
      <w:bookmarkStart w:id="23" w:name="bibliography"/>
      <w:bookmarkEnd w:id="4"/>
      <w:bookmarkEnd w:id="22"/>
      <w:r>
        <w:lastRenderedPageBreak/>
        <w:t>References</w:t>
      </w:r>
    </w:p>
    <w:p w14:paraId="210369FB" w14:textId="77777777" w:rsidR="00AC772F" w:rsidRPr="009D3981" w:rsidRDefault="00000000" w:rsidP="00654048">
      <w:pPr>
        <w:pStyle w:val="Bibliography"/>
        <w:spacing w:after="240" w:line="360" w:lineRule="auto"/>
        <w:rPr>
          <w:lang w:val="it-IT"/>
        </w:rPr>
      </w:pPr>
      <w:bookmarkStart w:id="24" w:name="ref-Albers2018"/>
      <w:bookmarkStart w:id="25" w:name="refs"/>
      <w:r>
        <w:t xml:space="preserve">Albers, C. J., Kiers, H. A., &amp; Ravenzwaaij, D. van. (2018). Credible confidence: A pragmatic view on the frequentist vs Bayesian debate. </w:t>
      </w:r>
      <w:proofErr w:type="spellStart"/>
      <w:r w:rsidRPr="009D3981">
        <w:rPr>
          <w:i/>
          <w:iCs/>
          <w:lang w:val="it-IT"/>
        </w:rPr>
        <w:t>Collabra</w:t>
      </w:r>
      <w:proofErr w:type="spellEnd"/>
      <w:r w:rsidRPr="009D3981">
        <w:rPr>
          <w:i/>
          <w:iCs/>
          <w:lang w:val="it-IT"/>
        </w:rPr>
        <w:t xml:space="preserve">: </w:t>
      </w:r>
      <w:proofErr w:type="spellStart"/>
      <w:r w:rsidRPr="009D3981">
        <w:rPr>
          <w:i/>
          <w:iCs/>
          <w:lang w:val="it-IT"/>
        </w:rPr>
        <w:t>Psychology</w:t>
      </w:r>
      <w:proofErr w:type="spellEnd"/>
      <w:r w:rsidRPr="009D3981">
        <w:rPr>
          <w:lang w:val="it-IT"/>
        </w:rPr>
        <w:t xml:space="preserve">, </w:t>
      </w:r>
      <w:r w:rsidRPr="009D3981">
        <w:rPr>
          <w:i/>
          <w:iCs/>
          <w:lang w:val="it-IT"/>
        </w:rPr>
        <w:t>4</w:t>
      </w:r>
      <w:r w:rsidRPr="009D3981">
        <w:rPr>
          <w:lang w:val="it-IT"/>
        </w:rPr>
        <w:t>(1).</w:t>
      </w:r>
    </w:p>
    <w:p w14:paraId="1B05968E" w14:textId="77777777" w:rsidR="00AC772F" w:rsidRDefault="00000000" w:rsidP="00654048">
      <w:pPr>
        <w:pStyle w:val="Bibliography"/>
        <w:spacing w:after="240" w:line="360" w:lineRule="auto"/>
      </w:pPr>
      <w:bookmarkStart w:id="26" w:name="ref-Altoe2020"/>
      <w:bookmarkEnd w:id="24"/>
      <w:r w:rsidRPr="009D3981">
        <w:rPr>
          <w:lang w:val="it-IT"/>
        </w:rPr>
        <w:t xml:space="preserve">Altoè, G., Bertoldo, G., Zandonella Callegher, C., </w:t>
      </w:r>
      <w:proofErr w:type="spellStart"/>
      <w:r w:rsidRPr="009D3981">
        <w:rPr>
          <w:lang w:val="it-IT"/>
        </w:rPr>
        <w:t>Toffalini</w:t>
      </w:r>
      <w:proofErr w:type="spellEnd"/>
      <w:r w:rsidRPr="009D3981">
        <w:rPr>
          <w:lang w:val="it-IT"/>
        </w:rPr>
        <w:t xml:space="preserve">, E., </w:t>
      </w:r>
      <w:proofErr w:type="spellStart"/>
      <w:r w:rsidRPr="009D3981">
        <w:rPr>
          <w:lang w:val="it-IT"/>
        </w:rPr>
        <w:t>Calcagnì</w:t>
      </w:r>
      <w:proofErr w:type="spellEnd"/>
      <w:r w:rsidRPr="009D3981">
        <w:rPr>
          <w:lang w:val="it-IT"/>
        </w:rPr>
        <w:t xml:space="preserve">, A., </w:t>
      </w:r>
      <w:proofErr w:type="spellStart"/>
      <w:r w:rsidRPr="009D3981">
        <w:rPr>
          <w:lang w:val="it-IT"/>
        </w:rPr>
        <w:t>Finos</w:t>
      </w:r>
      <w:proofErr w:type="spellEnd"/>
      <w:r w:rsidRPr="009D3981">
        <w:rPr>
          <w:lang w:val="it-IT"/>
        </w:rPr>
        <w:t xml:space="preserve">, L., &amp; Pastore, M. (2020). </w:t>
      </w:r>
      <w:r>
        <w:t xml:space="preserve">Enhancing statistical inference in psychological research via prospective and retrospective design analysis. </w:t>
      </w:r>
      <w:r>
        <w:rPr>
          <w:i/>
          <w:iCs/>
        </w:rPr>
        <w:t>Frontiers in Psychology</w:t>
      </w:r>
      <w:r>
        <w:t xml:space="preserve">, </w:t>
      </w:r>
      <w:r>
        <w:rPr>
          <w:i/>
          <w:iCs/>
        </w:rPr>
        <w:t>Volume 10 - 2019</w:t>
      </w:r>
      <w:r>
        <w:t xml:space="preserve">. </w:t>
      </w:r>
      <w:hyperlink r:id="rId21">
        <w:r w:rsidR="00AC772F">
          <w:rPr>
            <w:rStyle w:val="Hyperlink"/>
          </w:rPr>
          <w:t>https://doi.org/10.3389/fpsyg.2019.02893</w:t>
        </w:r>
      </w:hyperlink>
    </w:p>
    <w:p w14:paraId="406D8D4B" w14:textId="77777777" w:rsidR="00AC772F" w:rsidRDefault="00000000" w:rsidP="00654048">
      <w:pPr>
        <w:pStyle w:val="Bibliography"/>
        <w:spacing w:after="240" w:line="360" w:lineRule="auto"/>
      </w:pPr>
      <w:bookmarkStart w:id="27" w:name="ref-Berger1987"/>
      <w:bookmarkEnd w:id="26"/>
      <w:r>
        <w:t xml:space="preserve">Berger, J. O., &amp; Sellke, T. (1987). Testing a point null hypothesis: The irreconcilability of p values and evidence. </w:t>
      </w:r>
      <w:r>
        <w:rPr>
          <w:i/>
          <w:iCs/>
        </w:rPr>
        <w:t>Journal of the American Statistical Association</w:t>
      </w:r>
      <w:r>
        <w:t xml:space="preserve">, </w:t>
      </w:r>
      <w:r>
        <w:rPr>
          <w:i/>
          <w:iCs/>
        </w:rPr>
        <w:t>82</w:t>
      </w:r>
      <w:r>
        <w:t>(397), 112–122.</w:t>
      </w:r>
    </w:p>
    <w:p w14:paraId="45D24991" w14:textId="77777777" w:rsidR="00AC772F" w:rsidRDefault="00000000" w:rsidP="00654048">
      <w:pPr>
        <w:pStyle w:val="Bibliography"/>
        <w:spacing w:after="240" w:line="360" w:lineRule="auto"/>
      </w:pPr>
      <w:bookmarkStart w:id="28" w:name="ref-Bernardo1994"/>
      <w:bookmarkEnd w:id="27"/>
      <w:r>
        <w:t xml:space="preserve">Bernardo, J. M., &amp; Smith, A. F. M. (1994). </w:t>
      </w:r>
      <w:r>
        <w:rPr>
          <w:i/>
          <w:iCs/>
        </w:rPr>
        <w:t>Bayesian Theory</w:t>
      </w:r>
      <w:r>
        <w:t xml:space="preserve"> (1st ed.). Wiley. </w:t>
      </w:r>
      <w:hyperlink r:id="rId22">
        <w:r w:rsidR="00AC772F">
          <w:rPr>
            <w:rStyle w:val="Hyperlink"/>
          </w:rPr>
          <w:t>https://doi.org/10.1002/9780470316870</w:t>
        </w:r>
      </w:hyperlink>
    </w:p>
    <w:p w14:paraId="2F5D18EB" w14:textId="77777777" w:rsidR="00AC772F" w:rsidRDefault="00000000" w:rsidP="00654048">
      <w:pPr>
        <w:pStyle w:val="Bibliography"/>
        <w:spacing w:after="240" w:line="360" w:lineRule="auto"/>
      </w:pPr>
      <w:bookmarkStart w:id="29" w:name="ref-Berry1999"/>
      <w:bookmarkEnd w:id="28"/>
      <w:r>
        <w:t xml:space="preserve">Berry, D. A., &amp; Hochberg, Y. (1999). Bayesian perspectives on multiple comparisons. </w:t>
      </w:r>
      <w:r>
        <w:rPr>
          <w:i/>
          <w:iCs/>
        </w:rPr>
        <w:t>Journal of Statistical Planning and Inference</w:t>
      </w:r>
      <w:r>
        <w:t xml:space="preserve">, </w:t>
      </w:r>
      <w:r>
        <w:rPr>
          <w:i/>
          <w:iCs/>
        </w:rPr>
        <w:t>82</w:t>
      </w:r>
      <w:r>
        <w:t xml:space="preserve">(1), 215–227. </w:t>
      </w:r>
      <w:hyperlink r:id="rId23">
        <w:r w:rsidR="00AC772F">
          <w:rPr>
            <w:rStyle w:val="Hyperlink"/>
          </w:rPr>
          <w:t>https://doi.org/10.1016/S0378-3758(99)00044-0</w:t>
        </w:r>
      </w:hyperlink>
    </w:p>
    <w:p w14:paraId="2191AFA9" w14:textId="77777777" w:rsidR="00AC772F" w:rsidRDefault="00000000" w:rsidP="00654048">
      <w:pPr>
        <w:pStyle w:val="Bibliography"/>
        <w:spacing w:after="240" w:line="360" w:lineRule="auto"/>
      </w:pPr>
      <w:bookmarkStart w:id="30" w:name="ref-Box1980"/>
      <w:bookmarkEnd w:id="29"/>
      <w:r>
        <w:t xml:space="preserve">Box, G. E. P. (1980). Sampling and bayes’ inference in scientific modelling and robustness. </w:t>
      </w:r>
      <w:r>
        <w:rPr>
          <w:i/>
          <w:iCs/>
        </w:rPr>
        <w:t>Journal of the Royal Statistical Society. Series A (General)</w:t>
      </w:r>
      <w:r>
        <w:t xml:space="preserve">, </w:t>
      </w:r>
      <w:r>
        <w:rPr>
          <w:i/>
          <w:iCs/>
        </w:rPr>
        <w:t>143</w:t>
      </w:r>
      <w:r>
        <w:t xml:space="preserve">(4), 383–430. </w:t>
      </w:r>
      <w:hyperlink r:id="rId24">
        <w:r w:rsidR="00AC772F">
          <w:rPr>
            <w:rStyle w:val="Hyperlink"/>
          </w:rPr>
          <w:t>http://www.jstor.org/stable/2982063</w:t>
        </w:r>
      </w:hyperlink>
    </w:p>
    <w:p w14:paraId="6D0CBA63" w14:textId="77777777" w:rsidR="00AC772F" w:rsidRDefault="00000000" w:rsidP="00654048">
      <w:pPr>
        <w:pStyle w:val="Bibliography"/>
        <w:spacing w:after="240" w:line="360" w:lineRule="auto"/>
      </w:pPr>
      <w:bookmarkStart w:id="31" w:name="ref-Box1992"/>
      <w:bookmarkEnd w:id="30"/>
      <w:r>
        <w:t xml:space="preserve">Box, G. E. P., &amp; Tiao, G. C. (1992). </w:t>
      </w:r>
      <w:r>
        <w:rPr>
          <w:i/>
          <w:iCs/>
        </w:rPr>
        <w:t>Bayesian inference in statistical analysis</w:t>
      </w:r>
      <w:r>
        <w:t xml:space="preserve"> (1st ed.). Wiley. </w:t>
      </w:r>
      <w:hyperlink r:id="rId25">
        <w:r w:rsidR="00AC772F">
          <w:rPr>
            <w:rStyle w:val="Hyperlink"/>
          </w:rPr>
          <w:t>https://doi.org/10.1002/9781118033197</w:t>
        </w:r>
      </w:hyperlink>
    </w:p>
    <w:p w14:paraId="1C57598F" w14:textId="77777777" w:rsidR="00AC772F" w:rsidRDefault="00000000" w:rsidP="00654048">
      <w:pPr>
        <w:pStyle w:val="Bibliography"/>
        <w:spacing w:after="240" w:line="360" w:lineRule="auto"/>
      </w:pPr>
      <w:bookmarkStart w:id="32" w:name="ref-Casella1987"/>
      <w:bookmarkEnd w:id="31"/>
      <w:r>
        <w:t xml:space="preserve">Casella, G., &amp; Berger, R. L. (1987). Reconciling bayesian and frequentist evidence in the one-sided testing problem. </w:t>
      </w:r>
      <w:r>
        <w:rPr>
          <w:i/>
          <w:iCs/>
        </w:rPr>
        <w:t>Journal of the American Statistical Association</w:t>
      </w:r>
      <w:r>
        <w:t xml:space="preserve">, </w:t>
      </w:r>
      <w:r>
        <w:rPr>
          <w:i/>
          <w:iCs/>
        </w:rPr>
        <w:t>82</w:t>
      </w:r>
      <w:r>
        <w:t xml:space="preserve">(397), 106–111. </w:t>
      </w:r>
      <w:hyperlink r:id="rId26">
        <w:r w:rsidR="00AC772F">
          <w:rPr>
            <w:rStyle w:val="Hyperlink"/>
          </w:rPr>
          <w:t>https://doi.org/10.1080/01621459.1987.10478396</w:t>
        </w:r>
      </w:hyperlink>
    </w:p>
    <w:p w14:paraId="5E138483" w14:textId="77777777" w:rsidR="00AC772F" w:rsidRDefault="00000000" w:rsidP="00654048">
      <w:pPr>
        <w:pStyle w:val="Bibliography"/>
        <w:spacing w:after="240" w:line="360" w:lineRule="auto"/>
      </w:pPr>
      <w:bookmarkStart w:id="33" w:name="ref-Chen2020"/>
      <w:bookmarkEnd w:id="32"/>
      <w:r>
        <w:t xml:space="preserve">Chen, G., Taylor, P. A., Cox, R. W., &amp; Pessoa, L. (2020). Fighting or embracing multiplicity in neuroimaging? Neighborhood leverage versus global calibration. </w:t>
      </w:r>
      <w:r>
        <w:rPr>
          <w:i/>
          <w:iCs/>
        </w:rPr>
        <w:t>NeuroImage</w:t>
      </w:r>
      <w:r>
        <w:t xml:space="preserve">, </w:t>
      </w:r>
      <w:r>
        <w:rPr>
          <w:i/>
          <w:iCs/>
        </w:rPr>
        <w:t>206</w:t>
      </w:r>
      <w:r>
        <w:t xml:space="preserve">, 116320. </w:t>
      </w:r>
      <w:hyperlink r:id="rId27">
        <w:r w:rsidR="00AC772F">
          <w:rPr>
            <w:rStyle w:val="Hyperlink"/>
          </w:rPr>
          <w:t>https://doi.org/10.1016/j.neuroimage.2019.116320</w:t>
        </w:r>
      </w:hyperlink>
    </w:p>
    <w:p w14:paraId="2DCF6CF5" w14:textId="77777777" w:rsidR="00AC772F" w:rsidRDefault="00000000" w:rsidP="00654048">
      <w:pPr>
        <w:pStyle w:val="Bibliography"/>
        <w:spacing w:after="240" w:line="360" w:lineRule="auto"/>
      </w:pPr>
      <w:bookmarkStart w:id="34" w:name="ref-Cheverud2001"/>
      <w:bookmarkEnd w:id="33"/>
      <w:r>
        <w:lastRenderedPageBreak/>
        <w:t xml:space="preserve">Cheverud, J. M. (2001). A simple correction for multiple comparisons in interval mapping genome scans. </w:t>
      </w:r>
      <w:r>
        <w:rPr>
          <w:i/>
          <w:iCs/>
        </w:rPr>
        <w:t>Heredity</w:t>
      </w:r>
      <w:r>
        <w:t xml:space="preserve">, </w:t>
      </w:r>
      <w:r>
        <w:rPr>
          <w:i/>
          <w:iCs/>
        </w:rPr>
        <w:t>87</w:t>
      </w:r>
      <w:r>
        <w:t>(1), 52–58. https://doi.org/</w:t>
      </w:r>
      <w:hyperlink r:id="rId28">
        <w:r w:rsidR="00AC772F">
          <w:rPr>
            <w:rStyle w:val="Hyperlink"/>
          </w:rPr>
          <w:t>https://doi.org/10.1046/j.1365-2540.2001.00901.x</w:t>
        </w:r>
      </w:hyperlink>
    </w:p>
    <w:p w14:paraId="0993C4E7" w14:textId="77777777" w:rsidR="00AC772F" w:rsidRDefault="00000000" w:rsidP="00654048">
      <w:pPr>
        <w:pStyle w:val="Bibliography"/>
        <w:spacing w:after="240" w:line="360" w:lineRule="auto"/>
      </w:pPr>
      <w:bookmarkStart w:id="35" w:name="ref-Cohen1994"/>
      <w:bookmarkEnd w:id="34"/>
      <w:r>
        <w:t xml:space="preserve">Cohen, J. (1994). The earth is round (p </w:t>
      </w:r>
      <m:oMath>
        <m:r>
          <m:rPr>
            <m:sty m:val="p"/>
          </m:rPr>
          <w:rPr>
            <w:rFonts w:ascii="Cambria Math" w:hAnsi="Cambria Math"/>
          </w:rPr>
          <m:t>&lt;</m:t>
        </m:r>
      </m:oMath>
      <w:r>
        <w:t xml:space="preserve"> .05). </w:t>
      </w:r>
      <w:r>
        <w:rPr>
          <w:i/>
          <w:iCs/>
        </w:rPr>
        <w:t>American Psychologist</w:t>
      </w:r>
      <w:r>
        <w:t xml:space="preserve">, </w:t>
      </w:r>
      <w:r>
        <w:rPr>
          <w:i/>
          <w:iCs/>
        </w:rPr>
        <w:t>49</w:t>
      </w:r>
      <w:r>
        <w:t xml:space="preserve">(12), 997–1003. </w:t>
      </w:r>
      <w:hyperlink r:id="rId29">
        <w:r w:rsidR="00AC772F">
          <w:rPr>
            <w:rStyle w:val="Hyperlink"/>
          </w:rPr>
          <w:t>https://doi.org/10.1037/0003-066X.49.12.997</w:t>
        </w:r>
      </w:hyperlink>
    </w:p>
    <w:p w14:paraId="04F599DA" w14:textId="77777777" w:rsidR="00AC772F" w:rsidRDefault="00000000" w:rsidP="00654048">
      <w:pPr>
        <w:pStyle w:val="Bibliography"/>
        <w:spacing w:after="240" w:line="360" w:lineRule="auto"/>
      </w:pPr>
      <w:bookmarkStart w:id="36" w:name="ref-Dawid1994"/>
      <w:bookmarkEnd w:id="35"/>
      <w:r>
        <w:t xml:space="preserve">Dawid, A. P. (1994). Selection paradoxes of bayesian inference. </w:t>
      </w:r>
      <w:r>
        <w:rPr>
          <w:i/>
          <w:iCs/>
        </w:rPr>
        <w:t>Lecture Notes-Monograph Series</w:t>
      </w:r>
      <w:r>
        <w:t xml:space="preserve">, </w:t>
      </w:r>
      <w:r>
        <w:rPr>
          <w:i/>
          <w:iCs/>
        </w:rPr>
        <w:t>24</w:t>
      </w:r>
      <w:r>
        <w:t>, 211–220.</w:t>
      </w:r>
    </w:p>
    <w:p w14:paraId="5D1C020E" w14:textId="77777777" w:rsidR="00AC772F" w:rsidRPr="009D3981" w:rsidRDefault="00000000" w:rsidP="00654048">
      <w:pPr>
        <w:pStyle w:val="Bibliography"/>
        <w:spacing w:after="240" w:line="360" w:lineRule="auto"/>
        <w:rPr>
          <w:lang w:val="it-IT"/>
        </w:rPr>
      </w:pPr>
      <w:bookmarkStart w:id="37" w:name="ref-DeFinetti1975"/>
      <w:bookmarkEnd w:id="36"/>
      <w:r>
        <w:t xml:space="preserve">De Finetti, B. (2017). </w:t>
      </w:r>
      <w:r>
        <w:rPr>
          <w:i/>
          <w:iCs/>
        </w:rPr>
        <w:t>Theory of Probability: A Critical Introductory Treatment</w:t>
      </w:r>
      <w:r>
        <w:t xml:space="preserve"> (A. Machí &amp; A. Smith, Eds.; 1st ed.). </w:t>
      </w:r>
      <w:r w:rsidRPr="009D3981">
        <w:rPr>
          <w:lang w:val="it-IT"/>
        </w:rPr>
        <w:t xml:space="preserve">Wiley. </w:t>
      </w:r>
      <w:hyperlink r:id="rId30">
        <w:r w:rsidR="00AC772F" w:rsidRPr="009D3981">
          <w:rPr>
            <w:rStyle w:val="Hyperlink"/>
            <w:lang w:val="it-IT"/>
          </w:rPr>
          <w:t>https://doi.org/10.1002/9781119286387</w:t>
        </w:r>
      </w:hyperlink>
    </w:p>
    <w:p w14:paraId="1687C654" w14:textId="77777777" w:rsidR="00AC772F" w:rsidRDefault="00000000" w:rsidP="00654048">
      <w:pPr>
        <w:pStyle w:val="Bibliography"/>
        <w:spacing w:after="240" w:line="360" w:lineRule="auto"/>
      </w:pPr>
      <w:bookmarkStart w:id="38" w:name="ref-Giudice2021"/>
      <w:bookmarkEnd w:id="37"/>
      <w:r w:rsidRPr="009D3981">
        <w:rPr>
          <w:lang w:val="it-IT"/>
        </w:rPr>
        <w:t xml:space="preserve">Del Giudice, M. (2021). </w:t>
      </w:r>
      <w:proofErr w:type="spellStart"/>
      <w:r w:rsidRPr="009D3981">
        <w:rPr>
          <w:lang w:val="it-IT"/>
        </w:rPr>
        <w:t>Effective</w:t>
      </w:r>
      <w:proofErr w:type="spellEnd"/>
      <w:r w:rsidRPr="009D3981">
        <w:rPr>
          <w:lang w:val="it-IT"/>
        </w:rPr>
        <w:t xml:space="preserve"> </w:t>
      </w:r>
      <w:proofErr w:type="spellStart"/>
      <w:r w:rsidRPr="009D3981">
        <w:rPr>
          <w:lang w:val="it-IT"/>
        </w:rPr>
        <w:t>dimensionality</w:t>
      </w:r>
      <w:proofErr w:type="spellEnd"/>
      <w:r w:rsidRPr="009D3981">
        <w:rPr>
          <w:lang w:val="it-IT"/>
        </w:rPr>
        <w:t xml:space="preserve">: A tutorial. </w:t>
      </w:r>
      <w:r>
        <w:rPr>
          <w:i/>
          <w:iCs/>
        </w:rPr>
        <w:t>Multivariate Behavioral Research</w:t>
      </w:r>
      <w:r>
        <w:t xml:space="preserve">, </w:t>
      </w:r>
      <w:r>
        <w:rPr>
          <w:i/>
          <w:iCs/>
        </w:rPr>
        <w:t>56</w:t>
      </w:r>
      <w:r>
        <w:t>(3), 527–542.</w:t>
      </w:r>
    </w:p>
    <w:p w14:paraId="71D045ED" w14:textId="77777777" w:rsidR="00AC772F" w:rsidRDefault="00000000" w:rsidP="00654048">
      <w:pPr>
        <w:pStyle w:val="Bibliography"/>
        <w:spacing w:after="240" w:line="360" w:lineRule="auto"/>
      </w:pPr>
      <w:bookmarkStart w:id="39" w:name="ref-Edwards1963"/>
      <w:bookmarkEnd w:id="38"/>
      <w:r>
        <w:t xml:space="preserve">Edwards, W., Lindman, H., &amp; Savage, L. J. (1963). Bayesian statistical inference for psychological research. </w:t>
      </w:r>
      <w:r>
        <w:rPr>
          <w:i/>
          <w:iCs/>
        </w:rPr>
        <w:t>Psychological Review</w:t>
      </w:r>
      <w:r>
        <w:t xml:space="preserve">, </w:t>
      </w:r>
      <w:r>
        <w:rPr>
          <w:i/>
          <w:iCs/>
        </w:rPr>
        <w:t>70</w:t>
      </w:r>
      <w:r>
        <w:t>(3), 193.</w:t>
      </w:r>
    </w:p>
    <w:p w14:paraId="5E1784E4" w14:textId="77777777" w:rsidR="00AC772F" w:rsidRDefault="00000000" w:rsidP="00654048">
      <w:pPr>
        <w:pStyle w:val="Bibliography"/>
        <w:spacing w:after="240" w:line="360" w:lineRule="auto"/>
      </w:pPr>
      <w:bookmarkStart w:id="40" w:name="ref-Basket2015"/>
      <w:bookmarkEnd w:id="39"/>
      <w:r>
        <w:t xml:space="preserve">Erčulj, F., &amp; Štrumbelj, E. (2015). Basketball shot types and shot success in different levels of competitive basketball. </w:t>
      </w:r>
      <w:r>
        <w:rPr>
          <w:i/>
          <w:iCs/>
        </w:rPr>
        <w:t>PLOS ONE</w:t>
      </w:r>
      <w:r>
        <w:t xml:space="preserve">, </w:t>
      </w:r>
      <w:r>
        <w:rPr>
          <w:i/>
          <w:iCs/>
        </w:rPr>
        <w:t>10</w:t>
      </w:r>
      <w:r>
        <w:t xml:space="preserve">(6), 1–14. </w:t>
      </w:r>
      <w:hyperlink r:id="rId31">
        <w:r w:rsidR="00AC772F">
          <w:rPr>
            <w:rStyle w:val="Hyperlink"/>
          </w:rPr>
          <w:t>https://doi.org/10.1371/journal.pone.0128885</w:t>
        </w:r>
      </w:hyperlink>
    </w:p>
    <w:p w14:paraId="4751F8F7" w14:textId="77777777" w:rsidR="00AC772F" w:rsidRDefault="00000000" w:rsidP="00654048">
      <w:pPr>
        <w:pStyle w:val="Bibliography"/>
        <w:spacing w:after="240" w:line="360" w:lineRule="auto"/>
      </w:pPr>
      <w:bookmarkStart w:id="41" w:name="ref-GelmanBook"/>
      <w:bookmarkEnd w:id="40"/>
      <w:r>
        <w:t xml:space="preserve">Gelman, A., Carlin, J. B., Stern, H. S., Dunson, D. B., Vehtari, A., &amp; Rubin, D. B. (2013). </w:t>
      </w:r>
      <w:r>
        <w:rPr>
          <w:i/>
          <w:iCs/>
        </w:rPr>
        <w:t>Bayesian data analysis</w:t>
      </w:r>
      <w:r>
        <w:t xml:space="preserve"> (3rd ed.). Chapman; Hall/CRC. </w:t>
      </w:r>
      <w:hyperlink r:id="rId32">
        <w:r w:rsidR="00AC772F">
          <w:rPr>
            <w:rStyle w:val="Hyperlink"/>
          </w:rPr>
          <w:t>https://doi.org/10.1201/b16018</w:t>
        </w:r>
      </w:hyperlink>
    </w:p>
    <w:p w14:paraId="2EC90947" w14:textId="77777777" w:rsidR="00AC772F" w:rsidRDefault="00000000" w:rsidP="00654048">
      <w:pPr>
        <w:pStyle w:val="Bibliography"/>
        <w:spacing w:after="240" w:line="360" w:lineRule="auto"/>
      </w:pPr>
      <w:bookmarkStart w:id="42" w:name="ref-GelmanHennig2017"/>
      <w:bookmarkEnd w:id="41"/>
      <w:r>
        <w:t xml:space="preserve">Gelman, A., &amp; Hennig, C. (2017). Beyond subjective and objective in statistics. </w:t>
      </w:r>
      <w:r>
        <w:rPr>
          <w:i/>
          <w:iCs/>
        </w:rPr>
        <w:t>Journal of the Royal Statistical Society Series A: Statistics in Society</w:t>
      </w:r>
      <w:r>
        <w:t xml:space="preserve">, </w:t>
      </w:r>
      <w:r>
        <w:rPr>
          <w:i/>
          <w:iCs/>
        </w:rPr>
        <w:t>180</w:t>
      </w:r>
      <w:r>
        <w:t xml:space="preserve">(4), 967–1033. </w:t>
      </w:r>
      <w:hyperlink r:id="rId33">
        <w:r w:rsidR="00AC772F">
          <w:rPr>
            <w:rStyle w:val="Hyperlink"/>
          </w:rPr>
          <w:t>https://doi.org/10.1111/rssa.12276</w:t>
        </w:r>
      </w:hyperlink>
    </w:p>
    <w:p w14:paraId="7175B1B2" w14:textId="77777777" w:rsidR="00AC772F" w:rsidRDefault="00000000" w:rsidP="00654048">
      <w:pPr>
        <w:pStyle w:val="Bibliography"/>
        <w:spacing w:after="240" w:line="360" w:lineRule="auto"/>
      </w:pPr>
      <w:bookmarkStart w:id="43" w:name="ref-Gelman2012"/>
      <w:bookmarkEnd w:id="42"/>
      <w:r>
        <w:t xml:space="preserve">Gelman, A., Hill, J., &amp; Yajima, M. (2012). Why we (usually) don’t have to worry about multiple comparisons. </w:t>
      </w:r>
      <w:r>
        <w:rPr>
          <w:i/>
          <w:iCs/>
        </w:rPr>
        <w:t>Journal of Research on Educational Effectiveness</w:t>
      </w:r>
      <w:r>
        <w:t xml:space="preserve">, </w:t>
      </w:r>
      <w:r>
        <w:rPr>
          <w:i/>
          <w:iCs/>
        </w:rPr>
        <w:t>5</w:t>
      </w:r>
      <w:r>
        <w:t xml:space="preserve">(2), 189–211. </w:t>
      </w:r>
      <w:hyperlink r:id="rId34">
        <w:r w:rsidR="00AC772F">
          <w:rPr>
            <w:rStyle w:val="Hyperlink"/>
          </w:rPr>
          <w:t>https://doi.org/10.1080/19345747.2011.618213</w:t>
        </w:r>
      </w:hyperlink>
    </w:p>
    <w:p w14:paraId="4B2EEFC0" w14:textId="77777777" w:rsidR="00AC772F" w:rsidRDefault="00000000" w:rsidP="00654048">
      <w:pPr>
        <w:pStyle w:val="Bibliography"/>
        <w:spacing w:after="240" w:line="360" w:lineRule="auto"/>
      </w:pPr>
      <w:bookmarkStart w:id="44" w:name="ref-GelmanShalizi2013"/>
      <w:bookmarkEnd w:id="43"/>
      <w:r>
        <w:lastRenderedPageBreak/>
        <w:t xml:space="preserve">Gelman, A., &amp; Shalizi, C. R. (2013). Philosophy and the practice of bayesian statistics. </w:t>
      </w:r>
      <w:r>
        <w:rPr>
          <w:i/>
          <w:iCs/>
        </w:rPr>
        <w:t>British Journal of Mathematical and Statistical Psychology</w:t>
      </w:r>
      <w:r>
        <w:t xml:space="preserve">, </w:t>
      </w:r>
      <w:r>
        <w:rPr>
          <w:i/>
          <w:iCs/>
        </w:rPr>
        <w:t>66</w:t>
      </w:r>
      <w:r>
        <w:t>(1), 8–38. https://doi.org/</w:t>
      </w:r>
      <w:hyperlink r:id="rId35">
        <w:r w:rsidR="00AC772F">
          <w:rPr>
            <w:rStyle w:val="Hyperlink"/>
          </w:rPr>
          <w:t>https://doi.org/10.1111/j.2044-8317.2011.02037.x</w:t>
        </w:r>
      </w:hyperlink>
    </w:p>
    <w:p w14:paraId="62B07CC7" w14:textId="77777777" w:rsidR="00AC772F" w:rsidRDefault="00000000" w:rsidP="00654048">
      <w:pPr>
        <w:pStyle w:val="Bibliography"/>
        <w:spacing w:after="240" w:line="360" w:lineRule="auto"/>
      </w:pPr>
      <w:bookmarkStart w:id="45" w:name="ref-Gelman2000"/>
      <w:bookmarkEnd w:id="44"/>
      <w:r>
        <w:t xml:space="preserve">Gelman, A., &amp; Tuerlinckx, F. (2000). Type s error rates for classical and bayesian single and multiple comparison procedures. </w:t>
      </w:r>
      <w:r>
        <w:rPr>
          <w:i/>
          <w:iCs/>
        </w:rPr>
        <w:t>Computational Statistics</w:t>
      </w:r>
      <w:r>
        <w:t xml:space="preserve">, </w:t>
      </w:r>
      <w:r>
        <w:rPr>
          <w:i/>
          <w:iCs/>
        </w:rPr>
        <w:t>15</w:t>
      </w:r>
      <w:r>
        <w:t xml:space="preserve">(3), 373–390. </w:t>
      </w:r>
      <w:hyperlink r:id="rId36">
        <w:r w:rsidR="00AC772F">
          <w:rPr>
            <w:rStyle w:val="Hyperlink"/>
          </w:rPr>
          <w:t>https://doi.org/10.1007/s001800000040</w:t>
        </w:r>
      </w:hyperlink>
    </w:p>
    <w:p w14:paraId="27AFCAF1" w14:textId="77777777" w:rsidR="00AC772F" w:rsidRDefault="00000000" w:rsidP="00654048">
      <w:pPr>
        <w:pStyle w:val="Bibliography"/>
        <w:spacing w:after="240" w:line="360" w:lineRule="auto"/>
      </w:pPr>
      <w:bookmarkStart w:id="46" w:name="ref-Gigerenzer2004"/>
      <w:bookmarkEnd w:id="45"/>
      <w:r>
        <w:t xml:space="preserve">Gigerenzer, G. (2004). Mindless statistics. </w:t>
      </w:r>
      <w:r>
        <w:rPr>
          <w:i/>
          <w:iCs/>
        </w:rPr>
        <w:t>The Journal of Socio-Economics</w:t>
      </w:r>
      <w:r>
        <w:t xml:space="preserve">, </w:t>
      </w:r>
      <w:r>
        <w:rPr>
          <w:i/>
          <w:iCs/>
        </w:rPr>
        <w:t>33</w:t>
      </w:r>
      <w:r>
        <w:t>(5), 587–606. https://doi.org/</w:t>
      </w:r>
      <w:hyperlink r:id="rId37">
        <w:r w:rsidR="00AC772F">
          <w:rPr>
            <w:rStyle w:val="Hyperlink"/>
          </w:rPr>
          <w:t>https://doi.org/10.1016/j.socec.2004.09.033</w:t>
        </w:r>
      </w:hyperlink>
    </w:p>
    <w:p w14:paraId="1E094191" w14:textId="77777777" w:rsidR="00AC772F" w:rsidRDefault="00000000" w:rsidP="00654048">
      <w:pPr>
        <w:pStyle w:val="Bibliography"/>
        <w:spacing w:after="240" w:line="360" w:lineRule="auto"/>
      </w:pPr>
      <w:bookmarkStart w:id="47" w:name="ref-Heck2023"/>
      <w:bookmarkEnd w:id="46"/>
      <w:r>
        <w:t xml:space="preserve">Heck, D. W., Boehm, U., Böing-Messing, F., Bürkner, P.-C., Derks, K., Dienes, Z., Fu, Q., Gu, X., Karimova, D., Kiers, H. A., et al. (2023). A review of applications of the bayes factor in psychological research. </w:t>
      </w:r>
      <w:r>
        <w:rPr>
          <w:i/>
          <w:iCs/>
        </w:rPr>
        <w:t>Psychological Methods</w:t>
      </w:r>
      <w:r>
        <w:t xml:space="preserve">, </w:t>
      </w:r>
      <w:r>
        <w:rPr>
          <w:i/>
          <w:iCs/>
        </w:rPr>
        <w:t>28</w:t>
      </w:r>
      <w:r>
        <w:t>(3), 558.</w:t>
      </w:r>
    </w:p>
    <w:p w14:paraId="64250C20" w14:textId="77777777" w:rsidR="00AC772F" w:rsidRDefault="00000000" w:rsidP="00654048">
      <w:pPr>
        <w:pStyle w:val="Bibliography"/>
        <w:spacing w:after="240" w:line="360" w:lineRule="auto"/>
      </w:pPr>
      <w:bookmarkStart w:id="48" w:name="ref-Hogeveen2022"/>
      <w:bookmarkEnd w:id="47"/>
      <w:r>
        <w:t xml:space="preserve">Hogeveen, J., Mullins, T. S., Romero, J. D., Eversole, E., Rogge-Obando, K., Mayer, A. R., &amp; Costa, V. D. (2022). The neurocomputational bases of explore-exploit decision-making. </w:t>
      </w:r>
      <w:r>
        <w:rPr>
          <w:i/>
          <w:iCs/>
        </w:rPr>
        <w:t>Neuron</w:t>
      </w:r>
      <w:r>
        <w:t xml:space="preserve">, </w:t>
      </w:r>
      <w:r>
        <w:rPr>
          <w:i/>
          <w:iCs/>
        </w:rPr>
        <w:t>110</w:t>
      </w:r>
      <w:r>
        <w:t xml:space="preserve">(11), 1869–1879.e5. </w:t>
      </w:r>
      <w:hyperlink r:id="rId38">
        <w:r w:rsidR="00AC772F">
          <w:rPr>
            <w:rStyle w:val="Hyperlink"/>
          </w:rPr>
          <w:t>https://doi.org/10.1016/j.neuron.2022.03.014</w:t>
        </w:r>
      </w:hyperlink>
    </w:p>
    <w:p w14:paraId="7C4F0728" w14:textId="77777777" w:rsidR="00AC772F" w:rsidRDefault="00000000" w:rsidP="00654048">
      <w:pPr>
        <w:pStyle w:val="Bibliography"/>
        <w:spacing w:after="240" w:line="360" w:lineRule="auto"/>
      </w:pPr>
      <w:bookmarkStart w:id="49" w:name="ref-Hoijtink2016"/>
      <w:bookmarkEnd w:id="48"/>
      <w:r>
        <w:t xml:space="preserve">Hoijtink, H., Kooten, P. van, &amp; Hulsker, K. (2016). Why bayesian psychologists should change the way they use the bayes factor. </w:t>
      </w:r>
      <w:r>
        <w:rPr>
          <w:i/>
          <w:iCs/>
        </w:rPr>
        <w:t>Multivariate Behavioral Research</w:t>
      </w:r>
      <w:r>
        <w:t xml:space="preserve">, </w:t>
      </w:r>
      <w:r>
        <w:rPr>
          <w:i/>
          <w:iCs/>
        </w:rPr>
        <w:t>51</w:t>
      </w:r>
      <w:r>
        <w:t>(1), 2–10.</w:t>
      </w:r>
    </w:p>
    <w:p w14:paraId="7ED27A12" w14:textId="77777777" w:rsidR="00AC772F" w:rsidRDefault="00000000" w:rsidP="00654048">
      <w:pPr>
        <w:pStyle w:val="Bibliography"/>
        <w:spacing w:after="240" w:line="360" w:lineRule="auto"/>
      </w:pPr>
      <w:bookmarkStart w:id="50" w:name="ref-Jeffreys1938"/>
      <w:bookmarkEnd w:id="49"/>
      <w:r>
        <w:t xml:space="preserve">Jeffreys, H. (1938). Significance tests when several degrees of freedom arise simultaneously. </w:t>
      </w:r>
      <w:r>
        <w:rPr>
          <w:i/>
          <w:iCs/>
        </w:rPr>
        <w:t>Proceedings of the Royal Society of London. Series A. Mathematical and Physical Sciences</w:t>
      </w:r>
      <w:r>
        <w:t xml:space="preserve">, </w:t>
      </w:r>
      <w:r>
        <w:rPr>
          <w:i/>
          <w:iCs/>
        </w:rPr>
        <w:t>165</w:t>
      </w:r>
      <w:r>
        <w:t xml:space="preserve">(921), 161–198. </w:t>
      </w:r>
      <w:hyperlink r:id="rId39">
        <w:r w:rsidR="00AC772F">
          <w:rPr>
            <w:rStyle w:val="Hyperlink"/>
          </w:rPr>
          <w:t>https://doi.org/10.1098/rspa.1938.0052</w:t>
        </w:r>
      </w:hyperlink>
    </w:p>
    <w:p w14:paraId="6BA1FDFF" w14:textId="77777777" w:rsidR="00AC772F" w:rsidRDefault="00000000" w:rsidP="00654048">
      <w:pPr>
        <w:pStyle w:val="Bibliography"/>
        <w:spacing w:after="240" w:line="360" w:lineRule="auto"/>
      </w:pPr>
      <w:bookmarkStart w:id="51" w:name="ref-Jevremov2024"/>
      <w:bookmarkEnd w:id="50"/>
      <w:r>
        <w:t xml:space="preserve">Jevremov, T., &amp; Pajić, D. (2024). Bayesian method in psychology: A bibliometric analysis. </w:t>
      </w:r>
      <w:r>
        <w:rPr>
          <w:i/>
          <w:iCs/>
        </w:rPr>
        <w:t>Current Psychology</w:t>
      </w:r>
      <w:r>
        <w:t xml:space="preserve">, </w:t>
      </w:r>
      <w:r>
        <w:rPr>
          <w:i/>
          <w:iCs/>
        </w:rPr>
        <w:t>43</w:t>
      </w:r>
      <w:r>
        <w:t>(10), 8644–8654.</w:t>
      </w:r>
    </w:p>
    <w:p w14:paraId="409A0A69" w14:textId="77777777" w:rsidR="00AC772F" w:rsidRDefault="00000000" w:rsidP="00654048">
      <w:pPr>
        <w:pStyle w:val="Bibliography"/>
        <w:spacing w:after="240" w:line="360" w:lineRule="auto"/>
      </w:pPr>
      <w:bookmarkStart w:id="52" w:name="ref-Kelter2023"/>
      <w:bookmarkEnd w:id="51"/>
      <w:r>
        <w:t xml:space="preserve">Kelter, R. (2023). How to choose between different bayesian posterior indices for hypothesis testing in practice. </w:t>
      </w:r>
      <w:r>
        <w:rPr>
          <w:i/>
          <w:iCs/>
        </w:rPr>
        <w:t>Multivariate Behavioral Research</w:t>
      </w:r>
      <w:r>
        <w:t xml:space="preserve">, </w:t>
      </w:r>
      <w:r>
        <w:rPr>
          <w:i/>
          <w:iCs/>
        </w:rPr>
        <w:t>58</w:t>
      </w:r>
      <w:r>
        <w:t>(1), 160–188.</w:t>
      </w:r>
    </w:p>
    <w:p w14:paraId="708E31D6" w14:textId="77777777" w:rsidR="00AC772F" w:rsidRDefault="00000000" w:rsidP="00654048">
      <w:pPr>
        <w:pStyle w:val="Bibliography"/>
        <w:spacing w:after="240" w:line="360" w:lineRule="auto"/>
      </w:pPr>
      <w:bookmarkStart w:id="53" w:name="ref-Kruschke2011"/>
      <w:bookmarkEnd w:id="52"/>
      <w:r>
        <w:lastRenderedPageBreak/>
        <w:t xml:space="preserve">Kruschke, J. K. (2011). Bayesian assessment of null values via parameter estimation and model comparison. </w:t>
      </w:r>
      <w:r>
        <w:rPr>
          <w:i/>
          <w:iCs/>
        </w:rPr>
        <w:t>Perspectives on Psychological Science</w:t>
      </w:r>
      <w:r>
        <w:t xml:space="preserve">, </w:t>
      </w:r>
      <w:r>
        <w:rPr>
          <w:i/>
          <w:iCs/>
        </w:rPr>
        <w:t>6</w:t>
      </w:r>
      <w:r>
        <w:t xml:space="preserve">(3), 299–312. </w:t>
      </w:r>
      <w:hyperlink r:id="rId40">
        <w:r w:rsidR="00AC772F">
          <w:rPr>
            <w:rStyle w:val="Hyperlink"/>
          </w:rPr>
          <w:t>https://doi.org/10.1177/1745691611406925</w:t>
        </w:r>
      </w:hyperlink>
    </w:p>
    <w:p w14:paraId="1A1ADAD3" w14:textId="77777777" w:rsidR="00AC772F" w:rsidRDefault="00000000" w:rsidP="00654048">
      <w:pPr>
        <w:pStyle w:val="Bibliography"/>
        <w:spacing w:after="240" w:line="360" w:lineRule="auto"/>
      </w:pPr>
      <w:bookmarkStart w:id="54" w:name="ref-Kruschke2018"/>
      <w:bookmarkEnd w:id="53"/>
      <w:r>
        <w:t xml:space="preserve">Kruschke, J. K. (2018). Rejecting or Accepting Parameter Values in Bayesian Estimation. </w:t>
      </w:r>
      <w:r>
        <w:rPr>
          <w:i/>
          <w:iCs/>
        </w:rPr>
        <w:t>Advances in Methods and Practices in Psychological Science</w:t>
      </w:r>
      <w:r>
        <w:t xml:space="preserve">, </w:t>
      </w:r>
      <w:r>
        <w:rPr>
          <w:i/>
          <w:iCs/>
        </w:rPr>
        <w:t>1</w:t>
      </w:r>
      <w:r>
        <w:t xml:space="preserve">(2), 270–280. </w:t>
      </w:r>
      <w:hyperlink r:id="rId41">
        <w:r w:rsidR="00AC772F">
          <w:rPr>
            <w:rStyle w:val="Hyperlink"/>
          </w:rPr>
          <w:t>https://doi.org/10.1177/2515245918771304</w:t>
        </w:r>
      </w:hyperlink>
    </w:p>
    <w:p w14:paraId="1349A2B4" w14:textId="77777777" w:rsidR="00AC772F" w:rsidRDefault="00000000" w:rsidP="00654048">
      <w:pPr>
        <w:pStyle w:val="Bibliography"/>
        <w:spacing w:after="240" w:line="360" w:lineRule="auto"/>
      </w:pPr>
      <w:bookmarkStart w:id="55" w:name="ref-Sesoi2018"/>
      <w:bookmarkEnd w:id="54"/>
      <w:r>
        <w:t xml:space="preserve">Lakens, D., Scheel, A. M., &amp; Isager, P. M. (2018). Equivalence testing for psychological research: A tutorial. </w:t>
      </w:r>
      <w:r>
        <w:rPr>
          <w:i/>
          <w:iCs/>
        </w:rPr>
        <w:t>Advances in Methods and Practices in Psychological Science</w:t>
      </w:r>
      <w:r>
        <w:t xml:space="preserve">, </w:t>
      </w:r>
      <w:r>
        <w:rPr>
          <w:i/>
          <w:iCs/>
        </w:rPr>
        <w:t>1</w:t>
      </w:r>
      <w:r>
        <w:t xml:space="preserve">(2), 259–269. </w:t>
      </w:r>
      <w:hyperlink r:id="rId42">
        <w:r w:rsidR="00AC772F">
          <w:rPr>
            <w:rStyle w:val="Hyperlink"/>
          </w:rPr>
          <w:t>https://doi.org/10.1177/2515245918770963</w:t>
        </w:r>
      </w:hyperlink>
    </w:p>
    <w:p w14:paraId="0AF382E6" w14:textId="77777777" w:rsidR="00AC772F" w:rsidRDefault="00000000" w:rsidP="00654048">
      <w:pPr>
        <w:pStyle w:val="Bibliography"/>
        <w:spacing w:after="240" w:line="360" w:lineRule="auto"/>
      </w:pPr>
      <w:bookmarkStart w:id="56" w:name="ref-Li2005"/>
      <w:bookmarkEnd w:id="55"/>
      <w:r>
        <w:t xml:space="preserve">Li, J., &amp; Ji, L. (2005). Adjusting multiple testing in multilocus analyses using the eigenvalues of a correlation matrix. </w:t>
      </w:r>
      <w:r>
        <w:rPr>
          <w:i/>
          <w:iCs/>
        </w:rPr>
        <w:t>Heredity</w:t>
      </w:r>
      <w:r>
        <w:t xml:space="preserve">, </w:t>
      </w:r>
      <w:r>
        <w:rPr>
          <w:i/>
          <w:iCs/>
        </w:rPr>
        <w:t>95</w:t>
      </w:r>
      <w:r>
        <w:t>(3), 221–227.</w:t>
      </w:r>
    </w:p>
    <w:p w14:paraId="3AF16B2D" w14:textId="77777777" w:rsidR="00AC772F" w:rsidRDefault="00000000" w:rsidP="00654048">
      <w:pPr>
        <w:pStyle w:val="Bibliography"/>
        <w:spacing w:after="240" w:line="360" w:lineRule="auto"/>
      </w:pPr>
      <w:bookmarkStart w:id="57" w:name="ref-Limbachia2021"/>
      <w:bookmarkEnd w:id="56"/>
      <w:r>
        <w:t xml:space="preserve">Limbachia, C., Morrow, K., Khibovska, A., Meyer, C., Padmala, S., &amp; Pessoa, L. (2021). Controllability over stressor decreases responses in key threat-related brain areas. </w:t>
      </w:r>
      <w:r>
        <w:rPr>
          <w:i/>
          <w:iCs/>
        </w:rPr>
        <w:t>Communications Biology</w:t>
      </w:r>
      <w:r>
        <w:t xml:space="preserve">, </w:t>
      </w:r>
      <w:r>
        <w:rPr>
          <w:i/>
          <w:iCs/>
        </w:rPr>
        <w:t>4</w:t>
      </w:r>
      <w:r>
        <w:t xml:space="preserve">(1), 42. </w:t>
      </w:r>
      <w:hyperlink r:id="rId43">
        <w:r w:rsidR="00AC772F">
          <w:rPr>
            <w:rStyle w:val="Hyperlink"/>
          </w:rPr>
          <w:t>https://doi.org/10.1038/s42003-020-01537-5</w:t>
        </w:r>
      </w:hyperlink>
    </w:p>
    <w:p w14:paraId="5AA96AF9" w14:textId="77777777" w:rsidR="00AC772F" w:rsidRDefault="00000000" w:rsidP="00654048">
      <w:pPr>
        <w:pStyle w:val="Bibliography"/>
        <w:spacing w:after="240" w:line="360" w:lineRule="auto"/>
      </w:pPr>
      <w:bookmarkStart w:id="58" w:name="ref-Lindley1972"/>
      <w:bookmarkEnd w:id="57"/>
      <w:r>
        <w:t xml:space="preserve">Lindley, D. V. (1972). Bayesian statistics a review. In </w:t>
      </w:r>
      <w:r>
        <w:rPr>
          <w:i/>
          <w:iCs/>
        </w:rPr>
        <w:t>Bayesian statistics</w:t>
      </w:r>
      <w:r>
        <w:t xml:space="preserve"> (pp. 1–74). Society for Industrial; Applied Mathematics. </w:t>
      </w:r>
      <w:hyperlink r:id="rId44">
        <w:r w:rsidR="00AC772F">
          <w:rPr>
            <w:rStyle w:val="Hyperlink"/>
          </w:rPr>
          <w:t>https://doi.org/10.1137/1.9781611970654.ch1</w:t>
        </w:r>
      </w:hyperlink>
    </w:p>
    <w:p w14:paraId="3079B331" w14:textId="77777777" w:rsidR="00AC772F" w:rsidRDefault="00000000" w:rsidP="00654048">
      <w:pPr>
        <w:pStyle w:val="Bibliography"/>
        <w:spacing w:after="240" w:line="360" w:lineRule="auto"/>
      </w:pPr>
      <w:bookmarkStart w:id="59" w:name="ref-Makowski2019"/>
      <w:bookmarkEnd w:id="58"/>
      <w:r>
        <w:t xml:space="preserve">Makowski, D., Ben-Shachar, M. S., Chen, S. H. A., &amp; Lüdecke, D. (2019). Indices of effect existence and significance in the bayesian framework. </w:t>
      </w:r>
      <w:r>
        <w:rPr>
          <w:i/>
          <w:iCs/>
        </w:rPr>
        <w:t>Frontiers in Psychology</w:t>
      </w:r>
      <w:r>
        <w:t xml:space="preserve">, </w:t>
      </w:r>
      <w:r>
        <w:rPr>
          <w:i/>
          <w:iCs/>
        </w:rPr>
        <w:t>Volume 10 - 2019</w:t>
      </w:r>
      <w:r>
        <w:t xml:space="preserve">. </w:t>
      </w:r>
      <w:hyperlink r:id="rId45">
        <w:r w:rsidR="00AC772F">
          <w:rPr>
            <w:rStyle w:val="Hyperlink"/>
          </w:rPr>
          <w:t>https://doi.org/10.3389/fpsyg.2019.02767</w:t>
        </w:r>
      </w:hyperlink>
    </w:p>
    <w:p w14:paraId="47DC2562" w14:textId="77777777" w:rsidR="00AC772F" w:rsidRDefault="00000000" w:rsidP="00654048">
      <w:pPr>
        <w:pStyle w:val="Bibliography"/>
        <w:spacing w:after="240" w:line="360" w:lineRule="auto"/>
      </w:pPr>
      <w:bookmarkStart w:id="60" w:name="ref-Marsman2017"/>
      <w:bookmarkEnd w:id="59"/>
      <w:r>
        <w:t xml:space="preserve">Marsman, M., &amp; Wagenmakers, E.-J. (2017). Three insights from a bayesian interpretation of the one-sided p value. </w:t>
      </w:r>
      <w:r>
        <w:rPr>
          <w:i/>
          <w:iCs/>
        </w:rPr>
        <w:t>Educational and Psychological Measurement</w:t>
      </w:r>
      <w:r>
        <w:t xml:space="preserve">, </w:t>
      </w:r>
      <w:r>
        <w:rPr>
          <w:i/>
          <w:iCs/>
        </w:rPr>
        <w:t>77</w:t>
      </w:r>
      <w:r>
        <w:t xml:space="preserve">(3), 529–539. </w:t>
      </w:r>
      <w:hyperlink r:id="rId46">
        <w:r w:rsidR="00AC772F">
          <w:rPr>
            <w:rStyle w:val="Hyperlink"/>
          </w:rPr>
          <w:t>https://doi.org/10.1177/0013164416669201</w:t>
        </w:r>
      </w:hyperlink>
    </w:p>
    <w:p w14:paraId="6392FE7C" w14:textId="77777777" w:rsidR="00AC772F" w:rsidRDefault="00000000" w:rsidP="00654048">
      <w:pPr>
        <w:pStyle w:val="Bibliography"/>
        <w:spacing w:after="240" w:line="360" w:lineRule="auto"/>
      </w:pPr>
      <w:bookmarkStart w:id="61" w:name="ref-Mathar2022"/>
      <w:bookmarkEnd w:id="60"/>
      <w:r>
        <w:t xml:space="preserve">Mathar, D., Erfanian Abdoust, M., Marrenbach, T., Tuzsus, D., &amp; Peters, J. (2022). The catecholamine precursor tyrosine reduces autonomic arousal and decreases decision thresholds in reinforcement learning and temporal discounting. </w:t>
      </w:r>
      <w:r>
        <w:rPr>
          <w:i/>
          <w:iCs/>
        </w:rPr>
        <w:t>PLOS Computational Biology</w:t>
      </w:r>
      <w:r>
        <w:t xml:space="preserve">, </w:t>
      </w:r>
      <w:r>
        <w:rPr>
          <w:i/>
          <w:iCs/>
        </w:rPr>
        <w:t>18</w:t>
      </w:r>
      <w:r>
        <w:t xml:space="preserve">(12). </w:t>
      </w:r>
      <w:hyperlink r:id="rId47">
        <w:r w:rsidR="00AC772F">
          <w:rPr>
            <w:rStyle w:val="Hyperlink"/>
          </w:rPr>
          <w:t>https://doi.org/10.1371/journal.pcbi.1010785</w:t>
        </w:r>
      </w:hyperlink>
    </w:p>
    <w:p w14:paraId="1939CBBE" w14:textId="77777777" w:rsidR="00AC772F" w:rsidRDefault="00000000" w:rsidP="00654048">
      <w:pPr>
        <w:pStyle w:val="Bibliography"/>
        <w:spacing w:after="240" w:line="360" w:lineRule="auto"/>
      </w:pPr>
      <w:bookmarkStart w:id="62" w:name="ref-Mayo2018"/>
      <w:bookmarkEnd w:id="61"/>
      <w:r>
        <w:lastRenderedPageBreak/>
        <w:t xml:space="preserve">Mayo, D. G. (2018). </w:t>
      </w:r>
      <w:r>
        <w:rPr>
          <w:i/>
          <w:iCs/>
        </w:rPr>
        <w:t>Statistical inference as severe testing: How to get beyond the statistics wars</w:t>
      </w:r>
      <w:r>
        <w:t>. Cambridge University Press.</w:t>
      </w:r>
    </w:p>
    <w:p w14:paraId="5949F2B1" w14:textId="77777777" w:rsidR="00AC772F" w:rsidRDefault="00000000" w:rsidP="00654048">
      <w:pPr>
        <w:pStyle w:val="Bibliography"/>
        <w:spacing w:after="240" w:line="360" w:lineRule="auto"/>
      </w:pPr>
      <w:bookmarkStart w:id="63" w:name="ref-Pfadt2025"/>
      <w:bookmarkEnd w:id="62"/>
      <w:r>
        <w:t xml:space="preserve">Pfadt, J. M., Bartoš, F., Godmann, H. R., Waaijers, M., Groot, L., Heo, I., et al. (2025, October 30). </w:t>
      </w:r>
      <w:r>
        <w:rPr>
          <w:i/>
          <w:iCs/>
        </w:rPr>
        <w:t>A methodological metamorphosis: The rapid rise of bayesian inference and open science practices in psychology</w:t>
      </w:r>
      <w:r>
        <w:t xml:space="preserve">. OSF Preprints. </w:t>
      </w:r>
      <w:hyperlink r:id="rId48">
        <w:r w:rsidR="00AC772F">
          <w:rPr>
            <w:rStyle w:val="Hyperlink"/>
          </w:rPr>
          <w:t>https://doi.org/10.31234/osf.io/ck3js_v1</w:t>
        </w:r>
      </w:hyperlink>
    </w:p>
    <w:p w14:paraId="04F052C3" w14:textId="77777777" w:rsidR="00AC772F" w:rsidRDefault="00000000" w:rsidP="00654048">
      <w:pPr>
        <w:pStyle w:val="Bibliography"/>
        <w:spacing w:after="240" w:line="360" w:lineRule="auto"/>
      </w:pPr>
      <w:bookmarkStart w:id="64" w:name="ref-Pruzek2016"/>
      <w:bookmarkEnd w:id="63"/>
      <w:r>
        <w:t xml:space="preserve">Pruzek, R. M. (2016). </w:t>
      </w:r>
      <w:r>
        <w:rPr>
          <w:i/>
          <w:iCs/>
        </w:rPr>
        <w:t>An introduction to bayesian inference and its applications</w:t>
      </w:r>
      <w:r>
        <w:t xml:space="preserve"> (pp. 305–334). Routledge.</w:t>
      </w:r>
    </w:p>
    <w:p w14:paraId="12A3A9E1" w14:textId="77777777" w:rsidR="00AC772F" w:rsidRDefault="00000000" w:rsidP="00654048">
      <w:pPr>
        <w:pStyle w:val="Bibliography"/>
        <w:spacing w:after="240" w:line="360" w:lineRule="auto"/>
      </w:pPr>
      <w:bookmarkStart w:id="65" w:name="ref-Rozeboom1960"/>
      <w:bookmarkEnd w:id="64"/>
      <w:r>
        <w:t xml:space="preserve">Rozeboom, W. W. (1960). The fallacy of the null-hypothesis significance test. </w:t>
      </w:r>
      <w:r>
        <w:rPr>
          <w:i/>
          <w:iCs/>
        </w:rPr>
        <w:t>Psychological Bulletin</w:t>
      </w:r>
      <w:r>
        <w:t xml:space="preserve">, </w:t>
      </w:r>
      <w:r>
        <w:rPr>
          <w:i/>
          <w:iCs/>
        </w:rPr>
        <w:t>57</w:t>
      </w:r>
      <w:r>
        <w:t xml:space="preserve">(5), 416–428. </w:t>
      </w:r>
      <w:hyperlink r:id="rId49">
        <w:r w:rsidR="00AC772F">
          <w:rPr>
            <w:rStyle w:val="Hyperlink"/>
          </w:rPr>
          <w:t>https://doi.org/10.1037/h0042040</w:t>
        </w:r>
      </w:hyperlink>
    </w:p>
    <w:p w14:paraId="2BB8E891" w14:textId="77777777" w:rsidR="00AC772F" w:rsidRDefault="00000000" w:rsidP="00654048">
      <w:pPr>
        <w:pStyle w:val="Bibliography"/>
        <w:spacing w:after="240" w:line="360" w:lineRule="auto"/>
      </w:pPr>
      <w:bookmarkStart w:id="66" w:name="ref-Rubin1984"/>
      <w:bookmarkEnd w:id="65"/>
      <w:r>
        <w:t xml:space="preserve">Rubin, D. B. (1984). Bayesianly justifiable and relevant frequency calculations for the applied statistician. </w:t>
      </w:r>
      <w:r>
        <w:rPr>
          <w:i/>
          <w:iCs/>
        </w:rPr>
        <w:t>The Annals of Statistics</w:t>
      </w:r>
      <w:r>
        <w:t xml:space="preserve">, </w:t>
      </w:r>
      <w:r>
        <w:rPr>
          <w:i/>
          <w:iCs/>
        </w:rPr>
        <w:t>12</w:t>
      </w:r>
      <w:r>
        <w:t xml:space="preserve">(4), 1151–1172. </w:t>
      </w:r>
      <w:hyperlink r:id="rId50">
        <w:r w:rsidR="00AC772F">
          <w:rPr>
            <w:rStyle w:val="Hyperlink"/>
          </w:rPr>
          <w:t>https://doi.org/10.1214/aos/1176346785</w:t>
        </w:r>
      </w:hyperlink>
    </w:p>
    <w:p w14:paraId="6FBED59E" w14:textId="77777777" w:rsidR="00AC772F" w:rsidRDefault="00000000" w:rsidP="00654048">
      <w:pPr>
        <w:pStyle w:val="Bibliography"/>
        <w:spacing w:after="240" w:line="360" w:lineRule="auto"/>
      </w:pPr>
      <w:bookmarkStart w:id="67" w:name="ref-Schnell2020"/>
      <w:bookmarkEnd w:id="66"/>
      <w:r>
        <w:t xml:space="preserve">Schnell, P. M., Fiecas, M., &amp; Carlin, B. P. (2020). </w:t>
      </w:r>
      <w:r>
        <w:rPr>
          <w:b/>
          <w:bCs/>
        </w:rPr>
        <w:t>credsubs</w:t>
      </w:r>
      <w:r>
        <w:t xml:space="preserve"> : Multiplicity-adjusted subset identification. </w:t>
      </w:r>
      <w:r>
        <w:rPr>
          <w:i/>
          <w:iCs/>
        </w:rPr>
        <w:t>Journal of Statistical Software</w:t>
      </w:r>
      <w:r>
        <w:t xml:space="preserve">, </w:t>
      </w:r>
      <w:r>
        <w:rPr>
          <w:i/>
          <w:iCs/>
        </w:rPr>
        <w:t>94</w:t>
      </w:r>
      <w:r>
        <w:t xml:space="preserve">(7). </w:t>
      </w:r>
      <w:hyperlink r:id="rId51">
        <w:r w:rsidR="00AC772F">
          <w:rPr>
            <w:rStyle w:val="Hyperlink"/>
          </w:rPr>
          <w:t>https://doi.org/10.18637/jss.v094.i07</w:t>
        </w:r>
      </w:hyperlink>
    </w:p>
    <w:p w14:paraId="07161187" w14:textId="77777777" w:rsidR="00AC772F" w:rsidRDefault="00000000" w:rsidP="00654048">
      <w:pPr>
        <w:pStyle w:val="Bibliography"/>
        <w:spacing w:after="240" w:line="360" w:lineRule="auto"/>
      </w:pPr>
      <w:bookmarkStart w:id="68" w:name="ref-Scott2006"/>
      <w:bookmarkEnd w:id="67"/>
      <w:r>
        <w:t xml:space="preserve">Scott, J. G., &amp; Berger, J. O. (2006). An exploration of aspects of bayesian multiple testing. </w:t>
      </w:r>
      <w:r>
        <w:rPr>
          <w:i/>
          <w:iCs/>
        </w:rPr>
        <w:t>Journal of Statistical Planning and Inference</w:t>
      </w:r>
      <w:r>
        <w:t xml:space="preserve">, </w:t>
      </w:r>
      <w:r>
        <w:rPr>
          <w:i/>
          <w:iCs/>
        </w:rPr>
        <w:t>136</w:t>
      </w:r>
      <w:r>
        <w:t>(7), 2144–2162.</w:t>
      </w:r>
    </w:p>
    <w:p w14:paraId="74AB1692" w14:textId="77777777" w:rsidR="00AC772F" w:rsidRDefault="00000000" w:rsidP="00654048">
      <w:pPr>
        <w:pStyle w:val="Bibliography"/>
        <w:spacing w:after="240" w:line="360" w:lineRule="auto"/>
      </w:pPr>
      <w:bookmarkStart w:id="69" w:name="ref-Scott2010"/>
      <w:bookmarkEnd w:id="68"/>
      <w:r>
        <w:t xml:space="preserve">Scott, J. G., &amp; Berger, J. O. (2010). Bayes and empirical-Bayes multiplicity adjustment in the variable-selection problem. </w:t>
      </w:r>
      <w:r>
        <w:rPr>
          <w:i/>
          <w:iCs/>
        </w:rPr>
        <w:t>The Annals of Statistics</w:t>
      </w:r>
      <w:r>
        <w:t xml:space="preserve">, </w:t>
      </w:r>
      <w:r>
        <w:rPr>
          <w:i/>
          <w:iCs/>
        </w:rPr>
        <w:t>38</w:t>
      </w:r>
      <w:r>
        <w:t xml:space="preserve">(5), 2587–2619. </w:t>
      </w:r>
      <w:hyperlink r:id="rId52">
        <w:r w:rsidR="00AC772F">
          <w:rPr>
            <w:rStyle w:val="Hyperlink"/>
          </w:rPr>
          <w:t>https://doi.org/10.1214/10-AOS792</w:t>
        </w:r>
      </w:hyperlink>
    </w:p>
    <w:p w14:paraId="628DD786" w14:textId="77777777" w:rsidR="00AC772F" w:rsidRDefault="00000000" w:rsidP="00654048">
      <w:pPr>
        <w:pStyle w:val="Bibliography"/>
        <w:spacing w:after="240" w:line="360" w:lineRule="auto"/>
      </w:pPr>
      <w:bookmarkStart w:id="70" w:name="ref-Smid2020"/>
      <w:bookmarkEnd w:id="69"/>
      <w:r>
        <w:t xml:space="preserve">Smid, S. C., &amp; Winter, S. D. (2020). Dangers of the defaults: A tutorial on the impact of default priors when using bayesian SEM with small samples. </w:t>
      </w:r>
      <w:r>
        <w:rPr>
          <w:i/>
          <w:iCs/>
        </w:rPr>
        <w:t>Frontiers in Psychology</w:t>
      </w:r>
      <w:r>
        <w:t xml:space="preserve">, </w:t>
      </w:r>
      <w:r>
        <w:rPr>
          <w:i/>
          <w:iCs/>
        </w:rPr>
        <w:t>Volume 11 - 2020</w:t>
      </w:r>
      <w:r>
        <w:t xml:space="preserve">. </w:t>
      </w:r>
      <w:hyperlink r:id="rId53">
        <w:r w:rsidR="00AC772F">
          <w:rPr>
            <w:rStyle w:val="Hyperlink"/>
          </w:rPr>
          <w:t>https://doi.org/10.3389/fpsyg.2020.611963</w:t>
        </w:r>
      </w:hyperlink>
    </w:p>
    <w:p w14:paraId="76920C83" w14:textId="77777777" w:rsidR="00AC772F" w:rsidRDefault="00000000" w:rsidP="00654048">
      <w:pPr>
        <w:pStyle w:val="Bibliography"/>
        <w:spacing w:after="240" w:line="360" w:lineRule="auto"/>
      </w:pPr>
      <w:bookmarkStart w:id="71" w:name="ref-Tendeiro2019"/>
      <w:bookmarkEnd w:id="70"/>
      <w:r>
        <w:t xml:space="preserve">Tendeiro, J. N., &amp; Kiers, H. A. (2019). A review of issues about null hypothesis bayesian testing. </w:t>
      </w:r>
      <w:r>
        <w:rPr>
          <w:i/>
          <w:iCs/>
        </w:rPr>
        <w:t>Psychological Methods</w:t>
      </w:r>
      <w:r>
        <w:t xml:space="preserve">, </w:t>
      </w:r>
      <w:r>
        <w:rPr>
          <w:i/>
          <w:iCs/>
        </w:rPr>
        <w:t>24</w:t>
      </w:r>
      <w:r>
        <w:t>(6), 774.</w:t>
      </w:r>
    </w:p>
    <w:p w14:paraId="5BF6FFD0" w14:textId="77777777" w:rsidR="00AC772F" w:rsidRDefault="00000000" w:rsidP="00654048">
      <w:pPr>
        <w:pStyle w:val="Bibliography"/>
        <w:spacing w:after="240" w:line="360" w:lineRule="auto"/>
      </w:pPr>
      <w:bookmarkStart w:id="72" w:name="ref-Tendeiro2024"/>
      <w:bookmarkEnd w:id="71"/>
      <w:r>
        <w:lastRenderedPageBreak/>
        <w:t xml:space="preserve">Tendeiro, J. N., Kiers, H. A., Hoekstra, R., Wong, T. K., &amp; Morey, R. D. (2024). Diagnosing the misuse of the bayes factor in applied research. </w:t>
      </w:r>
      <w:r>
        <w:rPr>
          <w:i/>
          <w:iCs/>
        </w:rPr>
        <w:t>Advances in Methods and Practices in Psychological Science</w:t>
      </w:r>
      <w:r>
        <w:t xml:space="preserve">, </w:t>
      </w:r>
      <w:r>
        <w:rPr>
          <w:i/>
          <w:iCs/>
        </w:rPr>
        <w:t>7</w:t>
      </w:r>
      <w:r>
        <w:t>(1), 25152459231213371.</w:t>
      </w:r>
    </w:p>
    <w:p w14:paraId="2DC0C2ED" w14:textId="77777777" w:rsidR="00AC772F" w:rsidRDefault="00000000" w:rsidP="00654048">
      <w:pPr>
        <w:pStyle w:val="Bibliography"/>
        <w:spacing w:after="240" w:line="360" w:lineRule="auto"/>
      </w:pPr>
      <w:bookmarkStart w:id="73" w:name="ref-Van2017"/>
      <w:bookmarkEnd w:id="72"/>
      <w:r>
        <w:t xml:space="preserve">Van De Schoot, R., Winter, S. D., Ryan, O., Zondervan-Zwijnenburg, M., &amp; Depaoli, S. (2017). A systematic review of bayesian articles in psychology: The last 25 years. </w:t>
      </w:r>
      <w:r>
        <w:rPr>
          <w:i/>
          <w:iCs/>
        </w:rPr>
        <w:t>Psychological Methods</w:t>
      </w:r>
      <w:r>
        <w:t xml:space="preserve">, </w:t>
      </w:r>
      <w:r>
        <w:rPr>
          <w:i/>
          <w:iCs/>
        </w:rPr>
        <w:t>22</w:t>
      </w:r>
      <w:r>
        <w:t>(2), 217.</w:t>
      </w:r>
    </w:p>
    <w:p w14:paraId="5702DB4F" w14:textId="77777777" w:rsidR="00AC772F" w:rsidRDefault="00000000" w:rsidP="00654048">
      <w:pPr>
        <w:pStyle w:val="Bibliography"/>
        <w:spacing w:after="240" w:line="360" w:lineRule="auto"/>
      </w:pPr>
      <w:bookmarkStart w:id="74" w:name="ref-Westfall1997"/>
      <w:bookmarkEnd w:id="73"/>
      <w:r>
        <w:t xml:space="preserve">Westfall, P. H., Johnson, W. O., &amp; Utts, J. M. (1997). A bayesian perspective on the bonferroni adjustment. </w:t>
      </w:r>
      <w:r>
        <w:rPr>
          <w:i/>
          <w:iCs/>
        </w:rPr>
        <w:t>Biometrika</w:t>
      </w:r>
      <w:r>
        <w:t xml:space="preserve">, </w:t>
      </w:r>
      <w:r>
        <w:rPr>
          <w:i/>
          <w:iCs/>
        </w:rPr>
        <w:t>84</w:t>
      </w:r>
      <w:r>
        <w:t>(2), 419–427.</w:t>
      </w:r>
    </w:p>
    <w:p w14:paraId="23A43E0B" w14:textId="77777777" w:rsidR="00AC772F" w:rsidRPr="009D3981" w:rsidRDefault="00000000" w:rsidP="00654048">
      <w:pPr>
        <w:pStyle w:val="Bibliography"/>
        <w:spacing w:after="240" w:line="360" w:lineRule="auto"/>
        <w:rPr>
          <w:lang w:val="it-IT"/>
        </w:rPr>
      </w:pPr>
      <w:bookmarkStart w:id="75" w:name="ref-Zwet2021"/>
      <w:bookmarkEnd w:id="74"/>
      <w:r>
        <w:t xml:space="preserve">Zwet, E. van, &amp; Cator, E. A. (2021). The significance filter, the winner’s curse and the need to shrink. </w:t>
      </w:r>
      <w:r w:rsidRPr="009D3981">
        <w:rPr>
          <w:i/>
          <w:iCs/>
          <w:lang w:val="it-IT"/>
        </w:rPr>
        <w:t xml:space="preserve">Statistica </w:t>
      </w:r>
      <w:proofErr w:type="spellStart"/>
      <w:r w:rsidRPr="009D3981">
        <w:rPr>
          <w:i/>
          <w:iCs/>
          <w:lang w:val="it-IT"/>
        </w:rPr>
        <w:t>Neerlandica</w:t>
      </w:r>
      <w:proofErr w:type="spellEnd"/>
      <w:r w:rsidRPr="009D3981">
        <w:rPr>
          <w:lang w:val="it-IT"/>
        </w:rPr>
        <w:t xml:space="preserve">, </w:t>
      </w:r>
      <w:r w:rsidRPr="009D3981">
        <w:rPr>
          <w:i/>
          <w:iCs/>
          <w:lang w:val="it-IT"/>
        </w:rPr>
        <w:t>75</w:t>
      </w:r>
      <w:r w:rsidRPr="009D3981">
        <w:rPr>
          <w:lang w:val="it-IT"/>
        </w:rPr>
        <w:t xml:space="preserve">(4), 437–452. </w:t>
      </w:r>
      <w:hyperlink r:id="rId54">
        <w:r w:rsidR="00AC772F" w:rsidRPr="009D3981">
          <w:rPr>
            <w:rStyle w:val="Hyperlink"/>
            <w:lang w:val="it-IT"/>
          </w:rPr>
          <w:t>https://doi.org/10.1111/stan.12241</w:t>
        </w:r>
      </w:hyperlink>
    </w:p>
    <w:p w14:paraId="6EECE563" w14:textId="77777777" w:rsidR="00AC772F" w:rsidRDefault="00000000" w:rsidP="00654048">
      <w:pPr>
        <w:pStyle w:val="Bibliography"/>
        <w:spacing w:after="240" w:line="360" w:lineRule="auto"/>
      </w:pPr>
      <w:bookmarkStart w:id="76" w:name="ref-Zwet2022"/>
      <w:bookmarkEnd w:id="75"/>
      <w:proofErr w:type="spellStart"/>
      <w:r w:rsidRPr="009D3981">
        <w:rPr>
          <w:lang w:val="it-IT"/>
        </w:rPr>
        <w:t>Zwet</w:t>
      </w:r>
      <w:proofErr w:type="spellEnd"/>
      <w:r w:rsidRPr="009D3981">
        <w:rPr>
          <w:lang w:val="it-IT"/>
        </w:rPr>
        <w:t xml:space="preserve">, E. van, &amp; </w:t>
      </w:r>
      <w:proofErr w:type="spellStart"/>
      <w:r w:rsidRPr="009D3981">
        <w:rPr>
          <w:lang w:val="it-IT"/>
        </w:rPr>
        <w:t>Gelman</w:t>
      </w:r>
      <w:proofErr w:type="spellEnd"/>
      <w:r w:rsidRPr="009D3981">
        <w:rPr>
          <w:lang w:val="it-IT"/>
        </w:rPr>
        <w:t xml:space="preserve">, A. (2022). </w:t>
      </w:r>
      <w:r>
        <w:t xml:space="preserve">A proposal for informative default priors scaled by the standard error of estimates. </w:t>
      </w:r>
      <w:r>
        <w:rPr>
          <w:i/>
          <w:iCs/>
        </w:rPr>
        <w:t>The American Statistician</w:t>
      </w:r>
      <w:r>
        <w:t xml:space="preserve">, </w:t>
      </w:r>
      <w:r>
        <w:rPr>
          <w:i/>
          <w:iCs/>
        </w:rPr>
        <w:t>76</w:t>
      </w:r>
      <w:r>
        <w:t xml:space="preserve">(1), 1–9. </w:t>
      </w:r>
      <w:hyperlink r:id="rId55">
        <w:r w:rsidR="00AC772F">
          <w:rPr>
            <w:rStyle w:val="Hyperlink"/>
          </w:rPr>
          <w:t>https://doi.org/10.1080/00031305.2021.1938225</w:t>
        </w:r>
      </w:hyperlink>
      <w:bookmarkEnd w:id="23"/>
      <w:bookmarkEnd w:id="25"/>
      <w:bookmarkEnd w:id="76"/>
    </w:p>
    <w:sectPr w:rsidR="00AC772F">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37CD" w14:textId="77777777" w:rsidR="00691570" w:rsidRDefault="00691570">
      <w:pPr>
        <w:spacing w:line="240" w:lineRule="auto"/>
      </w:pPr>
      <w:r>
        <w:separator/>
      </w:r>
    </w:p>
  </w:endnote>
  <w:endnote w:type="continuationSeparator" w:id="0">
    <w:p w14:paraId="39D73330" w14:textId="77777777" w:rsidR="00691570" w:rsidRDefault="00691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99B9"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B509"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86F8"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4D012" w14:textId="77777777" w:rsidR="00691570" w:rsidRDefault="00691570">
      <w:pPr>
        <w:spacing w:line="240" w:lineRule="auto"/>
      </w:pPr>
      <w:r>
        <w:separator/>
      </w:r>
    </w:p>
  </w:footnote>
  <w:footnote w:type="continuationSeparator" w:id="0">
    <w:p w14:paraId="2CC3416C" w14:textId="77777777" w:rsidR="00691570" w:rsidRDefault="006915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50BA"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399D"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9D3981">
          <w:t>PROBABILITY OF DIRECTION UNDER MULTIPLICITY</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52F41E1E"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0C50"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87870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0844544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2E12"/>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525A5"/>
    <w:rsid w:val="00387689"/>
    <w:rsid w:val="003B7C65"/>
    <w:rsid w:val="003D2E3A"/>
    <w:rsid w:val="003D73FF"/>
    <w:rsid w:val="004023D3"/>
    <w:rsid w:val="004544C0"/>
    <w:rsid w:val="00464B44"/>
    <w:rsid w:val="00467A7C"/>
    <w:rsid w:val="00496CB8"/>
    <w:rsid w:val="004D17CF"/>
    <w:rsid w:val="004D4137"/>
    <w:rsid w:val="004D5CEB"/>
    <w:rsid w:val="004E2B8F"/>
    <w:rsid w:val="0051128C"/>
    <w:rsid w:val="005203E2"/>
    <w:rsid w:val="00534551"/>
    <w:rsid w:val="005528BA"/>
    <w:rsid w:val="005566BA"/>
    <w:rsid w:val="00565B1E"/>
    <w:rsid w:val="005665F3"/>
    <w:rsid w:val="00586C23"/>
    <w:rsid w:val="00602337"/>
    <w:rsid w:val="006122FA"/>
    <w:rsid w:val="00633291"/>
    <w:rsid w:val="00654048"/>
    <w:rsid w:val="00661B64"/>
    <w:rsid w:val="00691570"/>
    <w:rsid w:val="006A7CEE"/>
    <w:rsid w:val="006D3C7F"/>
    <w:rsid w:val="00717963"/>
    <w:rsid w:val="00772034"/>
    <w:rsid w:val="007868AB"/>
    <w:rsid w:val="007A1B2A"/>
    <w:rsid w:val="007C4E27"/>
    <w:rsid w:val="007E2A5D"/>
    <w:rsid w:val="00801C81"/>
    <w:rsid w:val="008124C4"/>
    <w:rsid w:val="0083560B"/>
    <w:rsid w:val="00852579"/>
    <w:rsid w:val="00852D8C"/>
    <w:rsid w:val="00852EE8"/>
    <w:rsid w:val="0086288E"/>
    <w:rsid w:val="008F27BE"/>
    <w:rsid w:val="00932B9C"/>
    <w:rsid w:val="009638C5"/>
    <w:rsid w:val="009B29FD"/>
    <w:rsid w:val="009B41AF"/>
    <w:rsid w:val="009D3981"/>
    <w:rsid w:val="00A072AF"/>
    <w:rsid w:val="00A16B10"/>
    <w:rsid w:val="00A46245"/>
    <w:rsid w:val="00A82821"/>
    <w:rsid w:val="00A946AC"/>
    <w:rsid w:val="00AC3115"/>
    <w:rsid w:val="00AC772F"/>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2F6F"/>
    <w:rsid w:val="00C4693A"/>
    <w:rsid w:val="00C84525"/>
    <w:rsid w:val="00CA071F"/>
    <w:rsid w:val="00CB7758"/>
    <w:rsid w:val="00CE01EB"/>
    <w:rsid w:val="00D11429"/>
    <w:rsid w:val="00D630B7"/>
    <w:rsid w:val="00D807FA"/>
    <w:rsid w:val="00DA752F"/>
    <w:rsid w:val="00DB4D47"/>
    <w:rsid w:val="00DE772F"/>
    <w:rsid w:val="00DF10A6"/>
    <w:rsid w:val="00E1483C"/>
    <w:rsid w:val="00E401D3"/>
    <w:rsid w:val="00E401FC"/>
    <w:rsid w:val="00E528E7"/>
    <w:rsid w:val="00E71E11"/>
    <w:rsid w:val="00E868AE"/>
    <w:rsid w:val="00E90878"/>
    <w:rsid w:val="00E93CA2"/>
    <w:rsid w:val="00EA4191"/>
    <w:rsid w:val="00EA785F"/>
    <w:rsid w:val="00EA7B31"/>
    <w:rsid w:val="00F13DD4"/>
    <w:rsid w:val="00F2390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B5B64"/>
  <w15:docId w15:val="{D8748C3E-324C-8A42-8147-10CCA7F3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FollowedHyperlink">
    <w:name w:val="FollowedHyperlink"/>
    <w:basedOn w:val="DefaultParagraphFont"/>
    <w:semiHidden/>
    <w:unhideWhenUsed/>
    <w:rsid w:val="004D41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rgherita.calderan@unipd.it" TargetMode="External"/><Relationship Id="rId18" Type="http://schemas.openxmlformats.org/officeDocument/2006/relationships/image" Target="media/image7.png"/><Relationship Id="rId26" Type="http://schemas.openxmlformats.org/officeDocument/2006/relationships/hyperlink" Target="https://doi.org/10.1080/01621459.1987.10478396" TargetMode="External"/><Relationship Id="rId39" Type="http://schemas.openxmlformats.org/officeDocument/2006/relationships/hyperlink" Target="https://doi.org/10.1098/rspa.1938.0052" TargetMode="External"/><Relationship Id="rId21" Type="http://schemas.openxmlformats.org/officeDocument/2006/relationships/hyperlink" Target="https://doi.org/10.3389/fpsyg.2019.02893" TargetMode="External"/><Relationship Id="rId34" Type="http://schemas.openxmlformats.org/officeDocument/2006/relationships/hyperlink" Target="https://doi.org/10.1080/19345747.2011.618213" TargetMode="External"/><Relationship Id="rId42" Type="http://schemas.openxmlformats.org/officeDocument/2006/relationships/hyperlink" Target="https://doi.org/10.1177/2515245918770963" TargetMode="External"/><Relationship Id="rId47" Type="http://schemas.openxmlformats.org/officeDocument/2006/relationships/hyperlink" Target="https://doi.org/10.1371/journal.pcbi.1010785" TargetMode="External"/><Relationship Id="rId50" Type="http://schemas.openxmlformats.org/officeDocument/2006/relationships/hyperlink" Target="https://doi.org/10.1214/aos/1176346785" TargetMode="External"/><Relationship Id="rId55" Type="http://schemas.openxmlformats.org/officeDocument/2006/relationships/hyperlink" Target="https://doi.org/10.1080/00031305.2021.1938225"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37/0003-066X.49.12.997" TargetMode="External"/><Relationship Id="rId11" Type="http://schemas.openxmlformats.org/officeDocument/2006/relationships/hyperlink" Target="https://orcid.org/0000-0002-1404-5133" TargetMode="External"/><Relationship Id="rId24" Type="http://schemas.openxmlformats.org/officeDocument/2006/relationships/hyperlink" Target="http://www.jstor.org/stable/2982063" TargetMode="External"/><Relationship Id="rId32" Type="http://schemas.openxmlformats.org/officeDocument/2006/relationships/hyperlink" Target="https://doi.org/10.1201/b16018" TargetMode="External"/><Relationship Id="rId37" Type="http://schemas.openxmlformats.org/officeDocument/2006/relationships/hyperlink" Target="https://doi.org/10.1016/j.socec.2004.09.033" TargetMode="External"/><Relationship Id="rId40" Type="http://schemas.openxmlformats.org/officeDocument/2006/relationships/hyperlink" Target="https://doi.org/10.1177/1745691611406925" TargetMode="External"/><Relationship Id="rId45" Type="http://schemas.openxmlformats.org/officeDocument/2006/relationships/hyperlink" Target="https://doi.org/10.3389/fpsyg.2019.02767" TargetMode="External"/><Relationship Id="rId53" Type="http://schemas.openxmlformats.org/officeDocument/2006/relationships/hyperlink" Target="https://doi.org/10.3389/fpsyg.2020.611963"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doi.org/10.1002/9780470316870" TargetMode="External"/><Relationship Id="rId27" Type="http://schemas.openxmlformats.org/officeDocument/2006/relationships/hyperlink" Target="https://doi.org/10.1016/j.neuroimage.2019.116320" TargetMode="External"/><Relationship Id="rId30" Type="http://schemas.openxmlformats.org/officeDocument/2006/relationships/hyperlink" Target="https://doi.org/10.1002/9781119286387" TargetMode="External"/><Relationship Id="rId35" Type="http://schemas.openxmlformats.org/officeDocument/2006/relationships/hyperlink" Target="https://doi.org/10.1111/j.2044-8317.2011.02037.x" TargetMode="External"/><Relationship Id="rId43" Type="http://schemas.openxmlformats.org/officeDocument/2006/relationships/hyperlink" Target="https://doi.org/10.1038/s42003-020-01537-5" TargetMode="External"/><Relationship Id="rId48" Type="http://schemas.openxmlformats.org/officeDocument/2006/relationships/hyperlink" Target="https://doi.org/10.31234/osf.io/ck3js_v1" TargetMode="External"/><Relationship Id="rId56" Type="http://schemas.openxmlformats.org/officeDocument/2006/relationships/header" Target="header1.xml"/><Relationship Id="rId8" Type="http://schemas.openxmlformats.org/officeDocument/2006/relationships/image" Target="media/image2.svg"/><Relationship Id="rId51" Type="http://schemas.openxmlformats.org/officeDocument/2006/relationships/hyperlink" Target="https://doi.org/10.18637/jss.v094.i07" TargetMode="External"/><Relationship Id="rId3" Type="http://schemas.openxmlformats.org/officeDocument/2006/relationships/settings" Target="settings.xml"/><Relationship Id="rId12" Type="http://schemas.openxmlformats.org/officeDocument/2006/relationships/hyperlink" Target="https://orcid.org/0000-0003-1254-9528" TargetMode="External"/><Relationship Id="rId17" Type="http://schemas.openxmlformats.org/officeDocument/2006/relationships/image" Target="media/image6.png"/><Relationship Id="rId25" Type="http://schemas.openxmlformats.org/officeDocument/2006/relationships/hyperlink" Target="https://doi.org/10.1002/9781118033197" TargetMode="External"/><Relationship Id="rId33" Type="http://schemas.openxmlformats.org/officeDocument/2006/relationships/hyperlink" Target="https://doi.org/10.1111/rssa.12276" TargetMode="External"/><Relationship Id="rId38" Type="http://schemas.openxmlformats.org/officeDocument/2006/relationships/hyperlink" Target="https://doi.org/10.1016/j.neuron.2022.03.014" TargetMode="External"/><Relationship Id="rId46" Type="http://schemas.openxmlformats.org/officeDocument/2006/relationships/hyperlink" Target="https://doi.org/10.1177/0013164416669201" TargetMode="External"/><Relationship Id="rId59"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hyperlink" Target="https://doi.org/10.1177/2515245918771304" TargetMode="External"/><Relationship Id="rId54" Type="http://schemas.openxmlformats.org/officeDocument/2006/relationships/hyperlink" Target="https://doi.org/10.1111/stan.12241"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016/S0378-3758(99)00044-0" TargetMode="External"/><Relationship Id="rId28" Type="http://schemas.openxmlformats.org/officeDocument/2006/relationships/hyperlink" Target="https://doi.org/10.1046/j.1365-2540.2001.00901.x" TargetMode="External"/><Relationship Id="rId36" Type="http://schemas.openxmlformats.org/officeDocument/2006/relationships/hyperlink" Target="https://doi.org/10.1007/s001800000040" TargetMode="External"/><Relationship Id="rId49" Type="http://schemas.openxmlformats.org/officeDocument/2006/relationships/hyperlink" Target="https://doi.org/10.1037/h0042040" TargetMode="External"/><Relationship Id="rId57" Type="http://schemas.openxmlformats.org/officeDocument/2006/relationships/header" Target="header2.xml"/><Relationship Id="rId10" Type="http://schemas.openxmlformats.org/officeDocument/2006/relationships/hyperlink" Target="https://orcid.org/0000-0002-6666-1747" TargetMode="External"/><Relationship Id="rId31" Type="http://schemas.openxmlformats.org/officeDocument/2006/relationships/hyperlink" Target="https://doi.org/10.1371/journal.pone.0128885" TargetMode="External"/><Relationship Id="rId44" Type="http://schemas.openxmlformats.org/officeDocument/2006/relationships/hyperlink" Target="https://doi.org/10.1137/1.9781611970654.ch1" TargetMode="External"/><Relationship Id="rId52" Type="http://schemas.openxmlformats.org/officeDocument/2006/relationships/hyperlink" Target="https://doi.org/10.1214/10-AOS792"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orcid.org/0009-0005-5668-5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6331</Words>
  <Characters>36088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Margherita Calderan</dc:creator>
  <cp:keywords>probability of direction, multiple testing, prior-odds</cp:keywords>
  <dc:description>PROBABILITY OF DIRECTION UNDER MULTIPLICITY</dc:description>
  <cp:lastModifiedBy>Margherita Calderan</cp:lastModifiedBy>
  <cp:revision>5</cp:revision>
  <dcterms:created xsi:type="dcterms:W3CDTF">2026-01-13T16:29:00Z</dcterms:created>
  <dcterms:modified xsi:type="dcterms:W3CDTF">2026-01-13T16:55:00Z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In psychological research, Bayesian analyses are often summarized using posterior indices and then interpreted with conventional cutoffs across many parameters. The probability of direction (pd) is one such index, defined as the posterior probability that a parameter is greater or smaller than a null value. When pd is thresholded and used repeatedly, multiplicity becomes consequential but is rarely handled explicitly. Here, we examine the operating characteristics of pd under repeated use by leveraging its correspondence with the frequentist p-value under common settings. Simulations show that extreme pd can arise by chance and that misleading conclusions become more frequent as the number of tests increases. We further express pd in terms of posterior odds and propose prior-odds adjustments that provide multiplicity control while preserving Bayesian coherence. To support practical implementation, we provide an R package that applies the proposed prior-odds corrections.</vt:lpwstr>
  </property>
  <property fmtid="{D5CDD505-2E9C-101B-9397-08002B2CF9AE}" pid="5" name="apaauthor">
    <vt:lpwstr/>
  </property>
  <property fmtid="{D5CDD505-2E9C-101B-9397-08002B2CF9AE}" pid="6" name="apasubtitle">
    <vt:lpwstr>A Rationale for Prior-odds Adjustment</vt:lpwstr>
  </property>
  <property fmtid="{D5CDD505-2E9C-101B-9397-08002B2CF9AE}" pid="7" name="apatitle">
    <vt:lpwstr>Multiple Probabilities of Direction</vt:lpwstr>
  </property>
  <property fmtid="{D5CDD505-2E9C-101B-9397-08002B2CF9AE}" pid="8" name="apatitledisplay">
    <vt:lpwstr>Multiple Probabilities of Direction: A Rationale for Prior-odds Adjustment</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ection-title">
    <vt:lpwstr>References</vt:lpwstr>
  </property>
  <property fmtid="{D5CDD505-2E9C-101B-9397-08002B2CF9AE}" pid="32" name="references">
    <vt:lpwstr/>
  </property>
  <property fmtid="{D5CDD505-2E9C-101B-9397-08002B2CF9AE}" pid="33" name="revealjs-plugins">
    <vt:lpwstr/>
  </property>
  <property fmtid="{D5CDD505-2E9C-101B-9397-08002B2CF9AE}" pid="34" name="shorttitle">
    <vt:lpwstr>PROBABILITY OF DIRECTION UNDER MULTIPLICITY</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zerocitations">
    <vt:lpwstr>False</vt:lpwstr>
  </property>
</Properties>
</file>