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20.svg" ContentType="image/svg+xml"/>
  <Override PartName="/word/media/rId71.png" ContentType="image/png"/>
  <Override PartName="/word/media/rId62.png" ContentType="image/png"/>
  <Override PartName="/word/media/rId66.png" ContentType="image/png"/>
  <Override PartName="/word/media/rId47.png" ContentType="image/png"/>
  <Override PartName="/word/media/rId57.png" ContentType="image/png"/>
  <Override PartName="/word/media/rId52.png" ContentType="image/png"/>
  <Override PartName="/word/media/rId23.png" ContentType="image/png"/>
  <Override PartName="/word/media/rId28.png" ContentType="image/png"/>
  <Override PartName="/word/media/rId33.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w:t>
      </w:r>
    </w:p>
    <w:p>
      <w:pPr>
        <w:pStyle w:val="BodyText"/>
      </w:pPr>
      <w:r>
        <w:t xml:space="preserve"> </w:t>
      </w:r>
    </w:p>
    <w:bookmarkStart w:id="42" w:name="title"/>
    <w:p>
      <w:pPr>
        <w:pStyle w:val="Heading1"/>
      </w:pPr>
      <w:r>
        <w:t xml:space="preserve">A Prior-Odds Adjustment for the Probability of Direction in Multiple Testing</w:t>
      </w:r>
    </w:p>
    <w:p>
      <w:pPr>
        <w:pStyle w:val="Author"/>
      </w:pPr>
      <w:r>
        <w:t xml:space="preserve"> </w:t>
      </w:r>
    </w:p>
    <w:p>
      <w:pPr>
        <w:pStyle w:val="Author"/>
      </w:pPr>
      <w:r>
        <w:t xml:space="preserve">Margherita Calderan</w:t>
      </w:r>
      <w:r>
        <w:rPr>
          <w:vertAlign w:val="superscript"/>
        </w:rPr>
        <w:t xml:space="preserve">1,2</w:t>
      </w:r>
      <w:r>
        <w:t xml:space="preserve">, Filippo Gambarota</w:t>
      </w:r>
      <w:r>
        <w:rPr>
          <w:vertAlign w:val="superscript"/>
        </w:rPr>
        <w:t xml:space="preserve">1</w:t>
      </w:r>
      <w:r>
        <w:t xml:space="preserve">, Livio Finos</w:t>
      </w:r>
      <w:r>
        <w:rPr>
          <w:vertAlign w:val="superscript"/>
        </w:rPr>
        <w:t xml:space="preserve">3,4</w:t>
      </w:r>
      <w:r>
        <w:t xml:space="preserve">, and Gianmarco Altoè</w:t>
      </w:r>
      <w:r>
        <w:rPr>
          <w:vertAlign w:val="superscript"/>
        </w:rPr>
        <w:t xml:space="preserve">1</w:t>
      </w:r>
    </w:p>
    <w:p>
      <w:pPr>
        <w:pStyle w:val="Author"/>
      </w:pPr>
      <w:r>
        <w:rPr>
          <w:vertAlign w:val="superscript"/>
        </w:rPr>
        <w:t xml:space="preserve">1</w:t>
      </w:r>
      <w:r>
        <w:t xml:space="preserve">Department of Developmental Psychology and Socialization, University of Padova</w:t>
      </w:r>
    </w:p>
    <w:p>
      <w:pPr>
        <w:pStyle w:val="Author"/>
      </w:pPr>
      <w:r>
        <w:rPr>
          <w:vertAlign w:val="superscript"/>
        </w:rPr>
        <w:t xml:space="preserve">2</w:t>
      </w:r>
      <w:r>
        <w:t xml:space="preserve">Department of General Psychology, University of Padova</w:t>
      </w:r>
    </w:p>
    <w:p>
      <w:pPr>
        <w:pStyle w:val="Author"/>
      </w:pPr>
      <w:r>
        <w:rPr>
          <w:vertAlign w:val="superscript"/>
        </w:rPr>
        <w:t xml:space="preserve">3</w:t>
      </w:r>
      <w:r>
        <w:t xml:space="preserve">Department of Statistical Sciences, University of Padova</w:t>
      </w:r>
    </w:p>
    <w:p>
      <w:pPr>
        <w:pStyle w:val="Author"/>
      </w:pPr>
      <w:r>
        <w:rPr>
          <w:vertAlign w:val="superscript"/>
        </w:rPr>
        <w:t xml:space="preserve">4</w:t>
      </w:r>
      <w:r>
        <w:t xml:space="preserve">Padova Neuroscience Center, University of Padova</w:t>
      </w:r>
    </w:p>
    <w:p>
      <w:pPr>
        <w:pStyle w:val="BodyText"/>
      </w:pPr>
      <w:r>
        <w:t xml:space="preserve">Margherita Calderan</w:t>
      </w:r>
      <w:r>
        <w:t xml:space="preserve"> </w:t>
      </w:r>
      <w:bookmarkStart w:id="24" w:name="orcid"/>
      <w:r>
        <w:drawing>
          <wp:inline>
            <wp:extent cx="152279" cy="152279"/>
            <wp:effectExtent b="0" l="0" r="0" t="0"/>
            <wp:docPr descr="Orcid ID Logo: A green circle with white letters ID" title="" id="21" name="Picture"/>
            <a:graphic>
              <a:graphicData uri="http://schemas.openxmlformats.org/drawingml/2006/picture">
                <pic:pic>
                  <pic:nvPicPr>
                    <pic:cNvPr descr="_extensions/wjschne/apaquarto/ORCID-iD_icon-vector.svg" id="22" name="Picture"/>
                    <pic:cNvPicPr>
                      <a:picLocks noChangeArrowheads="1" noChangeAspect="1"/>
                    </pic:cNvPicPr>
                  </pic:nvPicPr>
                  <pic:blipFill>
                    <a:blip r:embed="rId23">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24"/>
      <w:r>
        <w:t xml:space="preserve"> </w:t>
      </w:r>
      <w:hyperlink r:id="rId25">
        <w:r>
          <w:rPr>
            <w:rStyle w:val="Hyperlink"/>
          </w:rPr>
          <w:t xml:space="preserve">https://orcid.org/0009-0005-5668-5162</w:t>
        </w:r>
      </w:hyperlink>
    </w:p>
    <w:p>
      <w:pPr>
        <w:pStyle w:val="BodyText"/>
      </w:pPr>
      <w:r>
        <w:t xml:space="preserve">Filippo Gambarota</w:t>
      </w:r>
      <w:r>
        <w:t xml:space="preserve"> </w:t>
      </w:r>
      <w:bookmarkStart w:id="29" w:name="orcid"/>
      <w:r>
        <w:drawing>
          <wp:inline>
            <wp:extent cx="152279" cy="152279"/>
            <wp:effectExtent b="0" l="0" r="0" t="0"/>
            <wp:docPr descr="Orcid ID Logo: A green circle with white letters ID" title="" id="26" name="Picture"/>
            <a:graphic>
              <a:graphicData uri="http://schemas.openxmlformats.org/drawingml/2006/picture">
                <pic:pic>
                  <pic:nvPicPr>
                    <pic:cNvPr descr="_extensions/wjschne/apaquarto/ORCID-iD_icon-vector.svg" id="27" name="Picture"/>
                    <pic:cNvPicPr>
                      <a:picLocks noChangeArrowheads="1" noChangeAspect="1"/>
                    </pic:cNvPicPr>
                  </pic:nvPicPr>
                  <pic:blipFill>
                    <a:blip r:embed="rId28">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29"/>
      <w:r>
        <w:t xml:space="preserve"> </w:t>
      </w:r>
      <w:hyperlink r:id="rId30">
        <w:r>
          <w:rPr>
            <w:rStyle w:val="Hyperlink"/>
          </w:rPr>
          <w:t xml:space="preserve">https://orcid.org/0000-0002-6666-1747</w:t>
        </w:r>
      </w:hyperlink>
    </w:p>
    <w:p>
      <w:pPr>
        <w:pStyle w:val="BodyText"/>
      </w:pPr>
      <w:r>
        <w:t xml:space="preserve">Livio Finos</w:t>
      </w:r>
      <w:r>
        <w:t xml:space="preserve"> </w:t>
      </w:r>
      <w:bookmarkStart w:id="34" w:name="orcid"/>
      <w:r>
        <w:drawing>
          <wp:inline>
            <wp:extent cx="152279" cy="152279"/>
            <wp:effectExtent b="0" l="0" r="0" t="0"/>
            <wp:docPr descr="Orcid ID Logo: A green circle with white letters ID" title="" id="31" name="Picture"/>
            <a:graphic>
              <a:graphicData uri="http://schemas.openxmlformats.org/drawingml/2006/picture">
                <pic:pic>
                  <pic:nvPicPr>
                    <pic:cNvPr descr="_extensions/wjschne/apaquarto/ORCID-iD_icon-vector.svg" id="32" name="Picture"/>
                    <pic:cNvPicPr>
                      <a:picLocks noChangeArrowheads="1" noChangeAspect="1"/>
                    </pic:cNvPicPr>
                  </pic:nvPicPr>
                  <pic:blipFill>
                    <a:blip r:embed="rId33">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34"/>
      <w:r>
        <w:t xml:space="preserve"> </w:t>
      </w:r>
      <w:hyperlink r:id="rId35">
        <w:r>
          <w:rPr>
            <w:rStyle w:val="Hyperlink"/>
          </w:rPr>
          <w:t xml:space="preserve">https://orcid.org/0000-0003-3181-8078</w:t>
        </w:r>
      </w:hyperlink>
    </w:p>
    <w:p>
      <w:pPr>
        <w:pStyle w:val="BodyText"/>
      </w:pPr>
      <w:r>
        <w:t xml:space="preserve">Gianmarco Altoè</w:t>
      </w:r>
      <w:r>
        <w:t xml:space="preserve"> </w:t>
      </w:r>
      <w:bookmarkStart w:id="39" w:name="orcid"/>
      <w:r>
        <w:drawing>
          <wp:inline>
            <wp:extent cx="152279" cy="152279"/>
            <wp:effectExtent b="0" l="0" r="0" t="0"/>
            <wp:docPr descr="Orcid ID Logo: A green circle with white letters ID" title="" id="36" name="Picture"/>
            <a:graphic>
              <a:graphicData uri="http://schemas.openxmlformats.org/drawingml/2006/picture">
                <pic:pic>
                  <pic:nvPicPr>
                    <pic:cNvPr descr="_extensions/wjschne/apaquarto/ORCID-iD_icon-vector.svg" id="37" name="Picture"/>
                    <pic:cNvPicPr>
                      <a:picLocks noChangeArrowheads="1" noChangeAspect="1"/>
                    </pic:cNvPicPr>
                  </pic:nvPicPr>
                  <pic:blipFill>
                    <a:blip r:embed="rId38">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39"/>
      <w:r>
        <w:t xml:space="preserve"> </w:t>
      </w:r>
      <w:hyperlink r:id="rId40">
        <w:r>
          <w:rPr>
            <w:rStyle w:val="Hyperlink"/>
          </w:rPr>
          <w:t xml:space="preserve">https://orcid.org/0000-0003-1154-9528</w:t>
        </w:r>
      </w:hyperlink>
    </w:p>
    <w:p>
      <w:pPr>
        <w:pStyle w:val="BodyText"/>
      </w:pPr>
      <w:r>
        <w:t xml:space="preserve">Author roles were classified using the Contributor Role Taxonomy (CRediT; https://credit.niso.org/) as follows: </w:t>
      </w:r>
      <w:r>
        <w:rPr>
          <w:i/>
          <w:iCs/>
        </w:rPr>
        <w:t xml:space="preserve">Margherita Calderan</w:t>
      </w:r>
      <w:r>
        <w:rPr>
          <w:b/>
          <w:bCs/>
        </w:rPr>
        <w:t xml:space="preserve">: </w:t>
      </w:r>
      <w:r>
        <w:t xml:space="preserve">conceptualization, methodology, software, visualization, and writing – original draft. </w:t>
      </w:r>
      <w:r>
        <w:rPr>
          <w:i/>
          <w:iCs/>
        </w:rPr>
        <w:t xml:space="preserve">Filippo Gambarota</w:t>
      </w:r>
      <w:r>
        <w:rPr>
          <w:b/>
          <w:bCs/>
        </w:rPr>
        <w:t xml:space="preserve">: </w:t>
      </w:r>
      <w:r>
        <w:t xml:space="preserve">methodology, software, and writing – review &amp; editing. </w:t>
      </w:r>
      <w:r>
        <w:rPr>
          <w:i/>
          <w:iCs/>
        </w:rPr>
        <w:t xml:space="preserve">Livio Finos</w:t>
      </w:r>
      <w:r>
        <w:rPr>
          <w:b/>
          <w:bCs/>
        </w:rPr>
        <w:t xml:space="preserve">: </w:t>
      </w:r>
      <w:r>
        <w:t xml:space="preserve">supervision, methodology, and writing – review &amp; editing. </w:t>
      </w:r>
      <w:r>
        <w:rPr>
          <w:i/>
          <w:iCs/>
        </w:rPr>
        <w:t xml:space="preserve">Gianmarco Altoè</w:t>
      </w:r>
      <w:r>
        <w:rPr>
          <w:b/>
          <w:bCs/>
        </w:rPr>
        <w:t xml:space="preserve">: </w:t>
      </w:r>
      <w:r>
        <w:t xml:space="preserve">supervision, conceptualization, and writing – review &amp; editing</w:t>
      </w:r>
    </w:p>
    <w:p>
      <w:pPr>
        <w:pStyle w:val="BodyText"/>
      </w:pPr>
      <w:r>
        <w:t xml:space="preserve">Correspondence concerning this article should be addressed to Margherita Calderan, Department of Developmental Psychology and Socialization, University of Padova, Via Venezia 8, Padova 35131, Italy, Email:</w:t>
      </w:r>
      <w:r>
        <w:t xml:space="preserve"> </w:t>
      </w:r>
      <w:hyperlink r:id="rId41">
        <w:r>
          <w:rPr>
            <w:rStyle w:val="Hyperlink"/>
          </w:rPr>
          <w:t xml:space="preserve">margherita.calderan@unipd.it</w:t>
        </w:r>
      </w:hyperlink>
    </w:p>
    <w:p>
      <w:r>
        <w:br w:type="page"/>
      </w:r>
    </w:p>
    <w:bookmarkEnd w:id="42"/>
    <w:bookmarkStart w:id="43" w:name="abstract"/>
    <w:p>
      <w:pPr>
        <w:pStyle w:val="Heading1"/>
      </w:pPr>
      <w:r>
        <w:t xml:space="preserve">Abstract</w:t>
      </w:r>
    </w:p>
    <w:p>
      <w:pPr>
        <w:pStyle w:val="AbstractFirstParagraph"/>
      </w:pPr>
      <w:r>
        <w:t xml:space="preserve">The probability of direction (</w:t>
      </w:r>
      <m:oMath>
        <m:r>
          <m:t>p</m:t>
        </m:r>
        <m:r>
          <m:t>d</m:t>
        </m:r>
      </m:oMath>
      <w:r>
        <w:t xml:space="preserve">) has seen rapid adoption in psychological research as an intuitive posterior summary that quantifies how strongly the posterior distribution favors one direction of an effect over the other. In practice, researchers often turn</w:t>
      </w:r>
      <w:r>
        <w:t xml:space="preserve"> </w:t>
      </w:r>
      <m:oMath>
        <m:r>
          <m:t>p</m:t>
        </m:r>
        <m:r>
          <m:t>d</m:t>
        </m:r>
      </m:oMath>
      <w:r>
        <w:t xml:space="preserve"> </w:t>
      </w:r>
      <w:r>
        <w:t xml:space="preserve">into a binary decision rule by applying fixed thresholds (e.g.,</w:t>
      </w:r>
      <w:r>
        <w:t xml:space="preserve"> </w:t>
      </w:r>
      <m:oMath>
        <m:r>
          <m:t>p</m:t>
        </m:r>
        <m:r>
          <m:t>d</m:t>
        </m:r>
        <m:r>
          <m:rPr>
            <m:sty m:val="p"/>
          </m:rPr>
          <m:t>&gt;</m:t>
        </m:r>
        <m:r>
          <m:t>0.975</m:t>
        </m:r>
      </m:oMath>
      <w:r>
        <w:t xml:space="preserve">), declaring evidence for an effect when posterior mass concentrates strongly on one side. When this rule is applied across many parameters, it can substantially increase the risk of misleading conclusions. We argue that this problem stems from neglecting the prior probability that for every tested effect, the data-favored direction does not reflect a genuine effect. This quantity, often left implicit, becomes increasingly consequential as the number of tested effects grows. To address this, we propose a prior-odds adjustment to</w:t>
      </w:r>
      <w:r>
        <w:t xml:space="preserve"> </w:t>
      </w:r>
      <m:oMath>
        <m:r>
          <m:t>p</m:t>
        </m:r>
        <m:r>
          <m:t>d</m:t>
        </m:r>
      </m:oMath>
      <w:r>
        <w:t xml:space="preserve"> </w:t>
      </w:r>
      <w:r>
        <w:t xml:space="preserve">that requires researchers to explicitly specify the proportion of tested effects they expect to be null. The adjustment accounts for multiplicity without modifying the model used in parameter estimation, offers a transparent mechanism for incorporating prior skepticism about the existence of effects, and reduces the risk of false discoveries in multi-parameter settings. We evaluate its behavior through simulation across varying sample sizes and proportions of null effects, and provide an R package to facilitate applied use.</w:t>
      </w:r>
    </w:p>
    <w:p>
      <w:pPr>
        <w:pStyle w:val="BodyText"/>
      </w:pPr>
      <w:r>
        <w:rPr>
          <w:i/>
          <w:iCs/>
        </w:rPr>
        <w:t xml:space="preserve">Keywords</w:t>
      </w:r>
      <w:r>
        <w:t xml:space="preserve">: probability of direction, multiple testing, prior-odds, FDR</w:t>
      </w:r>
    </w:p>
    <w:p>
      <w:pPr>
        <w:pStyle w:val="BodyText"/>
      </w:pPr>
      <w:r>
        <w:rPr>
          <w:i/>
          <w:iCs/>
        </w:rPr>
        <w:t xml:space="preserve">Word Count</w:t>
      </w:r>
      <w:r>
        <w:t xml:space="preserve">: 5975</w:t>
      </w:r>
    </w:p>
    <w:p>
      <w:r>
        <w:br w:type="page"/>
      </w:r>
    </w:p>
    <w:bookmarkEnd w:id="43"/>
    <w:bookmarkStart w:id="44" w:name="firstheader"/>
    <w:p>
      <w:pPr>
        <w:pStyle w:val="Heading1"/>
      </w:pPr>
      <w:r>
        <w:t xml:space="preserve">A Prior-Odds Adjustment for the Probability of Direction in Multiple Testing</w:t>
      </w:r>
    </w:p>
    <w:p>
      <w:r>
        <w:br w:type="page"/>
      </w:r>
    </w:p>
    <w:bookmarkEnd w:id="44"/>
    <w:bookmarkStart w:id="46" w:name="introduction"/>
    <w:p>
      <w:pPr>
        <w:pStyle w:val="Heading1"/>
      </w:pPr>
      <w:r>
        <w:t xml:space="preserve">Introduction</w:t>
      </w:r>
    </w:p>
    <w:p>
      <w:pPr>
        <w:pStyle w:val="FirstParagraph"/>
      </w:pPr>
      <w:r>
        <w:t xml:space="preserve">Over the past two decades, the use of Bayesian methods in psychological research has grown considerably</w:t>
      </w:r>
      <w:r>
        <w:t xml:space="preserve"> </w:t>
      </w:r>
      <w:r>
        <w:t xml:space="preserve">(</w:t>
      </w:r>
      <w:hyperlink w:anchor="ref-Jevremov2024">
        <w:r>
          <w:rPr>
            <w:rStyle w:val="Hyperlink"/>
          </w:rPr>
          <w:t xml:space="preserve">Jevremov &amp; Pajić, 2024</w:t>
        </w:r>
      </w:hyperlink>
      <w:r>
        <w:t xml:space="preserve">;</w:t>
      </w:r>
      <w:r>
        <w:t xml:space="preserve"> </w:t>
      </w:r>
      <w:hyperlink w:anchor="ref-Pfadt2025">
        <w:r>
          <w:rPr>
            <w:rStyle w:val="Hyperlink"/>
          </w:rPr>
          <w:t xml:space="preserve">Pfadt et al., 2025</w:t>
        </w:r>
      </w:hyperlink>
      <w:r>
        <w:t xml:space="preserve">;</w:t>
      </w:r>
      <w:r>
        <w:t xml:space="preserve"> </w:t>
      </w:r>
      <w:hyperlink w:anchor="ref-Van2017">
        <w:r>
          <w:rPr>
            <w:rStyle w:val="Hyperlink"/>
          </w:rPr>
          <w:t xml:space="preserve">Van De Schoot et al., 2017</w:t>
        </w:r>
      </w:hyperlink>
      <w:r>
        <w:t xml:space="preserve">)</w:t>
      </w:r>
      <w:r>
        <w:t xml:space="preserve">. This expansion has, however, been accompanied by practices reminiscent of the</w:t>
      </w:r>
      <w:r>
        <w:t xml:space="preserve"> </w:t>
      </w:r>
      <w:r>
        <w:t xml:space="preserve">“null ritual”</w:t>
      </w:r>
      <w:r>
        <w:t xml:space="preserve"> </w:t>
      </w:r>
      <w:r>
        <w:t xml:space="preserve">in frequentist statistics, where widespread adoption gave way to automatic application rather than principled reasoning</w:t>
      </w:r>
      <w:r>
        <w:t xml:space="preserve"> </w:t>
      </w:r>
      <w:r>
        <w:t xml:space="preserve">(</w:t>
      </w:r>
      <w:hyperlink w:anchor="ref-Cohen1994">
        <w:r>
          <w:rPr>
            <w:rStyle w:val="Hyperlink"/>
          </w:rPr>
          <w:t xml:space="preserve">Cohen, 1994</w:t>
        </w:r>
      </w:hyperlink>
      <w:r>
        <w:t xml:space="preserve">;</w:t>
      </w:r>
      <w:r>
        <w:t xml:space="preserve"> </w:t>
      </w:r>
      <w:hyperlink w:anchor="ref-Gigerenzer2004">
        <w:r>
          <w:rPr>
            <w:rStyle w:val="Hyperlink"/>
          </w:rPr>
          <w:t xml:space="preserve">Gigerenzer, 2004</w:t>
        </w:r>
      </w:hyperlink>
      <w:r>
        <w:t xml:space="preserve">)</w:t>
      </w:r>
      <w:r>
        <w:t xml:space="preserve">. Researchers sometimes treat Bayes Factor thresholds (e.g., BF &gt; 3) as dichotomous decision rules, or claim that an effect</w:t>
      </w:r>
      <w:r>
        <w:t xml:space="preserve"> </w:t>
      </w:r>
      <w:r>
        <w:t xml:space="preserve">“exists”</w:t>
      </w:r>
      <w:r>
        <w:t xml:space="preserve"> </w:t>
      </w:r>
      <w:r>
        <w:t xml:space="preserve">because the posterior probability of a directional effect exceeds a conventional benchmark such as 95%</w:t>
      </w:r>
      <w:r>
        <w:t xml:space="preserve"> </w:t>
      </w:r>
      <w:r>
        <w:t xml:space="preserve">(</w:t>
      </w:r>
      <w:hyperlink w:anchor="ref-Heck2023">
        <w:r>
          <w:rPr>
            <w:rStyle w:val="Hyperlink"/>
          </w:rPr>
          <w:t xml:space="preserve">Heck et al., 2023</w:t>
        </w:r>
      </w:hyperlink>
      <w:r>
        <w:t xml:space="preserve">;</w:t>
      </w:r>
      <w:r>
        <w:t xml:space="preserve"> </w:t>
      </w:r>
      <w:hyperlink w:anchor="ref-Hoijtink2016">
        <w:r>
          <w:rPr>
            <w:rStyle w:val="Hyperlink"/>
          </w:rPr>
          <w:t xml:space="preserve">Hoijtink et al., 2016</w:t>
        </w:r>
      </w:hyperlink>
      <w:r>
        <w:t xml:space="preserve">;</w:t>
      </w:r>
      <w:r>
        <w:t xml:space="preserve"> </w:t>
      </w:r>
      <w:hyperlink w:anchor="ref-Kelter2023">
        <w:r>
          <w:rPr>
            <w:rStyle w:val="Hyperlink"/>
          </w:rPr>
          <w:t xml:space="preserve">Kelter, 2023</w:t>
        </w:r>
      </w:hyperlink>
      <w:r>
        <w:t xml:space="preserve">;</w:t>
      </w:r>
      <w:r>
        <w:t xml:space="preserve"> </w:t>
      </w:r>
      <w:hyperlink w:anchor="ref-Kruschke2018">
        <w:r>
          <w:rPr>
            <w:rStyle w:val="Hyperlink"/>
          </w:rPr>
          <w:t xml:space="preserve">Kruschke, 2018</w:t>
        </w:r>
      </w:hyperlink>
      <w:r>
        <w:t xml:space="preserve">;</w:t>
      </w:r>
      <w:r>
        <w:t xml:space="preserve"> </w:t>
      </w:r>
      <w:hyperlink w:anchor="ref-Tendeiro2024">
        <w:r>
          <w:rPr>
            <w:rStyle w:val="Hyperlink"/>
          </w:rPr>
          <w:t xml:space="preserve">Tendeiro et al., 2024</w:t>
        </w:r>
      </w:hyperlink>
      <w:r>
        <w:t xml:space="preserve">;</w:t>
      </w:r>
      <w:r>
        <w:t xml:space="preserve"> </w:t>
      </w:r>
      <w:hyperlink w:anchor="ref-Tendeiro2019">
        <w:r>
          <w:rPr>
            <w:rStyle w:val="Hyperlink"/>
          </w:rPr>
          <w:t xml:space="preserve">Tendeiro &amp; Kiers, 2019</w:t>
        </w:r>
      </w:hyperlink>
      <w:r>
        <w:t xml:space="preserve">)</w:t>
      </w:r>
      <w:r>
        <w:t xml:space="preserve">. Such cutoffs are convenient, but they encourage all-or-none interpretations, and when these binary judgments are applied repeatedly across many parameters they generate a multiplicity problem no different in kind from the one long recognized in frequentist statistics.</w:t>
      </w:r>
    </w:p>
    <w:p>
      <w:pPr>
        <w:pStyle w:val="BodyText"/>
      </w:pPr>
      <w:r>
        <w:t xml:space="preserve">Frequentists developed methods to address this problem, controlling either the Family-Wise Error Rate (FWER; the probability of at least one false positive) or the False Discovery Rate (FDR; the expected proportion of false positives among rejected hypotheses)</w:t>
      </w:r>
      <w:r>
        <w:t xml:space="preserve"> </w:t>
      </w:r>
      <w:r>
        <w:t xml:space="preserve">(</w:t>
      </w:r>
      <w:hyperlink w:anchor="ref-Benjamini1995">
        <w:r>
          <w:rPr>
            <w:rStyle w:val="Hyperlink"/>
          </w:rPr>
          <w:t xml:space="preserve">Benjamini &amp; Hochberg, 1995</w:t>
        </w:r>
      </w:hyperlink>
      <w:r>
        <w:t xml:space="preserve">;</w:t>
      </w:r>
      <w:r>
        <w:t xml:space="preserve"> </w:t>
      </w:r>
      <w:hyperlink w:anchor="ref-Westfall1993">
        <w:r>
          <w:rPr>
            <w:rStyle w:val="Hyperlink"/>
          </w:rPr>
          <w:t xml:space="preserve">Westfall &amp; Young, 1993</w:t>
        </w:r>
      </w:hyperlink>
      <w:r>
        <w:t xml:space="preserve">)</w:t>
      </w:r>
      <w:r>
        <w:t xml:space="preserve">. These procedures address whether a spurious result enters the literature, but leave unresolved a subtler consequence of the same selection process. When researchers examine many parameters but highlight only the most extreme estimates, selection systematically inflates reported magnitudes</w:t>
      </w:r>
      <w:r>
        <w:t xml:space="preserve"> </w:t>
      </w:r>
      <w:r>
        <w:t xml:space="preserve">(</w:t>
      </w:r>
      <w:hyperlink w:anchor="ref-Altoe2020">
        <w:r>
          <w:rPr>
            <w:rStyle w:val="Hyperlink"/>
          </w:rPr>
          <w:t xml:space="preserve">Altoè et al., 2020</w:t>
        </w:r>
      </w:hyperlink>
      <w:r>
        <w:t xml:space="preserve">;</w:t>
      </w:r>
      <w:r>
        <w:t xml:space="preserve"> </w:t>
      </w:r>
      <w:hyperlink w:anchor="ref-Gelman2014">
        <w:r>
          <w:rPr>
            <w:rStyle w:val="Hyperlink"/>
          </w:rPr>
          <w:t xml:space="preserve">Gelman &amp; Carlin, 2014</w:t>
        </w:r>
      </w:hyperlink>
      <w:r>
        <w:t xml:space="preserve">;</w:t>
      </w:r>
      <w:r>
        <w:t xml:space="preserve"> </w:t>
      </w:r>
      <w:hyperlink w:anchor="ref-Zwet2021">
        <w:r>
          <w:rPr>
            <w:rStyle w:val="Hyperlink"/>
          </w:rPr>
          <w:t xml:space="preserve">Zwet &amp; Cator, 2021</w:t>
        </w:r>
      </w:hyperlink>
      <w:r>
        <w:t xml:space="preserve">)</w:t>
      </w:r>
      <w:r>
        <w:t xml:space="preserve">. Bayesian methods can mitigate this overestimation, pulling extreme estimates toward more plausible values through informative priors</w:t>
      </w:r>
      <w:r>
        <w:t xml:space="preserve"> </w:t>
      </w:r>
      <w:r>
        <w:t xml:space="preserve">(</w:t>
      </w:r>
      <w:hyperlink w:anchor="ref-Dawid1994">
        <w:r>
          <w:rPr>
            <w:rStyle w:val="Hyperlink"/>
          </w:rPr>
          <w:t xml:space="preserve">Dawid, 1994</w:t>
        </w:r>
      </w:hyperlink>
      <w:r>
        <w:t xml:space="preserve">;</w:t>
      </w:r>
      <w:r>
        <w:t xml:space="preserve"> </w:t>
      </w:r>
      <w:hyperlink w:anchor="ref-Zwet2022">
        <w:r>
          <w:rPr>
            <w:rStyle w:val="Hyperlink"/>
          </w:rPr>
          <w:t xml:space="preserve">Zwet &amp; Gelman, 2022</w:t>
        </w:r>
      </w:hyperlink>
      <w:r>
        <w:t xml:space="preserve">)</w:t>
      </w:r>
      <w:r>
        <w:t xml:space="preserve"> </w:t>
      </w:r>
      <w:r>
        <w:t xml:space="preserve">and hierarchical modeling</w:t>
      </w:r>
      <w:r>
        <w:t xml:space="preserve"> </w:t>
      </w:r>
      <w:r>
        <w:t xml:space="preserve">(</w:t>
      </w:r>
      <w:hyperlink w:anchor="ref-Berry1999">
        <w:r>
          <w:rPr>
            <w:rStyle w:val="Hyperlink"/>
          </w:rPr>
          <w:t xml:space="preserve">Berry &amp; Hochberg, 1999</w:t>
        </w:r>
      </w:hyperlink>
      <w:r>
        <w:t xml:space="preserve">;</w:t>
      </w:r>
      <w:r>
        <w:t xml:space="preserve"> </w:t>
      </w:r>
      <w:hyperlink w:anchor="ref-Gelman2012">
        <w:r>
          <w:rPr>
            <w:rStyle w:val="Hyperlink"/>
          </w:rPr>
          <w:t xml:space="preserve">Gelman et al., 2012</w:t>
        </w:r>
      </w:hyperlink>
      <w:r>
        <w:t xml:space="preserve">,</w:t>
      </w:r>
      <w:r>
        <w:t xml:space="preserve"> </w:t>
      </w:r>
      <w:hyperlink w:anchor="ref-GelmanBook">
        <w:r>
          <w:rPr>
            <w:rStyle w:val="Hyperlink"/>
          </w:rPr>
          <w:t xml:space="preserve">2013</w:t>
        </w:r>
      </w:hyperlink>
      <w:r>
        <w:t xml:space="preserve">;</w:t>
      </w:r>
      <w:r>
        <w:t xml:space="preserve"> </w:t>
      </w:r>
      <w:hyperlink w:anchor="ref-Kruschke2011">
        <w:r>
          <w:rPr>
            <w:rStyle w:val="Hyperlink"/>
          </w:rPr>
          <w:t xml:space="preserve">Kruschke, 2011</w:t>
        </w:r>
      </w:hyperlink>
      <w:r>
        <w:t xml:space="preserve">)</w:t>
      </w:r>
      <w:r>
        <w:t xml:space="preserve">. Magnitude bias and false-positive accumulation are, however, distinct problems. Shrinkage offers no guarantee about the error properties of a decision rule applied across many parameters: if the same cutoff is used repeatedly (e.g., declaring an effect whenever a posterior probability exceeds 95%), the probability of spurious findings can remain substantial. Bayesian responses to this issue do exist, such as joint probability statements</w:t>
      </w:r>
      <w:r>
        <w:t xml:space="preserve"> </w:t>
      </w:r>
      <w:r>
        <w:t xml:space="preserve">(</w:t>
      </w:r>
      <w:hyperlink w:anchor="ref-Box1992">
        <w:r>
          <w:rPr>
            <w:rStyle w:val="Hyperlink"/>
          </w:rPr>
          <w:t xml:space="preserve">Box &amp; Tiao, 1992</w:t>
        </w:r>
      </w:hyperlink>
      <w:r>
        <w:t xml:space="preserve">;</w:t>
      </w:r>
      <w:r>
        <w:t xml:space="preserve"> </w:t>
      </w:r>
      <w:hyperlink w:anchor="ref-Gelman2000">
        <w:r>
          <w:rPr>
            <w:rStyle w:val="Hyperlink"/>
          </w:rPr>
          <w:t xml:space="preserve">Gelman &amp; Tuerlinckx, 2000</w:t>
        </w:r>
      </w:hyperlink>
      <w:r>
        <w:t xml:space="preserve">;</w:t>
      </w:r>
      <w:r>
        <w:t xml:space="preserve"> </w:t>
      </w:r>
      <w:hyperlink w:anchor="ref-Pruzek2016">
        <w:r>
          <w:rPr>
            <w:rStyle w:val="Hyperlink"/>
          </w:rPr>
          <w:t xml:space="preserve">Pruzek, 2016</w:t>
        </w:r>
      </w:hyperlink>
      <w:r>
        <w:t xml:space="preserve">;</w:t>
      </w:r>
      <w:r>
        <w:t xml:space="preserve"> </w:t>
      </w:r>
      <w:hyperlink w:anchor="ref-Schnell2020">
        <w:r>
          <w:rPr>
            <w:rStyle w:val="Hyperlink"/>
          </w:rPr>
          <w:t xml:space="preserve">Schnell et al., 2020</w:t>
        </w:r>
      </w:hyperlink>
      <w:r>
        <w:t xml:space="preserve">)</w:t>
      </w:r>
      <w:r>
        <w:t xml:space="preserve"> </w:t>
      </w:r>
      <w:r>
        <w:t xml:space="preserve">or priors over the hypothesis space that scale with the number of tests</w:t>
      </w:r>
      <w:r>
        <w:t xml:space="preserve"> </w:t>
      </w:r>
      <w:r>
        <w:t xml:space="preserve">(</w:t>
      </w:r>
      <w:hyperlink w:anchor="ref-Jeffreys1938">
        <w:r>
          <w:rPr>
            <w:rStyle w:val="Hyperlink"/>
          </w:rPr>
          <w:t xml:space="preserve">Jeffreys, 1938</w:t>
        </w:r>
      </w:hyperlink>
      <w:r>
        <w:t xml:space="preserve">;</w:t>
      </w:r>
      <w:r>
        <w:t xml:space="preserve"> </w:t>
      </w:r>
      <w:hyperlink w:anchor="ref-Scott2006">
        <w:r>
          <w:rPr>
            <w:rStyle w:val="Hyperlink"/>
          </w:rPr>
          <w:t xml:space="preserve">Scott &amp; Berger, 2006</w:t>
        </w:r>
      </w:hyperlink>
      <w:r>
        <w:t xml:space="preserve">;</w:t>
      </w:r>
      <w:r>
        <w:t xml:space="preserve"> </w:t>
      </w:r>
      <w:hyperlink w:anchor="ref-Scott2010">
        <w:r>
          <w:rPr>
            <w:rStyle w:val="Hyperlink"/>
          </w:rPr>
          <w:t xml:space="preserve">Scott &amp; Berger, 2010</w:t>
        </w:r>
      </w:hyperlink>
      <w:r>
        <w:t xml:space="preserve">;</w:t>
      </w:r>
      <w:r>
        <w:t xml:space="preserve"> </w:t>
      </w:r>
      <w:hyperlink w:anchor="ref-Westfall1997">
        <w:r>
          <w:rPr>
            <w:rStyle w:val="Hyperlink"/>
          </w:rPr>
          <w:t xml:space="preserve">Westfall et al., 1997</w:t>
        </w:r>
      </w:hyperlink>
      <w:r>
        <w:t xml:space="preserve">)</w:t>
      </w:r>
      <w:r>
        <w:t xml:space="preserve">.</w:t>
      </w:r>
    </w:p>
    <w:p>
      <w:pPr>
        <w:pStyle w:val="BodyText"/>
      </w:pPr>
      <w:r>
        <w:t xml:space="preserve">Here we focus on an increasingly adopted decision rule based on the probability of direction (</w:t>
      </w:r>
      <m:oMath>
        <m:r>
          <m:t>p</m:t>
        </m:r>
        <m:r>
          <m:t>d</m:t>
        </m:r>
      </m:oMath>
      <w:r>
        <w:t xml:space="preserve">)</w:t>
      </w:r>
      <w:r>
        <w:t xml:space="preserve"> </w:t>
      </w:r>
      <w:r>
        <w:t xml:space="preserve">(</w:t>
      </w:r>
      <w:hyperlink w:anchor="ref-Ben2022">
        <w:r>
          <w:rPr>
            <w:rStyle w:val="Hyperlink"/>
          </w:rPr>
          <w:t xml:space="preserve">Ben-Artzi et al., 2022</w:t>
        </w:r>
      </w:hyperlink>
      <w:r>
        <w:t xml:space="preserve">;</w:t>
      </w:r>
      <w:r>
        <w:t xml:space="preserve"> </w:t>
      </w:r>
      <w:hyperlink w:anchor="ref-Bramley2022">
        <w:r>
          <w:rPr>
            <w:rStyle w:val="Hyperlink"/>
          </w:rPr>
          <w:t xml:space="preserve">Bramley &amp; Ruggeri, 2022</w:t>
        </w:r>
      </w:hyperlink>
      <w:r>
        <w:t xml:space="preserve">;</w:t>
      </w:r>
      <w:r>
        <w:t xml:space="preserve"> </w:t>
      </w:r>
      <w:hyperlink w:anchor="ref-Brissenden2023">
        <w:r>
          <w:rPr>
            <w:rStyle w:val="Hyperlink"/>
          </w:rPr>
          <w:t xml:space="preserve">Brissenden et al., 2023</w:t>
        </w:r>
      </w:hyperlink>
      <w:r>
        <w:t xml:space="preserve">,</w:t>
      </w:r>
      <w:r>
        <w:t xml:space="preserve"> </w:t>
      </w:r>
      <w:hyperlink w:anchor="ref-Brissenden2024">
        <w:r>
          <w:rPr>
            <w:rStyle w:val="Hyperlink"/>
          </w:rPr>
          <w:t xml:space="preserve">2024</w:t>
        </w:r>
      </w:hyperlink>
      <w:r>
        <w:t xml:space="preserve">;</w:t>
      </w:r>
      <w:r>
        <w:t xml:space="preserve"> </w:t>
      </w:r>
      <w:hyperlink w:anchor="ref-Ciranka2026">
        <w:r>
          <w:rPr>
            <w:rStyle w:val="Hyperlink"/>
          </w:rPr>
          <w:t xml:space="preserve">Ciranka et al., 2026</w:t>
        </w:r>
      </w:hyperlink>
      <w:r>
        <w:t xml:space="preserve">;</w:t>
      </w:r>
      <w:r>
        <w:t xml:space="preserve"> </w:t>
      </w:r>
      <w:hyperlink w:anchor="ref-Hochman2025">
        <w:r>
          <w:rPr>
            <w:rStyle w:val="Hyperlink"/>
          </w:rPr>
          <w:t xml:space="preserve">Hochman et al., 2025</w:t>
        </w:r>
      </w:hyperlink>
      <w:r>
        <w:t xml:space="preserve">;</w:t>
      </w:r>
      <w:r>
        <w:t xml:space="preserve"> </w:t>
      </w:r>
      <w:hyperlink w:anchor="ref-Makowski2020">
        <w:r>
          <w:rPr>
            <w:rStyle w:val="Hyperlink"/>
          </w:rPr>
          <w:t xml:space="preserve">Makowski et al., 2020</w:t>
        </w:r>
      </w:hyperlink>
      <w:r>
        <w:t xml:space="preserve">;</w:t>
      </w:r>
      <w:r>
        <w:t xml:space="preserve"> </w:t>
      </w:r>
      <w:hyperlink w:anchor="ref-Schurr2024">
        <w:r>
          <w:rPr>
            <w:rStyle w:val="Hyperlink"/>
          </w:rPr>
          <w:t xml:space="preserve">Schurr et al., 2024</w:t>
        </w:r>
      </w:hyperlink>
      <w:r>
        <w:t xml:space="preserve">;</w:t>
      </w:r>
      <w:r>
        <w:t xml:space="preserve"> </w:t>
      </w:r>
      <w:hyperlink w:anchor="ref-Stone2024">
        <w:r>
          <w:rPr>
            <w:rStyle w:val="Hyperlink"/>
          </w:rPr>
          <w:t xml:space="preserve">Stone-Sabali et al., 2024</w:t>
        </w:r>
      </w:hyperlink>
      <w:r>
        <w:t xml:space="preserve">)</w:t>
      </w:r>
      <w:r>
        <w:t xml:space="preserve">. The</w:t>
      </w:r>
      <w:r>
        <w:t xml:space="preserve"> </w:t>
      </w:r>
      <m:oMath>
        <m:r>
          <m:t>p</m:t>
        </m:r>
        <m:r>
          <m:t>d</m:t>
        </m:r>
      </m:oMath>
      <w:r>
        <w:t xml:space="preserve"> </w:t>
      </w:r>
      <w:r>
        <w:t xml:space="preserve">quantifies the probability that an effect lies in its dominant direction</w:t>
      </w:r>
      <w:r>
        <w:t xml:space="preserve"> </w:t>
      </w:r>
      <w:r>
        <w:t xml:space="preserve">(</w:t>
      </w:r>
      <w:hyperlink w:anchor="ref-Makowski2019">
        <w:r>
          <w:rPr>
            <w:rStyle w:val="Hyperlink"/>
          </w:rPr>
          <w:t xml:space="preserve">Makowski et al., 2019</w:t>
        </w:r>
      </w:hyperlink>
      <w:r>
        <w:t xml:space="preserve">;</w:t>
      </w:r>
      <w:r>
        <w:t xml:space="preserve"> </w:t>
      </w:r>
      <w:hyperlink w:anchor="ref-Shi2021">
        <w:r>
          <w:rPr>
            <w:rStyle w:val="Hyperlink"/>
          </w:rPr>
          <w:t xml:space="preserve">Shi &amp; Yin, 2021</w:t>
        </w:r>
      </w:hyperlink>
      <w:r>
        <w:t xml:space="preserve">)</w:t>
      </w:r>
      <w:r>
        <w:t xml:space="preserve">; researchers claim evidence for an effect when it exceeds a fixed threshold (e.g.,</w:t>
      </w:r>
      <w:r>
        <w:t xml:space="preserve"> </w:t>
      </w:r>
      <m:oMath>
        <m:r>
          <m:t>p</m:t>
        </m:r>
        <m:r>
          <m:t>d</m:t>
        </m:r>
        <m:r>
          <m:rPr>
            <m:sty m:val="p"/>
          </m:rPr>
          <m:t>&gt;</m:t>
        </m:r>
        <m:r>
          <m:t>0.95</m:t>
        </m:r>
      </m:oMath>
      <w:r>
        <w:t xml:space="preserve">,</w:t>
      </w:r>
      <w:r>
        <w:t xml:space="preserve"> </w:t>
      </w:r>
      <m:oMath>
        <m:r>
          <m:t>p</m:t>
        </m:r>
        <m:r>
          <m:t>d</m:t>
        </m:r>
        <m:r>
          <m:rPr>
            <m:sty m:val="p"/>
          </m:rPr>
          <m:t>&gt;</m:t>
        </m:r>
        <m:r>
          <m:t>0.975</m:t>
        </m:r>
      </m:oMath>
      <w:r>
        <w:t xml:space="preserve">). We examine the frequentist operating characteristics</w:t>
      </w:r>
      <w:r>
        <w:rPr>
          <w:rStyle w:val="FootnoteReference"/>
        </w:rPr>
        <w:footnoteReference w:id="45"/>
      </w:r>
      <w:r>
        <w:t xml:space="preserve"> </w:t>
      </w:r>
      <w:r>
        <w:t xml:space="preserve">of such a rule, and consider how the resulting multiplicity problem can be addressed. Following the second strategy noted above, we propose a prior-odds correction for</w:t>
      </w:r>
      <w:r>
        <w:t xml:space="preserve"> </w:t>
      </w:r>
      <m:oMath>
        <m:r>
          <m:t>p</m:t>
        </m:r>
        <m:r>
          <m:t>d</m:t>
        </m:r>
      </m:oMath>
      <w:r>
        <w:t xml:space="preserve"> </w:t>
      </w:r>
      <w:r>
        <w:t xml:space="preserve">grounded in the foundational work of</w:t>
      </w:r>
      <w:r>
        <w:t xml:space="preserve"> </w:t>
      </w:r>
      <w:r>
        <w:t xml:space="preserve">Jeffreys (</w:t>
      </w:r>
      <w:hyperlink w:anchor="ref-Jeffreys1938">
        <w:r>
          <w:rPr>
            <w:rStyle w:val="Hyperlink"/>
          </w:rPr>
          <w:t xml:space="preserve">1938</w:t>
        </w:r>
      </w:hyperlink>
      <w:r>
        <w:t xml:space="preserve">; see also</w:t>
      </w:r>
      <w:r>
        <w:t xml:space="preserve"> </w:t>
      </w:r>
      <w:hyperlink w:anchor="ref-Westfall1997">
        <w:r>
          <w:rPr>
            <w:rStyle w:val="Hyperlink"/>
          </w:rPr>
          <w:t xml:space="preserve">Westfall et al., 1997</w:t>
        </w:r>
      </w:hyperlink>
      <w:r>
        <w:t xml:space="preserve">)</w:t>
      </w:r>
      <w:r>
        <w:t xml:space="preserve"> </w:t>
      </w:r>
      <w:r>
        <w:t xml:space="preserve">and more recent Bayesian approaches to FDR control</w:t>
      </w:r>
      <w:r>
        <w:t xml:space="preserve"> </w:t>
      </w:r>
      <w:r>
        <w:t xml:space="preserve">(</w:t>
      </w:r>
      <w:hyperlink w:anchor="ref-Abraham2022">
        <w:r>
          <w:rPr>
            <w:rStyle w:val="Hyperlink"/>
          </w:rPr>
          <w:t xml:space="preserve">Abraham et al., 2022</w:t>
        </w:r>
      </w:hyperlink>
      <w:r>
        <w:t xml:space="preserve">;</w:t>
      </w:r>
      <w:r>
        <w:t xml:space="preserve"> </w:t>
      </w:r>
      <w:hyperlink w:anchor="ref-Efron2001">
        <w:r>
          <w:rPr>
            <w:rStyle w:val="Hyperlink"/>
          </w:rPr>
          <w:t xml:space="preserve">Efron et al., 2001</w:t>
        </w:r>
      </w:hyperlink>
      <w:r>
        <w:t xml:space="preserve">;</w:t>
      </w:r>
      <w:r>
        <w:t xml:space="preserve"> </w:t>
      </w:r>
      <w:hyperlink w:anchor="ref-Guo2010">
        <w:r>
          <w:rPr>
            <w:rStyle w:val="Hyperlink"/>
          </w:rPr>
          <w:t xml:space="preserve">Guo &amp; Heitjan, 2010</w:t>
        </w:r>
      </w:hyperlink>
      <w:r>
        <w:t xml:space="preserve">;</w:t>
      </w:r>
      <w:r>
        <w:t xml:space="preserve"> </w:t>
      </w:r>
      <w:hyperlink w:anchor="ref-Scott2006">
        <w:r>
          <w:rPr>
            <w:rStyle w:val="Hyperlink"/>
          </w:rPr>
          <w:t xml:space="preserve">Scott &amp; Berger, 2006</w:t>
        </w:r>
      </w:hyperlink>
      <w:r>
        <w:t xml:space="preserve">;</w:t>
      </w:r>
      <w:r>
        <w:t xml:space="preserve"> </w:t>
      </w:r>
      <w:hyperlink w:anchor="ref-Scott2010">
        <w:r>
          <w:rPr>
            <w:rStyle w:val="Hyperlink"/>
          </w:rPr>
          <w:t xml:space="preserve">Scott &amp; Berger, 2010</w:t>
        </w:r>
      </w:hyperlink>
      <w:r>
        <w:t xml:space="preserve">;</w:t>
      </w:r>
      <w:r>
        <w:t xml:space="preserve"> </w:t>
      </w:r>
      <w:hyperlink w:anchor="ref-Storey2002">
        <w:r>
          <w:rPr>
            <w:rStyle w:val="Hyperlink"/>
          </w:rPr>
          <w:t xml:space="preserve">Storey, 2002</w:t>
        </w:r>
      </w:hyperlink>
      <w:r>
        <w:t xml:space="preserve">,</w:t>
      </w:r>
      <w:r>
        <w:t xml:space="preserve"> </w:t>
      </w:r>
      <w:hyperlink w:anchor="ref-Storey2003">
        <w:r>
          <w:rPr>
            <w:rStyle w:val="Hyperlink"/>
          </w:rPr>
          <w:t xml:space="preserve">2003</w:t>
        </w:r>
      </w:hyperlink>
      <w:r>
        <w:t xml:space="preserve">)</w:t>
      </w:r>
      <w:r>
        <w:t xml:space="preserve">. The correction requires the researcher to specify the proportion of tested effects expected to be null.</w:t>
      </w:r>
    </w:p>
    <w:p>
      <w:pPr>
        <w:pStyle w:val="BodyText"/>
      </w:pPr>
      <w:r>
        <w:t xml:space="preserve">It bears emphasis that the proposed adjustment does not control error rates per se; rather, it makes explicit the prior skepticism the researcher brings to the family of hypotheses, allowing the resulting posterior probability to reflect both the observed data and the researcher’s substantive beliefs about the prevalence of true effects. When those beliefs are well-calibrated to the data-generating process, error rates are naturally reduced as a consequence.</w:t>
      </w:r>
    </w:p>
    <w:p>
      <w:pPr>
        <w:pStyle w:val="BodyText"/>
      </w:pPr>
      <w:r>
        <w:t xml:space="preserve">The paper proceeds as follows. We begin by introducing</w:t>
      </w:r>
      <w:r>
        <w:t xml:space="preserve"> </w:t>
      </w:r>
      <m:oMath>
        <m:r>
          <m:t>p</m:t>
        </m:r>
        <m:r>
          <m:t>d</m:t>
        </m:r>
      </m:oMath>
      <w:r>
        <w:t xml:space="preserve"> </w:t>
      </w:r>
      <w:r>
        <w:t xml:space="preserve">and examining its use as a test of an effect’s existence, then discuss how prior choice shapes its behavior and why more skeptical within-model priors alone cannot resolve the multiplicity problem. We then develop the prior-odds adjustment, evaluate its properties through simulation, and compare its performance with two others Bayesian multiple comparison procedures. A worked example using the accompanying R package</w:t>
      </w:r>
      <w:r>
        <w:t xml:space="preserve"> </w:t>
      </w:r>
      <w:r>
        <w:t xml:space="preserve">(</w:t>
      </w:r>
      <w:hyperlink w:anchor="ref-Calderan2026">
        <w:r>
          <w:rPr>
            <w:rStyle w:val="Hyperlink"/>
          </w:rPr>
          <w:t xml:space="preserve">Calderan &amp; Gambarota, 2026</w:t>
        </w:r>
      </w:hyperlink>
      <w:r>
        <w:t xml:space="preserve">)</w:t>
      </w:r>
      <w:r>
        <w:t xml:space="preserve"> </w:t>
      </w:r>
      <w:r>
        <w:t xml:space="preserve">follows, after which we conclude with a general discussion.</w:t>
      </w:r>
    </w:p>
    <w:bookmarkEnd w:id="46"/>
    <w:bookmarkStart w:id="51" w:name="probability-of-direction"/>
    <w:p>
      <w:pPr>
        <w:pStyle w:val="Heading1"/>
      </w:pPr>
      <w:r>
        <w:t xml:space="preserve">Probability of direction</w:t>
      </w:r>
    </w:p>
    <w:p>
      <w:pPr>
        <w:pStyle w:val="FirstParagraph"/>
      </w:pPr>
      <w:r>
        <w:t xml:space="preserve">The probability of direction (</w:t>
      </w:r>
      <m:oMath>
        <m:r>
          <m:t>p</m:t>
        </m:r>
        <m:r>
          <m:t>d</m:t>
        </m:r>
      </m:oMath>
      <w:r>
        <w:t xml:space="preserve">) is a posterior summary that quantifies how strongly the posterior distribution favors one direction of an effect relative to a reference (</w:t>
      </w:r>
      <m:oMath>
        <m:sSub>
          <m:e>
            <m:r>
              <m:t>θ</m:t>
            </m:r>
          </m:e>
          <m:sub>
            <m:r>
              <m:t>n</m:t>
            </m:r>
            <m:r>
              <m:t>u</m:t>
            </m:r>
            <m:r>
              <m:t>l</m:t>
            </m:r>
            <m:r>
              <m:t>l</m:t>
            </m:r>
          </m:sub>
        </m:sSub>
      </m:oMath>
      <w:r>
        <w:t xml:space="preserve">) value</w:t>
      </w:r>
      <w:r>
        <w:t xml:space="preserve"> </w:t>
      </w:r>
      <w:r>
        <w:t xml:space="preserve">(</w:t>
      </w:r>
      <w:hyperlink w:anchor="ref-Makowski2019">
        <w:r>
          <w:rPr>
            <w:rStyle w:val="Hyperlink"/>
          </w:rPr>
          <w:t xml:space="preserve">Makowski et al., 2019</w:t>
        </w:r>
      </w:hyperlink>
      <w:r>
        <w:t xml:space="preserve">)</w:t>
      </w:r>
      <w:r>
        <w:t xml:space="preserve">. For a continuous posterior, it can be defined as the larger of the two one-sided posterior probabilities:</w:t>
      </w:r>
      <w:r>
        <w:t xml:space="preserve"> </w:t>
      </w:r>
      <m:oMath>
        <m:r>
          <m:t>p</m:t>
        </m:r>
        <m:r>
          <m:t>d</m:t>
        </m:r>
        <m:r>
          <m:rPr>
            <m:sty m:val="p"/>
          </m:rPr>
          <m:t>=</m:t>
        </m:r>
        <m:r>
          <m:rPr>
            <m:sty m:val="p"/>
          </m:rPr>
          <m:t>max</m:t>
        </m:r>
        <m:d>
          <m:dPr>
            <m:begChr m:val="("/>
            <m:sepChr m:val=""/>
            <m:endChr m:val=")"/>
            <m:grow/>
          </m:dPr>
          <m:e>
            <m:r>
              <m:rPr>
                <m:sty m:val="p"/>
              </m:rPr>
              <m:t>Pr</m:t>
            </m:r>
            <m:d>
              <m:dPr>
                <m:begChr m:val="("/>
                <m:sepChr m:val=""/>
                <m:endChr m:val=")"/>
                <m:grow/>
              </m:dPr>
              <m:e>
                <m:r>
                  <m:t>θ</m:t>
                </m:r>
                <m:r>
                  <m:rPr>
                    <m:sty m:val="p"/>
                  </m:rPr>
                  <m:t>&lt;</m:t>
                </m:r>
                <m:sSub>
                  <m:e>
                    <m:r>
                      <m:t>θ</m:t>
                    </m:r>
                  </m:e>
                  <m:sub>
                    <m:r>
                      <m:t>n</m:t>
                    </m:r>
                    <m:r>
                      <m:t>u</m:t>
                    </m:r>
                    <m:r>
                      <m:t>l</m:t>
                    </m:r>
                    <m:r>
                      <m:t>l</m:t>
                    </m:r>
                  </m:sub>
                </m:sSub>
                <m:r>
                  <m:rPr>
                    <m:sty m:val="p"/>
                  </m:rPr>
                  <m:t>∣</m:t>
                </m:r>
                <m:r>
                  <m:t>y</m:t>
                </m:r>
              </m:e>
            </m:d>
            <m:r>
              <m:rPr>
                <m:sty m:val="p"/>
              </m:rPr>
              <m:t>,</m:t>
            </m:r>
            <m:r>
              <m:t> </m:t>
            </m:r>
            <m:r>
              <m:rPr>
                <m:sty m:val="p"/>
              </m:rPr>
              <m:t>Pr</m:t>
            </m:r>
            <m:d>
              <m:dPr>
                <m:begChr m:val="("/>
                <m:sepChr m:val=""/>
                <m:endChr m:val=")"/>
                <m:grow/>
              </m:dPr>
              <m:e>
                <m:r>
                  <m:t>θ</m:t>
                </m:r>
                <m:r>
                  <m:rPr>
                    <m:sty m:val="p"/>
                  </m:rPr>
                  <m:t>&gt;</m:t>
                </m:r>
                <m:sSub>
                  <m:e>
                    <m:r>
                      <m:t>θ</m:t>
                    </m:r>
                  </m:e>
                  <m:sub>
                    <m:r>
                      <m:t>n</m:t>
                    </m:r>
                    <m:r>
                      <m:t>u</m:t>
                    </m:r>
                    <m:r>
                      <m:t>l</m:t>
                    </m:r>
                    <m:r>
                      <m:t>l</m:t>
                    </m:r>
                  </m:sub>
                </m:sSub>
                <m:r>
                  <m:rPr>
                    <m:sty m:val="p"/>
                  </m:rPr>
                  <m:t>∣</m:t>
                </m:r>
                <m:r>
                  <m:t>y</m:t>
                </m:r>
              </m:e>
            </m:d>
          </m:e>
        </m:d>
        <m:r>
          <m:rPr>
            <m:sty m:val="p"/>
          </m:rPr>
          <m:t>,</m:t>
        </m:r>
      </m:oMath>
      <w:r>
        <w:t xml:space="preserve"> </w:t>
      </w:r>
      <w:r>
        <w:t xml:space="preserve">and it ranges from 0.50 (no directional preference) to 1 (all on one side). The</w:t>
      </w:r>
      <w:r>
        <w:t xml:space="preserve"> </w:t>
      </w:r>
      <m:oMath>
        <m:r>
          <m:t>p</m:t>
        </m:r>
        <m:r>
          <m:t>d</m:t>
        </m:r>
      </m:oMath>
      <w:r>
        <w:t xml:space="preserve"> </w:t>
      </w:r>
      <w:r>
        <w:t xml:space="preserve">equals exactly the complement of the one-sided</w:t>
      </w:r>
      <w:r>
        <w:t xml:space="preserve"> </w:t>
      </w:r>
      <m:oMath>
        <m:r>
          <m:t>p</m:t>
        </m:r>
      </m:oMath>
      <w:r>
        <w:t xml:space="preserve">-value when computed on the posterior of a location parameter in exponential-family models estimated under a uniform prior; under a broader class of priors, this correspondence holds approximately</w:t>
      </w:r>
      <w:r>
        <w:t xml:space="preserve"> </w:t>
      </w:r>
      <w:r>
        <w:t xml:space="preserve">(</w:t>
      </w:r>
      <w:hyperlink w:anchor="ref-Casella1987">
        <w:r>
          <w:rPr>
            <w:rStyle w:val="Hyperlink"/>
          </w:rPr>
          <w:t xml:space="preserve">Casella &amp; Berger, 1987</w:t>
        </w:r>
      </w:hyperlink>
      <w:r>
        <w:t xml:space="preserve">;</w:t>
      </w:r>
      <w:r>
        <w:t xml:space="preserve"> </w:t>
      </w:r>
      <w:hyperlink w:anchor="ref-Marsman2017">
        <w:r>
          <w:rPr>
            <w:rStyle w:val="Hyperlink"/>
          </w:rPr>
          <w:t xml:space="preserve">Marsman &amp; Wagenmakers, 2017</w:t>
        </w:r>
      </w:hyperlink>
      <w:r>
        <w:t xml:space="preserve">;</w:t>
      </w:r>
      <w:r>
        <w:t xml:space="preserve"> </w:t>
      </w:r>
      <w:hyperlink w:anchor="ref-Shi2021">
        <w:r>
          <w:rPr>
            <w:rStyle w:val="Hyperlink"/>
          </w:rPr>
          <w:t xml:space="preserve">Shi &amp; Yin, 2021</w:t>
        </w:r>
      </w:hyperlink>
      <w:r>
        <w:t xml:space="preserve">)</w:t>
      </w:r>
      <w:r>
        <w:t xml:space="preserve">.</w:t>
      </w:r>
    </w:p>
    <w:p>
      <w:pPr>
        <w:pStyle w:val="BodyText"/>
      </w:pPr>
      <w:r>
        <w:t xml:space="preserve">In practice, the</w:t>
      </w:r>
      <w:r>
        <w:t xml:space="preserve"> </w:t>
      </w:r>
      <m:oMath>
        <m:r>
          <m:t>p</m:t>
        </m:r>
        <m:r>
          <m:t>d</m:t>
        </m:r>
      </m:oMath>
      <w:r>
        <w:t xml:space="preserve"> </w:t>
      </w:r>
      <w:r>
        <w:t xml:space="preserve">is often used to summarize both the direction and existence of an effect. This interpretation is clearest when phrased as a decision rule</w:t>
      </w:r>
      <w:r>
        <w:t xml:space="preserve"> </w:t>
      </w:r>
      <m:oMath>
        <m:r>
          <m:t>p</m:t>
        </m:r>
        <m:r>
          <m:t>d</m:t>
        </m:r>
        <m:r>
          <m:rPr>
            <m:sty m:val="p"/>
          </m:rPr>
          <m:t>&gt;</m:t>
        </m:r>
        <m:r>
          <m:t>c</m:t>
        </m:r>
      </m:oMath>
      <w:r>
        <w:t xml:space="preserve">: the posterior must assign more than</w:t>
      </w:r>
      <w:r>
        <w:t xml:space="preserve"> </w:t>
      </w:r>
      <m:oMath>
        <m:r>
          <m:t>c</m:t>
        </m:r>
      </m:oMath>
      <w:r>
        <w:t xml:space="preserve"> </w:t>
      </w:r>
      <w:r>
        <w:t xml:space="preserve">probability mass to the side of</w:t>
      </w:r>
      <w:r>
        <w:t xml:space="preserve"> </w:t>
      </w:r>
      <m:oMath>
        <m:sSub>
          <m:e>
            <m:r>
              <m:t>θ</m:t>
            </m:r>
          </m:e>
          <m:sub>
            <m:r>
              <m:rPr>
                <m:nor/>
                <m:sty m:val="p"/>
              </m:rPr>
              <m:t>null</m:t>
            </m:r>
          </m:sub>
        </m:sSub>
      </m:oMath>
      <w:r>
        <w:t xml:space="preserve"> </w:t>
      </w:r>
      <w:r>
        <w:t xml:space="preserve">favored by the data. Setting</w:t>
      </w:r>
      <w:r>
        <w:t xml:space="preserve"> </w:t>
      </w:r>
      <m:oMath>
        <m:r>
          <m:t>c</m:t>
        </m:r>
        <m:r>
          <m:rPr>
            <m:sty m:val="p"/>
          </m:rPr>
          <m:t>=</m:t>
        </m:r>
        <m:r>
          <m:t>1</m:t>
        </m:r>
        <m:r>
          <m:rPr>
            <m:sty m:val="p"/>
          </m:rPr>
          <m:t>−</m:t>
        </m:r>
        <m:r>
          <m:t>α</m:t>
        </m:r>
        <m:r>
          <m:rPr>
            <m:sty m:val="p"/>
          </m:rPr>
          <m:t>/</m:t>
        </m:r>
        <m:r>
          <m:t>2</m:t>
        </m:r>
      </m:oMath>
      <w:r>
        <w:t xml:space="preserve"> </w:t>
      </w:r>
      <w:r>
        <w:t xml:space="preserve">is convenient because it bounds the posterior mass in the opposite tail by</w:t>
      </w:r>
      <w:r>
        <w:t xml:space="preserve"> </w:t>
      </w:r>
      <m:oMath>
        <m:r>
          <m:t>α</m:t>
        </m:r>
        <m:r>
          <m:rPr>
            <m:sty m:val="p"/>
          </m:rPr>
          <m:t>/</m:t>
        </m:r>
        <m:r>
          <m:t>2</m:t>
        </m:r>
      </m:oMath>
      <w:r>
        <w:t xml:space="preserve">. For concreteness, suppose the posterior favors a positive effect so that</w:t>
      </w:r>
      <w:r>
        <w:t xml:space="preserve"> </w:t>
      </w:r>
      <m:oMath>
        <m:r>
          <m:t>p</m:t>
        </m:r>
        <m:r>
          <m:t>d</m:t>
        </m:r>
        <m:r>
          <m:rPr>
            <m:sty m:val="p"/>
          </m:rPr>
          <m:t>=</m:t>
        </m:r>
        <m:r>
          <m:rPr>
            <m:sty m:val="p"/>
          </m:rPr>
          <m:t>Pr</m:t>
        </m:r>
        <m:d>
          <m:dPr>
            <m:begChr m:val="("/>
            <m:sepChr m:val=""/>
            <m:endChr m:val=")"/>
            <m:grow/>
          </m:dPr>
          <m:e>
            <m:r>
              <m:t>θ</m:t>
            </m:r>
            <m:r>
              <m:rPr>
                <m:sty m:val="p"/>
              </m:rPr>
              <m:t>&gt;</m:t>
            </m:r>
            <m:r>
              <m:t>0</m:t>
            </m:r>
            <m:r>
              <m:rPr>
                <m:sty m:val="p"/>
              </m:rPr>
              <m:t>∣</m:t>
            </m:r>
            <m:r>
              <m:t>y</m:t>
            </m:r>
          </m:e>
        </m:d>
      </m:oMath>
      <w:r>
        <w:t xml:space="preserve">. An</w:t>
      </w:r>
      <w:r>
        <w:t xml:space="preserve"> </w:t>
      </w:r>
      <m:oMath>
        <m:r>
          <m:t>α</m:t>
        </m:r>
        <m:r>
          <m:rPr>
            <m:sty m:val="p"/>
          </m:rPr>
          <m:t>=</m:t>
        </m:r>
        <m:r>
          <m:t>0.05</m:t>
        </m:r>
      </m:oMath>
      <w:r>
        <w:t xml:space="preserve"> </w:t>
      </w:r>
      <w:r>
        <w:t xml:space="preserve">implies</w:t>
      </w:r>
      <w:r>
        <w:t xml:space="preserve"> </w:t>
      </w:r>
      <m:oMath>
        <m:r>
          <m:t>c</m:t>
        </m:r>
        <m:r>
          <m:rPr>
            <m:sty m:val="p"/>
          </m:rPr>
          <m:t>=</m:t>
        </m:r>
        <m:r>
          <m:t>0.975</m:t>
        </m:r>
      </m:oMath>
      <w:r>
        <w:t xml:space="preserve">, therefore the rule</w:t>
      </w:r>
      <w:r>
        <w:t xml:space="preserve"> </w:t>
      </w:r>
      <m:oMath>
        <m:r>
          <m:t>p</m:t>
        </m:r>
        <m:r>
          <m:t>d</m:t>
        </m:r>
        <m:r>
          <m:rPr>
            <m:sty m:val="p"/>
          </m:rPr>
          <m:t>&gt;</m:t>
        </m:r>
        <m:r>
          <m:t>c</m:t>
        </m:r>
      </m:oMath>
      <w:r>
        <w:t xml:space="preserve"> </w:t>
      </w:r>
      <w:r>
        <w:t xml:space="preserve">requires that</w:t>
      </w:r>
      <w:r>
        <w:t xml:space="preserve"> </w:t>
      </w:r>
      <m:oMath>
        <m:r>
          <m:rPr>
            <m:sty m:val="p"/>
          </m:rPr>
          <m:t>Pr</m:t>
        </m:r>
        <m:d>
          <m:dPr>
            <m:begChr m:val="("/>
            <m:sepChr m:val=""/>
            <m:endChr m:val=")"/>
            <m:grow/>
          </m:dPr>
          <m:e>
            <m:r>
              <m:t>θ</m:t>
            </m:r>
            <m:r>
              <m:rPr>
                <m:sty m:val="p"/>
              </m:rPr>
              <m:t>≤</m:t>
            </m:r>
            <m:r>
              <m:t>0</m:t>
            </m:r>
            <m:r>
              <m:rPr>
                <m:sty m:val="p"/>
              </m:rPr>
              <m:t>∣</m:t>
            </m:r>
            <m:r>
              <m:t>y</m:t>
            </m:r>
          </m:e>
        </m:d>
        <m:r>
          <m:rPr>
            <m:sty m:val="p"/>
          </m:rPr>
          <m:t>&lt;</m:t>
        </m:r>
        <m:r>
          <m:t>0.025</m:t>
        </m:r>
      </m:oMath>
      <w:r>
        <w:t xml:space="preserve">, placing less than 2.5% of posterior mass at or below</w:t>
      </w:r>
      <w:r>
        <w:t xml:space="preserve"> </w:t>
      </w:r>
      <m:oMath>
        <m:r>
          <m:t>0</m:t>
        </m:r>
      </m:oMath>
      <w:r>
        <w:t xml:space="preserve">.</w:t>
      </w:r>
    </w:p>
    <w:bookmarkStart w:id="50" w:name="fig-pd-ci"/>
    <w:p>
      <w:pPr>
        <w:pStyle w:val="FigureTitle"/>
      </w:pPr>
      <w:r>
        <w:t xml:space="preserve">Figure 1</w:t>
      </w:r>
    </w:p>
    <w:p>
      <w:pPr>
        <w:pStyle w:val="Caption"/>
      </w:pPr>
      <w:r>
        <w:t xml:space="preserve">Posterior distributions illustrating the relationship between the probability of direction (pd) and 95% Credible Interval (CI), using c = 0.975 and</w:t>
      </w:r>
      <w:r>
        <w:t xml:space="preserve"> </w:t>
      </w:r>
      <m:oMath>
        <m:sSub>
          <m:e>
            <m:r>
              <m:t>θ</m:t>
            </m:r>
          </m:e>
          <m:sub>
            <m:r>
              <m:t>n</m:t>
            </m:r>
            <m:r>
              <m:t>u</m:t>
            </m:r>
            <m:r>
              <m:t>l</m:t>
            </m:r>
            <m:r>
              <m:t>l</m:t>
            </m:r>
          </m:sub>
        </m:sSub>
        <m:r>
          <m:rPr>
            <m:sty m:val="p"/>
          </m:rPr>
          <m:t>=</m:t>
        </m:r>
        <m:r>
          <m:t>0</m:t>
        </m:r>
      </m:oMath>
      <w:r>
        <w:t xml:space="preserve">.</w:t>
      </w:r>
    </w:p>
    <w:p>
      <w:pPr>
        <w:pStyle w:val="FigureWithoutNote"/>
      </w:pPr>
      <w:r>
        <w:drawing>
          <wp:inline>
            <wp:extent cx="5943600" cy="2080260"/>
            <wp:effectExtent b="0" l="0" r="0" t="0"/>
            <wp:docPr descr="" title="" id="48" name="Picture"/>
            <a:graphic>
              <a:graphicData uri="http://schemas.openxmlformats.org/drawingml/2006/picture">
                <pic:pic>
                  <pic:nvPicPr>
                    <pic:cNvPr descr="manuscript_files/figure-docx/fig-pd-ci-1.png" id="49" name="Picture"/>
                    <pic:cNvPicPr>
                      <a:picLocks noChangeArrowheads="1" noChangeAspect="1"/>
                    </pic:cNvPicPr>
                  </pic:nvPicPr>
                  <pic:blipFill>
                    <a:blip r:embed="rId47"/>
                    <a:stretch>
                      <a:fillRect/>
                    </a:stretch>
                  </pic:blipFill>
                  <pic:spPr bwMode="auto">
                    <a:xfrm>
                      <a:off x="0" y="0"/>
                      <a:ext cx="5943600" cy="2080260"/>
                    </a:xfrm>
                    <a:prstGeom prst="rect">
                      <a:avLst/>
                    </a:prstGeom>
                    <a:noFill/>
                    <a:ln w="9525">
                      <a:noFill/>
                      <a:headEnd/>
                      <a:tailEnd/>
                    </a:ln>
                  </pic:spPr>
                </pic:pic>
              </a:graphicData>
            </a:graphic>
          </wp:inline>
        </w:drawing>
      </w:r>
    </w:p>
    <w:bookmarkEnd w:id="50"/>
    <w:p>
      <w:pPr>
        <w:pStyle w:val="AfterWithoutNote"/>
      </w:pPr>
      <w:r>
        <w:t xml:space="preserve">As</w:t>
      </w:r>
      <w:r>
        <w:t xml:space="preserve"> </w:t>
      </w:r>
      <w:hyperlink w:anchor="fig-pd-ci">
        <w:r>
          <w:rPr>
            <w:rStyle w:val="Hyperlink"/>
          </w:rPr>
          <w:t xml:space="preserve">Figure 1</w:t>
        </w:r>
      </w:hyperlink>
      <w:r>
        <w:t xml:space="preserve"> </w:t>
      </w:r>
      <w:r>
        <w:t xml:space="preserve">illustrates, observing</w:t>
      </w:r>
      <w:r>
        <w:t xml:space="preserve"> </w:t>
      </w:r>
      <m:oMath>
        <m:r>
          <m:t>p</m:t>
        </m:r>
        <m:r>
          <m:t>d</m:t>
        </m:r>
        <m:r>
          <m:rPr>
            <m:sty m:val="p"/>
          </m:rPr>
          <m:t>&gt;</m:t>
        </m:r>
        <m:r>
          <m:t>0.975</m:t>
        </m:r>
      </m:oMath>
      <w:r>
        <w:t xml:space="preserve"> </w:t>
      </w:r>
      <w:r>
        <w:t xml:space="preserve">is equivalent to excluding</w:t>
      </w:r>
      <w:r>
        <w:t xml:space="preserve"> </w:t>
      </w:r>
      <m:oMath>
        <m:r>
          <m:t>0</m:t>
        </m:r>
      </m:oMath>
      <w:r>
        <w:t xml:space="preserve"> </w:t>
      </w:r>
      <w:r>
        <w:t xml:space="preserve">from the central 95% equi-tailed credible interval. When the credible interval excludes the null value, one can infer that the null is relatively implausible</w:t>
      </w:r>
      <w:r>
        <w:t xml:space="preserve"> </w:t>
      </w:r>
      <w:r>
        <w:t xml:space="preserve">(</w:t>
      </w:r>
      <w:hyperlink w:anchor="ref-Box1992">
        <w:r>
          <w:rPr>
            <w:rStyle w:val="Hyperlink"/>
          </w:rPr>
          <w:t xml:space="preserve">Box &amp; Tiao, 1992</w:t>
        </w:r>
      </w:hyperlink>
      <w:r>
        <w:t xml:space="preserve">)</w:t>
      </w:r>
      <w:r>
        <w:t xml:space="preserve">. Given these considerations, although</w:t>
      </w:r>
      <w:r>
        <w:t xml:space="preserve"> </w:t>
      </w:r>
      <m:oMath>
        <m:r>
          <m:t>p</m:t>
        </m:r>
        <m:r>
          <m:t>d</m:t>
        </m:r>
      </m:oMath>
      <w:r>
        <w:t xml:space="preserve"> </w:t>
      </w:r>
      <w:r>
        <w:t xml:space="preserve">and the frequentist</w:t>
      </w:r>
      <w:r>
        <w:t xml:space="preserve"> </w:t>
      </w:r>
      <m:oMath>
        <m:r>
          <m:t>p</m:t>
        </m:r>
      </m:oMath>
      <w:r>
        <w:t xml:space="preserve">-value target different quantities, it is expected that decision rules of the form</w:t>
      </w:r>
      <w:r>
        <w:t xml:space="preserve"> </w:t>
      </w:r>
      <m:oMath>
        <m:r>
          <m:t>p</m:t>
        </m:r>
        <m:r>
          <m:t>d</m:t>
        </m:r>
        <m:r>
          <m:rPr>
            <m:sty m:val="p"/>
          </m:rPr>
          <m:t>&gt;</m:t>
        </m:r>
        <m:r>
          <m:t>c</m:t>
        </m:r>
      </m:oMath>
      <w:r>
        <w:t xml:space="preserve"> </w:t>
      </w:r>
      <w:r>
        <w:t xml:space="preserve">approximate the operating characteristics of familiar frequentist rules such as</w:t>
      </w:r>
      <w:r>
        <w:t xml:space="preserve"> </w:t>
      </w:r>
      <m:oMath>
        <m:r>
          <m:t>p</m:t>
        </m:r>
        <m:r>
          <m:rPr>
            <m:sty m:val="p"/>
          </m:rPr>
          <m:t>&lt;</m:t>
        </m:r>
        <m:r>
          <m:t>α</m:t>
        </m:r>
      </m:oMath>
      <w:r>
        <w:t xml:space="preserve">.</w:t>
      </w:r>
    </w:p>
    <w:p>
      <w:pPr>
        <w:pStyle w:val="BodyText"/>
      </w:pPr>
      <w:r>
        <w:t xml:space="preserve">Although we express the decision threshold as</w:t>
      </w:r>
      <w:r>
        <w:t xml:space="preserve"> </w:t>
      </w:r>
      <m:oMath>
        <m:r>
          <m:t>c</m:t>
        </m:r>
        <m:r>
          <m:rPr>
            <m:sty m:val="p"/>
          </m:rPr>
          <m:t>=</m:t>
        </m:r>
        <m:r>
          <m:t>1</m:t>
        </m:r>
        <m:r>
          <m:rPr>
            <m:sty m:val="p"/>
          </m:rPr>
          <m:t>−</m:t>
        </m:r>
        <m:r>
          <m:t>α</m:t>
        </m:r>
        <m:r>
          <m:rPr>
            <m:sty m:val="p"/>
          </m:rPr>
          <m:t>/</m:t>
        </m:r>
        <m:r>
          <m:t>2</m:t>
        </m:r>
      </m:oMath>
      <w:r>
        <w:t xml:space="preserve"> </w:t>
      </w:r>
      <w:r>
        <w:t xml:space="preserve">(with</w:t>
      </w:r>
      <w:r>
        <w:t xml:space="preserve"> </w:t>
      </w:r>
      <m:oMath>
        <m:r>
          <m:t>α</m:t>
        </m:r>
        <m:r>
          <m:rPr>
            <m:sty m:val="p"/>
          </m:rPr>
          <m:t>=</m:t>
        </m:r>
        <m:r>
          <m:t>0.05</m:t>
        </m:r>
      </m:oMath>
      <w:r>
        <w:t xml:space="preserve">) and set</w:t>
      </w:r>
      <w:r>
        <w:t xml:space="preserve"> </w:t>
      </w:r>
      <m:oMath>
        <m:sSub>
          <m:e>
            <m:r>
              <m:t>θ</m:t>
            </m:r>
          </m:e>
          <m:sub>
            <m:r>
              <m:rPr>
                <m:nor/>
                <m:sty m:val="p"/>
              </m:rPr>
              <m:t>null</m:t>
            </m:r>
          </m:sub>
        </m:sSub>
        <m:r>
          <m:rPr>
            <m:sty m:val="p"/>
          </m:rPr>
          <m:t>=</m:t>
        </m:r>
        <m:r>
          <m:t>0</m:t>
        </m:r>
      </m:oMath>
      <w:r>
        <w:t xml:space="preserve"> </w:t>
      </w:r>
      <w:r>
        <w:t xml:space="preserve">throughout for ease of exposition, neither choice is restrictive. The threshold</w:t>
      </w:r>
      <w:r>
        <w:t xml:space="preserve"> </w:t>
      </w:r>
      <m:oMath>
        <m:r>
          <m:t>c</m:t>
        </m:r>
      </m:oMath>
      <w:r>
        <w:t xml:space="preserve"> </w:t>
      </w:r>
      <w:r>
        <w:t xml:space="preserve">can be set to any posterior probability cutoff, and</w:t>
      </w:r>
      <w:r>
        <w:t xml:space="preserve"> </w:t>
      </w:r>
      <m:oMath>
        <m:sSub>
          <m:e>
            <m:r>
              <m:t>θ</m:t>
            </m:r>
          </m:e>
          <m:sub>
            <m:r>
              <m:rPr>
                <m:nor/>
                <m:sty m:val="p"/>
              </m:rPr>
              <m:t>null</m:t>
            </m:r>
          </m:sub>
        </m:sSub>
      </m:oMath>
      <w:r>
        <w:t xml:space="preserve"> </w:t>
      </w:r>
      <w:r>
        <w:t xml:space="preserve">can take any non-zero value, which is particularly relevant when hypotheses involve a minimum effect of practical interest</w:t>
      </w:r>
      <w:r>
        <w:t xml:space="preserve"> </w:t>
      </w:r>
      <w:r>
        <w:t xml:space="preserve">(</w:t>
      </w:r>
      <w:hyperlink w:anchor="ref-Lakens2018">
        <w:r>
          <w:rPr>
            <w:rStyle w:val="Hyperlink"/>
          </w:rPr>
          <w:t xml:space="preserve">Lakens et al., 2018</w:t>
        </w:r>
      </w:hyperlink>
      <w:r>
        <w:t xml:space="preserve">)</w:t>
      </w:r>
      <w:r>
        <w:t xml:space="preserve">.</w:t>
      </w:r>
    </w:p>
    <w:bookmarkEnd w:id="51"/>
    <w:bookmarkStart w:id="77" w:name="multiplicity-problem"/>
    <w:p>
      <w:pPr>
        <w:pStyle w:val="Heading1"/>
      </w:pPr>
      <w:r>
        <w:t xml:space="preserve">Multiplicity problem</w:t>
      </w:r>
    </w:p>
    <w:p>
      <w:pPr>
        <w:pStyle w:val="FirstParagraph"/>
      </w:pPr>
      <w:r>
        <w:t xml:space="preserve">Under the null hypothesis,</w:t>
      </w:r>
      <w:r>
        <w:t xml:space="preserve"> </w:t>
      </w:r>
      <m:oMath>
        <m:r>
          <m:t>p</m:t>
        </m:r>
      </m:oMath>
      <w:r>
        <w:t xml:space="preserve">-values are uniformly distributed on</w:t>
      </w:r>
      <w:r>
        <w:t xml:space="preserve"> </w:t>
      </w:r>
      <m:oMath>
        <m:d>
          <m:dPr>
            <m:begChr m:val="["/>
            <m:sepChr m:val=""/>
            <m:endChr m:val="]"/>
            <m:grow/>
          </m:dPr>
          <m:e>
            <m:r>
              <m:t>0</m:t>
            </m:r>
            <m:r>
              <m:rPr>
                <m:sty m:val="p"/>
              </m:rPr>
              <m:t>,</m:t>
            </m:r>
            <m:r>
              <m:t>1</m:t>
            </m:r>
          </m:e>
        </m:d>
      </m:oMath>
      <w:r>
        <w:t xml:space="preserve">. Because</w:t>
      </w:r>
      <w:r>
        <w:t xml:space="preserve"> </w:t>
      </w:r>
      <m:oMath>
        <m:r>
          <m:t>p</m:t>
        </m:r>
        <m:r>
          <m:t>d</m:t>
        </m:r>
      </m:oMath>
      <w:r>
        <w:t xml:space="preserve"> </w:t>
      </w:r>
      <w:r>
        <w:t xml:space="preserve">can be mapped to the</w:t>
      </w:r>
      <w:r>
        <w:t xml:space="preserve"> </w:t>
      </w:r>
      <m:oMath>
        <m:r>
          <m:t>p</m:t>
        </m:r>
      </m:oMath>
      <w:r>
        <w:t xml:space="preserve">-value, this implies a corresponding null reference behavior for</w:t>
      </w:r>
      <w:r>
        <w:t xml:space="preserve"> </w:t>
      </w:r>
      <m:oMath>
        <m:r>
          <m:t>p</m:t>
        </m:r>
        <m:r>
          <m:t>d</m:t>
        </m:r>
      </m:oMath>
      <w:r>
        <w:t xml:space="preserve"> </w:t>
      </w:r>
      <w:r>
        <w:t xml:space="preserve">on</w:t>
      </w:r>
      <w:r>
        <w:t xml:space="preserve"> </w:t>
      </w:r>
      <m:oMath>
        <m:d>
          <m:dPr>
            <m:begChr m:val="["/>
            <m:sepChr m:val=""/>
            <m:endChr m:val="]"/>
            <m:grow/>
          </m:dPr>
          <m:e>
            <m:r>
              <m:t>0.5</m:t>
            </m:r>
            <m:r>
              <m:rPr>
                <m:sty m:val="p"/>
              </m:rPr>
              <m:t>,</m:t>
            </m:r>
            <m:r>
              <m:t>1</m:t>
            </m:r>
          </m:e>
        </m:d>
      </m:oMath>
      <w:r>
        <w:t xml:space="preserve">. However, because</w:t>
      </w:r>
      <w:r>
        <w:t xml:space="preserve"> </w:t>
      </w:r>
      <m:oMath>
        <m:r>
          <m:t>p</m:t>
        </m:r>
        <m:r>
          <m:t>d</m:t>
        </m:r>
      </m:oMath>
      <w:r>
        <w:t xml:space="preserve"> </w:t>
      </w:r>
      <w:r>
        <w:t xml:space="preserve">is a posterior probability regarding the sign of</w:t>
      </w:r>
      <w:r>
        <w:t xml:space="preserve"> </w:t>
      </w:r>
      <m:oMath>
        <m:r>
          <m:t>θ</m:t>
        </m:r>
      </m:oMath>
      <w:r>
        <w:t xml:space="preserve">, its null distribution depends not only on the likelihood but also on how strongly the prior concentrates probability near 0, that is, on how strongly it</w:t>
      </w:r>
      <w:r>
        <w:t xml:space="preserve"> </w:t>
      </w:r>
      <w:r>
        <w:t xml:space="preserve">“expects”</w:t>
      </w:r>
      <w:r>
        <w:t xml:space="preserve"> </w:t>
      </w:r>
      <w:r>
        <w:t xml:space="preserve">near-null effects. To make this concrete, we use a conjugate normal–normal model: the observations are normal with known variance,</w:t>
      </w:r>
      <w:r>
        <w:t xml:space="preserve"> </w:t>
      </w:r>
      <m:oMath>
        <m:sSub>
          <m:e>
            <m:r>
              <m:t>y</m:t>
            </m:r>
          </m:e>
          <m:sub>
            <m:r>
              <m:t>i</m:t>
            </m:r>
          </m:sub>
        </m:sSub>
        <m:r>
          <m:rPr>
            <m:sty m:val="p"/>
          </m:rPr>
          <m:t>∣</m:t>
        </m:r>
        <m:r>
          <m:t>θ</m:t>
        </m:r>
        <m:r>
          <m:rPr>
            <m:sty m:val="p"/>
          </m:rPr>
          <m:t>∼</m:t>
        </m:r>
        <m:r>
          <m:rPr>
            <m:sty m:val="p"/>
            <m:scr m:val="script"/>
          </m:rPr>
          <m:t>N</m:t>
        </m:r>
        <m:d>
          <m:dPr>
            <m:begChr m:val="("/>
            <m:sepChr m:val=""/>
            <m:endChr m:val=")"/>
            <m:grow/>
          </m:dPr>
          <m:e>
            <m:r>
              <m:t>θ</m:t>
            </m:r>
            <m:r>
              <m:rPr>
                <m:sty m:val="p"/>
              </m:rPr>
              <m:t>,</m:t>
            </m:r>
            <m:r>
              <m:t>1</m:t>
            </m:r>
          </m:e>
        </m:d>
      </m:oMath>
      <w:r>
        <w:t xml:space="preserve"> </w:t>
      </w:r>
      <w:r>
        <w:t xml:space="preserve">(with true</w:t>
      </w:r>
      <w:r>
        <w:t xml:space="preserve"> </w:t>
      </w:r>
      <m:oMath>
        <m:r>
          <m:t>θ</m:t>
        </m:r>
        <m:r>
          <m:rPr>
            <m:sty m:val="p"/>
          </m:rPr>
          <m:t>=</m:t>
        </m:r>
        <m:r>
          <m:t>0</m:t>
        </m:r>
      </m:oMath>
      <w:r>
        <w:t xml:space="preserve">), and the effect carries a mean-zero normal prior,</w:t>
      </w:r>
      <w:r>
        <w:t xml:space="preserve"> </w:t>
      </w:r>
      <m:oMath>
        <m:r>
          <m:t>θ</m:t>
        </m:r>
        <m:r>
          <m:rPr>
            <m:sty m:val="p"/>
          </m:rPr>
          <m:t>∼</m:t>
        </m:r>
        <m:r>
          <m:rPr>
            <m:sty m:val="p"/>
            <m:scr m:val="script"/>
          </m:rPr>
          <m:t>N</m:t>
        </m:r>
        <m:d>
          <m:dPr>
            <m:begChr m:val="("/>
            <m:sepChr m:val=""/>
            <m:endChr m:val=")"/>
            <m:grow/>
          </m:dPr>
          <m:e>
            <m:r>
              <m:t>0</m:t>
            </m:r>
            <m:r>
              <m:rPr>
                <m:sty m:val="p"/>
              </m:rPr>
              <m:t>,</m:t>
            </m:r>
            <m:r>
              <m:t>τ</m:t>
            </m:r>
          </m:e>
        </m:d>
      </m:oMath>
      <w:r>
        <w:t xml:space="preserve">, where</w:t>
      </w:r>
      <w:r>
        <w:t xml:space="preserve"> </w:t>
      </w:r>
      <m:oMath>
        <m:r>
          <m:t>τ</m:t>
        </m:r>
      </m:oMath>
      <w:r>
        <w:t xml:space="preserve"> </w:t>
      </w:r>
      <w:r>
        <w:t xml:space="preserve">denotes the prior standard deviation. This pairing yields a normal posterior in which the</w:t>
      </w:r>
      <w:r>
        <w:t xml:space="preserve"> </w:t>
      </w:r>
      <m:oMath>
        <m:r>
          <m:t>τ</m:t>
        </m:r>
      </m:oMath>
      <w:r>
        <w:t xml:space="preserve"> </w:t>
      </w:r>
      <w:r>
        <w:t xml:space="preserve">governs the degree of skepticism.</w:t>
      </w:r>
    </w:p>
    <w:p>
      <w:pPr>
        <w:pStyle w:val="BodyText"/>
      </w:pPr>
      <w:r>
        <w:t xml:space="preserve">Varying the sample size (</w:t>
      </w:r>
      <m:oMath>
        <m:r>
          <m:t>n</m:t>
        </m:r>
        <m:r>
          <m:rPr>
            <m:sty m:val="p"/>
          </m:rPr>
          <m:t>∈</m:t>
        </m:r>
        <m:r>
          <m:rPr>
            <m:sty m:val="p"/>
          </m:rPr>
          <m:t>{</m:t>
        </m:r>
        <m:r>
          <m:t>30</m:t>
        </m:r>
        <m:r>
          <m:rPr>
            <m:sty m:val="p"/>
          </m:rPr>
          <m:t>,</m:t>
        </m:r>
        <m:r>
          <m:t>50</m:t>
        </m:r>
        <m:r>
          <m:rPr>
            <m:sty m:val="p"/>
          </m:rPr>
          <m:t>,</m:t>
        </m:r>
        <m:r>
          <m:t>100</m:t>
        </m:r>
        <m:r>
          <m:rPr>
            <m:sty m:val="p"/>
          </m:rPr>
          <m:t>}</m:t>
        </m:r>
      </m:oMath>
      <w:r>
        <w:t xml:space="preserve">) and</w:t>
      </w:r>
      <w:r>
        <w:t xml:space="preserve"> </w:t>
      </w:r>
      <m:oMath>
        <m:r>
          <m:t>τ</m:t>
        </m:r>
      </m:oMath>
      <w:r>
        <w:t xml:space="preserve"> </w:t>
      </w:r>
      <w:r>
        <w:t xml:space="preserve">(</w:t>
      </w:r>
      <m:oMath>
        <m:r>
          <m:t>0.2</m:t>
        </m:r>
        <m:r>
          <m:rPr>
            <m:sty m:val="p"/>
          </m:rPr>
          <m:t>,</m:t>
        </m:r>
        <m:r>
          <m:t>0.5</m:t>
        </m:r>
        <m:r>
          <m:rPr>
            <m:sty m:val="p"/>
          </m:rPr>
          <m:t>,</m:t>
        </m:r>
        <m:r>
          <m:t>1</m:t>
        </m:r>
        <m:r>
          <m:rPr>
            <m:sty m:val="p"/>
          </m:rPr>
          <m:t>,</m:t>
        </m:r>
        <m:r>
          <m:t>1.5</m:t>
        </m:r>
      </m:oMath>
      <w:r>
        <w:t xml:space="preserve">) shows that the probability that</w:t>
      </w:r>
      <w:r>
        <w:t xml:space="preserve"> </w:t>
      </w:r>
      <m:oMath>
        <m:r>
          <m:t>p</m:t>
        </m:r>
        <m:r>
          <m:t>d</m:t>
        </m:r>
      </m:oMath>
      <w:r>
        <w:t xml:space="preserve"> </w:t>
      </w:r>
      <w:r>
        <w:t xml:space="preserve">exceeds 0.975 under the null is not constant (</w:t>
      </w:r>
      <w:hyperlink w:anchor="fig-uniform-pd">
        <w:r>
          <w:rPr>
            <w:rStyle w:val="Hyperlink"/>
          </w:rPr>
          <w:t xml:space="preserve">Figure 2</w:t>
        </w:r>
      </w:hyperlink>
      <w:r>
        <w:t xml:space="preserve">). Under diffuse priors (</w:t>
      </w:r>
      <m:oMath>
        <m:r>
          <m:t>τ</m:t>
        </m:r>
        <m:r>
          <m:rPr>
            <m:sty m:val="p"/>
          </m:rPr>
          <m:t>≥</m:t>
        </m:r>
        <m:r>
          <m:t>1</m:t>
        </m:r>
      </m:oMath>
      <w:r>
        <w:t xml:space="preserve">) and/or sufficiently large samples,</w:t>
      </w:r>
      <w:r>
        <w:t xml:space="preserve"> </w:t>
      </w:r>
      <m:oMath>
        <m:r>
          <m:t>p</m:t>
        </m:r>
        <m:r>
          <m:t>d</m:t>
        </m:r>
      </m:oMath>
      <w:r>
        <w:t xml:space="preserve"> </w:t>
      </w:r>
      <w:r>
        <w:t xml:space="preserve">recovers the uniform null reference, with constant density on</w:t>
      </w:r>
      <w:r>
        <w:t xml:space="preserve"> </w:t>
      </w:r>
      <m:oMath>
        <m:d>
          <m:dPr>
            <m:begChr m:val="["/>
            <m:sepChr m:val=""/>
            <m:endChr m:val="]"/>
            <m:grow/>
          </m:dPr>
          <m:e>
            <m:r>
              <m:t>0.5</m:t>
            </m:r>
            <m:r>
              <m:rPr>
                <m:sty m:val="p"/>
              </m:rPr>
              <m:t>,</m:t>
            </m:r>
            <m:r>
              <m:t>1</m:t>
            </m:r>
          </m:e>
        </m:d>
      </m:oMath>
      <w:r>
        <w:t xml:space="preserve">. A skeptical prior (e.g.,</w:t>
      </w:r>
      <w:r>
        <w:t xml:space="preserve"> </w:t>
      </w:r>
      <m:oMath>
        <m:r>
          <m:t>τ</m:t>
        </m:r>
        <m:r>
          <m:rPr>
            <m:sty m:val="p"/>
          </m:rPr>
          <m:t>=</m:t>
        </m:r>
        <m:r>
          <m:t>0.2</m:t>
        </m:r>
      </m:oMath>
      <w:r>
        <w:t xml:space="preserve">), by contrast, induces shrinkage toward</w:t>
      </w:r>
      <w:r>
        <w:t xml:space="preserve"> </w:t>
      </w:r>
      <m:oMath>
        <m:r>
          <m:t>0.5</m:t>
        </m:r>
      </m:oMath>
      <w:r>
        <w:t xml:space="preserve">, effectively reducing the error rate.</w:t>
      </w:r>
    </w:p>
    <w:bookmarkStart w:id="55" w:name="fig-uniform-pd"/>
    <w:p>
      <w:pPr>
        <w:pStyle w:val="FigureTitle"/>
      </w:pPr>
      <w:r>
        <w:t xml:space="preserve">Figure 2</w:t>
      </w:r>
    </w:p>
    <w:p>
      <w:pPr>
        <w:pStyle w:val="Caption"/>
      </w:pPr>
      <w:r>
        <w:t xml:space="preserve">Distribution of the probability of direction (pd) stratified by sample size (</w:t>
      </w:r>
      <m:oMath>
        <m:r>
          <m:t>n</m:t>
        </m:r>
        <m:r>
          <m:rPr>
            <m:sty m:val="p"/>
          </m:rPr>
          <m:t>=</m:t>
        </m:r>
        <m:r>
          <m:t>30</m:t>
        </m:r>
        <m:r>
          <m:rPr>
            <m:sty m:val="p"/>
          </m:rPr>
          <m:t>,</m:t>
        </m:r>
        <m:r>
          <m:t>50</m:t>
        </m:r>
        <m:r>
          <m:rPr>
            <m:sty m:val="p"/>
          </m:rPr>
          <m:t>,</m:t>
        </m:r>
        <m:r>
          <m:t>100</m:t>
        </m:r>
      </m:oMath>
      <w:r>
        <w:t xml:space="preserve">; rows) and prior standard deviation (</w:t>
      </w:r>
      <m:oMath>
        <m:r>
          <m:t>θ</m:t>
        </m:r>
        <m:r>
          <m:rPr>
            <m:sty m:val="p"/>
          </m:rPr>
          <m:t>∼</m:t>
        </m:r>
        <m:r>
          <m:rPr>
            <m:sty m:val="p"/>
            <m:scr m:val="script"/>
          </m:rPr>
          <m:t>N</m:t>
        </m:r>
        <m:d>
          <m:dPr>
            <m:begChr m:val="("/>
            <m:sepChr m:val=""/>
            <m:endChr m:val=")"/>
            <m:grow/>
          </m:dPr>
          <m:e>
            <m:r>
              <m:t>0</m:t>
            </m:r>
            <m:r>
              <m:rPr>
                <m:sty m:val="p"/>
              </m:rPr>
              <m:t>,</m:t>
            </m:r>
            <m:r>
              <m:t>τ</m:t>
            </m:r>
          </m:e>
        </m:d>
      </m:oMath>
      <w:r>
        <w:t xml:space="preserve"> </w:t>
      </w:r>
      <w:r>
        <w:t xml:space="preserve">with</w:t>
      </w:r>
      <w:r>
        <w:t xml:space="preserve"> </w:t>
      </w:r>
      <m:oMath>
        <m:r>
          <m:t>τ</m:t>
        </m:r>
        <m:r>
          <m:rPr>
            <m:sty m:val="p"/>
          </m:rPr>
          <m:t>∈</m:t>
        </m:r>
        <m:r>
          <m:rPr>
            <m:sty m:val="p"/>
          </m:rPr>
          <m:t>{</m:t>
        </m:r>
        <m:r>
          <m:t>0.2</m:t>
        </m:r>
        <m:r>
          <m:rPr>
            <m:sty m:val="p"/>
          </m:rPr>
          <m:t>,</m:t>
        </m:r>
        <m:r>
          <m:t>0.5</m:t>
        </m:r>
        <m:r>
          <m:rPr>
            <m:sty m:val="p"/>
          </m:rPr>
          <m:t>,</m:t>
        </m:r>
        <m:r>
          <m:t>1</m:t>
        </m:r>
        <m:r>
          <m:rPr>
            <m:sty m:val="p"/>
          </m:rPr>
          <m:t>,</m:t>
        </m:r>
        <m:r>
          <m:t>1.5</m:t>
        </m:r>
        <m:r>
          <m:rPr>
            <m:sty m:val="p"/>
          </m:rPr>
          <m:t>}</m:t>
        </m:r>
      </m:oMath>
      <w:r>
        <w:t xml:space="preserve">; columns). Bin width = 0.025.</w:t>
      </w:r>
    </w:p>
    <w:p>
      <w:pPr>
        <w:pStyle w:val="FigureWithoutNote"/>
      </w:pPr>
      <w:r>
        <w:drawing>
          <wp:inline>
            <wp:extent cx="5943600" cy="2724150"/>
            <wp:effectExtent b="0" l="0" r="0" t="0"/>
            <wp:docPr descr="" title="" id="53" name="Picture"/>
            <a:graphic>
              <a:graphicData uri="http://schemas.openxmlformats.org/drawingml/2006/picture">
                <pic:pic>
                  <pic:nvPicPr>
                    <pic:cNvPr descr="manuscript_files/figure-docx/fig-uniform-pd-1.png" id="54" name="Picture"/>
                    <pic:cNvPicPr>
                      <a:picLocks noChangeArrowheads="1" noChangeAspect="1"/>
                    </pic:cNvPicPr>
                  </pic:nvPicPr>
                  <pic:blipFill>
                    <a:blip r:embed="rId52"/>
                    <a:stretch>
                      <a:fillRect/>
                    </a:stretch>
                  </pic:blipFill>
                  <pic:spPr bwMode="auto">
                    <a:xfrm>
                      <a:off x="0" y="0"/>
                      <a:ext cx="5943600" cy="2724150"/>
                    </a:xfrm>
                    <a:prstGeom prst="rect">
                      <a:avLst/>
                    </a:prstGeom>
                    <a:noFill/>
                    <a:ln w="9525">
                      <a:noFill/>
                      <a:headEnd/>
                      <a:tailEnd/>
                    </a:ln>
                  </pic:spPr>
                </pic:pic>
              </a:graphicData>
            </a:graphic>
          </wp:inline>
        </w:drawing>
      </w:r>
    </w:p>
    <w:bookmarkEnd w:id="55"/>
    <w:p>
      <w:pPr>
        <w:pStyle w:val="AfterWithoutNote"/>
      </w:pPr>
      <w:r>
        <w:t xml:space="preserve">While skeptical priors reduce the probability that a single test yields an extreme</w:t>
      </w:r>
      <w:r>
        <w:t xml:space="preserve"> </w:t>
      </w:r>
      <m:oMath>
        <m:r>
          <m:t>p</m:t>
        </m:r>
        <m:r>
          <m:t>d</m:t>
        </m:r>
      </m:oMath>
      <w:r>
        <w:t xml:space="preserve">, they do not address the issue that, as the number of tests</w:t>
      </w:r>
      <w:r>
        <w:t xml:space="preserve"> </w:t>
      </w:r>
      <m:oMath>
        <m:r>
          <m:t>m</m:t>
        </m:r>
      </m:oMath>
      <w:r>
        <w:t xml:space="preserve"> </w:t>
      </w:r>
      <w:r>
        <w:t xml:space="preserve">increases, so does the probability of observing at least one extreme value among</w:t>
      </w:r>
      <w:r>
        <w:t xml:space="preserve"> </w:t>
      </w:r>
      <m:oMath>
        <m:r>
          <m:t>p</m:t>
        </m:r>
        <m:sSub>
          <m:e>
            <m:r>
              <m:t>d</m:t>
            </m:r>
          </m:e>
          <m:sub>
            <m:r>
              <m:t>1</m:t>
            </m:r>
          </m:sub>
        </m:sSub>
        <m:r>
          <m:rPr>
            <m:sty m:val="p"/>
          </m:rPr>
          <m:t>,</m:t>
        </m:r>
        <m:r>
          <m:rPr>
            <m:sty m:val="p"/>
          </m:rPr>
          <m:t>…</m:t>
        </m:r>
        <m:r>
          <m:rPr>
            <m:sty m:val="p"/>
          </m:rPr>
          <m:t>,</m:t>
        </m:r>
        <m:r>
          <m:t>p</m:t>
        </m:r>
        <m:sSub>
          <m:e>
            <m:r>
              <m:t>d</m:t>
            </m:r>
          </m:e>
          <m:sub>
            <m:r>
              <m:t>m</m:t>
            </m:r>
          </m:sub>
        </m:sSub>
      </m:oMath>
      <w:r>
        <w:t xml:space="preserve">. The approach presented below addresses this at the level of the testing procedure rather than the within-model prior, by placing a separate prior on the proportion of effects expected to be null. This lets researchers who use uninformative or weakly informative priors for estimation still incorporate substantive beliefs at the family level.</w:t>
      </w:r>
    </w:p>
    <w:p>
      <w:pPr>
        <w:pStyle w:val="BodyText"/>
      </w:pPr>
      <w:r>
        <w:t xml:space="preserve">As we formalize in the next section, the correction operates on the Bayes Factor comparing one directional hypothesis against the other. For</w:t>
      </w:r>
      <w:r>
        <w:t xml:space="preserve"> </w:t>
      </w:r>
      <m:oMath>
        <m:r>
          <m:t>p</m:t>
        </m:r>
        <m:r>
          <m:t>d</m:t>
        </m:r>
      </m:oMath>
      <w:r>
        <w:t xml:space="preserve"> </w:t>
      </w:r>
      <w:r>
        <w:t xml:space="preserve">to enter this framework, it must coincide with that Bayes Factor, and this holds only under a specific condition. Because</w:t>
      </w:r>
      <w:r>
        <w:t xml:space="preserve"> </w:t>
      </w:r>
      <m:oMath>
        <m:r>
          <m:t>p</m:t>
        </m:r>
        <m:r>
          <m:t>d</m:t>
        </m:r>
      </m:oMath>
      <w:r>
        <w:t xml:space="preserve"> </w:t>
      </w:r>
      <w:r>
        <w:t xml:space="preserve">is the posterior probability mass on one side of</w:t>
      </w:r>
      <w:r>
        <w:t xml:space="preserve"> </w:t>
      </w:r>
      <m:oMath>
        <m:sSub>
          <m:e>
            <m:r>
              <m:t>θ</m:t>
            </m:r>
          </m:e>
          <m:sub>
            <m:r>
              <m:rPr>
                <m:nor/>
                <m:sty m:val="p"/>
              </m:rPr>
              <m:t>null</m:t>
            </m:r>
          </m:sub>
        </m:sSub>
      </m:oMath>
      <w:r>
        <w:t xml:space="preserve">, it maps directly onto the posterior odds between the two directional hypotheses (</w:t>
      </w:r>
      <m:oMath>
        <m:r>
          <m:t>θ</m:t>
        </m:r>
        <m:r>
          <m:rPr>
            <m:sty m:val="p"/>
          </m:rPr>
          <m:t>&gt;</m:t>
        </m:r>
        <m:sSub>
          <m:e>
            <m:r>
              <m:t>θ</m:t>
            </m:r>
          </m:e>
          <m:sub>
            <m:r>
              <m:rPr>
                <m:nor/>
                <m:sty m:val="p"/>
              </m:rPr>
              <m:t>null</m:t>
            </m:r>
          </m:sub>
        </m:sSub>
      </m:oMath>
      <w:r>
        <w:t xml:space="preserve"> </w:t>
      </w:r>
      <w:r>
        <w:t xml:space="preserve">vs. </w:t>
      </w:r>
      <m:oMath>
        <m:r>
          <m:t>θ</m:t>
        </m:r>
        <m:r>
          <m:rPr>
            <m:sty m:val="p"/>
          </m:rPr>
          <m:t>&lt;</m:t>
        </m:r>
        <m:sSub>
          <m:e>
            <m:r>
              <m:t>θ</m:t>
            </m:r>
          </m:e>
          <m:sub>
            <m:r>
              <m:rPr>
                <m:nor/>
                <m:sty m:val="p"/>
              </m:rPr>
              <m:t>null</m:t>
            </m:r>
          </m:sub>
        </m:sSub>
      </m:oMath>
      <w:r>
        <w:t xml:space="preserve">). These posterior odds equal the Bayes Factor only when the within-model prior is symmetric around</w:t>
      </w:r>
      <w:r>
        <w:t xml:space="preserve"> </w:t>
      </w:r>
      <m:oMath>
        <m:sSub>
          <m:e>
            <m:r>
              <m:t>θ</m:t>
            </m:r>
          </m:e>
          <m:sub>
            <m:r>
              <m:rPr>
                <m:nor/>
                <m:sty m:val="p"/>
              </m:rPr>
              <m:t>null</m:t>
            </m:r>
          </m:sub>
        </m:sSub>
      </m:oMath>
      <w:r>
        <w:t xml:space="preserve">: symmetry makes the two directions equally plausible a priori, so the prior odds are unity and the posterior odds reduce to the ratio of marginal likelihoods. This requirement is typically satisfied by the default priors in standard Bayesian software, and it remains compatible with any degree of prior information about effect magnitude, which is expressed through</w:t>
      </w:r>
      <w:r>
        <w:t xml:space="preserve"> </w:t>
      </w:r>
      <m:oMath>
        <m:sSub>
          <m:e>
            <m:r>
              <m:t>θ</m:t>
            </m:r>
          </m:e>
          <m:sub>
            <m:r>
              <m:rPr>
                <m:nor/>
                <m:sty m:val="p"/>
              </m:rPr>
              <m:t>null</m:t>
            </m:r>
          </m:sub>
        </m:sSub>
      </m:oMath>
      <w:r>
        <w:t xml:space="preserve">.</w:t>
      </w:r>
    </w:p>
    <w:bookmarkStart w:id="56" w:name="Xc0a5fd3dba2f40d3352b823beb7729489312e7a"/>
    <w:p>
      <w:pPr>
        <w:pStyle w:val="Heading2"/>
      </w:pPr>
      <w:r>
        <w:t xml:space="preserve">From posterior probabilities to posterior odds</w:t>
      </w:r>
    </w:p>
    <w:p>
      <w:pPr>
        <w:pStyle w:val="FirstParagraph"/>
      </w:pPr>
      <w:r>
        <w:t xml:space="preserve">To connect</w:t>
      </w:r>
      <w:r>
        <w:t xml:space="preserve"> </w:t>
      </w:r>
      <m:oMath>
        <m:r>
          <m:t>p</m:t>
        </m:r>
        <m:r>
          <m:t>d</m:t>
        </m:r>
      </m:oMath>
      <w:r>
        <w:t xml:space="preserve"> </w:t>
      </w:r>
      <w:r>
        <w:t xml:space="preserve">to posterior odds, consider the directional hypotheses</w:t>
      </w:r>
      <w:r>
        <w:t xml:space="preserve"> </w:t>
      </w:r>
      <m:oMath>
        <m:sSub>
          <m:e>
            <m:r>
              <m:t>H</m:t>
            </m:r>
          </m:e>
          <m:sub>
            <m:r>
              <m:rPr>
                <m:sty m:val="p"/>
              </m:rPr>
              <m:t>+</m:t>
            </m:r>
          </m:sub>
        </m:sSub>
        <m:r>
          <m:rPr>
            <m:sty m:val="p"/>
          </m:rPr>
          <m:t>:</m:t>
        </m:r>
        <m:r>
          <m:t>θ</m:t>
        </m:r>
        <m:r>
          <m:rPr>
            <m:sty m:val="p"/>
          </m:rPr>
          <m:t>&gt;</m:t>
        </m:r>
        <m:r>
          <m:t>0</m:t>
        </m:r>
      </m:oMath>
      <w:r>
        <w:t xml:space="preserve"> </w:t>
      </w:r>
      <w:r>
        <w:t xml:space="preserve">and</w:t>
      </w:r>
      <w:r>
        <w:t xml:space="preserve"> </w:t>
      </w:r>
      <m:oMath>
        <m:sSub>
          <m:e>
            <m:r>
              <m:t>H</m:t>
            </m:r>
          </m:e>
          <m:sub>
            <m:r>
              <m:rPr>
                <m:sty m:val="p"/>
              </m:rPr>
              <m:t>−</m:t>
            </m:r>
          </m:sub>
        </m:sSub>
        <m:r>
          <m:rPr>
            <m:sty m:val="p"/>
          </m:rPr>
          <m:t>:</m:t>
        </m:r>
        <m:r>
          <m:t>θ</m:t>
        </m:r>
        <m:r>
          <m:rPr>
            <m:sty m:val="p"/>
          </m:rPr>
          <m:t>&lt;</m:t>
        </m:r>
        <m:r>
          <m:t>0</m:t>
        </m:r>
      </m:oMath>
      <w:r>
        <w:t xml:space="preserve">. These hypotheses partition the parameter space based on the sign of</w:t>
      </w:r>
      <w:r>
        <w:t xml:space="preserve"> </w:t>
      </w:r>
      <m:oMath>
        <m:r>
          <m:t>θ</m:t>
        </m:r>
      </m:oMath>
      <w:r>
        <w:t xml:space="preserve">. If the prior for</w:t>
      </w:r>
      <w:r>
        <w:t xml:space="preserve"> </w:t>
      </w:r>
      <m:oMath>
        <m:r>
          <m:t>θ</m:t>
        </m:r>
      </m:oMath>
      <w:r>
        <w:t xml:space="preserve"> </w:t>
      </w:r>
      <w:r>
        <w:t xml:space="preserve">is continuous and symmetric about 0, then the two directions are equally plausible a priori:</w:t>
      </w:r>
      <w:r>
        <w:t xml:space="preserve"> </w:t>
      </w:r>
      <m:oMath>
        <m:r>
          <m:rPr>
            <m:sty m:val="p"/>
          </m:rPr>
          <m:t>Pr</m:t>
        </m:r>
        <m:d>
          <m:dPr>
            <m:begChr m:val="("/>
            <m:sepChr m:val=""/>
            <m:endChr m:val=")"/>
            <m:grow/>
          </m:dPr>
          <m:e>
            <m:sSub>
              <m:e>
                <m:r>
                  <m:t>H</m:t>
                </m:r>
              </m:e>
              <m:sub>
                <m:r>
                  <m:rPr>
                    <m:sty m:val="p"/>
                  </m:rPr>
                  <m:t>+</m:t>
                </m:r>
              </m:sub>
            </m:sSub>
          </m:e>
        </m:d>
        <m:r>
          <m:rPr>
            <m:sty m:val="p"/>
          </m:rPr>
          <m:t>=</m:t>
        </m:r>
        <m:r>
          <m:rPr>
            <m:sty m:val="p"/>
          </m:rPr>
          <m:t>Pr</m:t>
        </m:r>
        <m:d>
          <m:dPr>
            <m:begChr m:val="("/>
            <m:sepChr m:val=""/>
            <m:endChr m:val=")"/>
            <m:grow/>
          </m:dPr>
          <m:e>
            <m:sSub>
              <m:e>
                <m:r>
                  <m:t>H</m:t>
                </m:r>
              </m:e>
              <m:sub>
                <m:r>
                  <m:rPr>
                    <m:sty m:val="p"/>
                  </m:rPr>
                  <m:t>−</m:t>
                </m:r>
              </m:sub>
            </m:sSub>
          </m:e>
        </m:d>
        <m:r>
          <m:rPr>
            <m:sty m:val="p"/>
          </m:rPr>
          <m:t>=</m:t>
        </m:r>
        <m:r>
          <m:t>0.5</m:t>
        </m:r>
      </m:oMath>
      <w:r>
        <w:t xml:space="preserve">. Without loss of generality, assume the posterior favors</w:t>
      </w:r>
      <w:r>
        <w:t xml:space="preserve"> </w:t>
      </w:r>
      <m:oMath>
        <m:sSub>
          <m:e>
            <m:r>
              <m:t>H</m:t>
            </m:r>
          </m:e>
          <m:sub>
            <m:r>
              <m:rPr>
                <m:sty m:val="p"/>
              </m:rPr>
              <m:t>+</m:t>
            </m:r>
          </m:sub>
        </m:sSub>
      </m:oMath>
      <w:r>
        <w:t xml:space="preserve">, such that</w:t>
      </w:r>
      <w:r>
        <w:t xml:space="preserve"> </w:t>
      </w:r>
      <m:oMath>
        <m:r>
          <m:t>p</m:t>
        </m:r>
        <m:r>
          <m:t>d</m:t>
        </m:r>
        <m:r>
          <m:rPr>
            <m:sty m:val="p"/>
          </m:rPr>
          <m:t>=</m:t>
        </m:r>
        <m:r>
          <m:rPr>
            <m:sty m:val="p"/>
          </m:rPr>
          <m:t>Pr</m:t>
        </m:r>
        <m:d>
          <m:dPr>
            <m:begChr m:val="("/>
            <m:sepChr m:val=""/>
            <m:endChr m:val=")"/>
            <m:grow/>
          </m:dPr>
          <m:e>
            <m:sSub>
              <m:e>
                <m:r>
                  <m:t>H</m:t>
                </m:r>
              </m:e>
              <m:sub>
                <m:r>
                  <m:rPr>
                    <m:sty m:val="p"/>
                  </m:rPr>
                  <m:t>+</m:t>
                </m:r>
              </m:sub>
            </m:sSub>
            <m:r>
              <m:rPr>
                <m:sty m:val="p"/>
              </m:rPr>
              <m:t>∣</m:t>
            </m:r>
            <m:r>
              <m:t>y</m:t>
            </m:r>
          </m:e>
        </m:d>
        <m:r>
          <m:rPr>
            <m:sty m:val="p"/>
          </m:rPr>
          <m:t>=</m:t>
        </m:r>
        <m:r>
          <m:rPr>
            <m:sty m:val="p"/>
          </m:rPr>
          <m:t>Pr</m:t>
        </m:r>
        <m:d>
          <m:dPr>
            <m:begChr m:val="("/>
            <m:sepChr m:val=""/>
            <m:endChr m:val=")"/>
            <m:grow/>
          </m:dPr>
          <m:e>
            <m:r>
              <m:t>θ</m:t>
            </m:r>
            <m:r>
              <m:rPr>
                <m:sty m:val="p"/>
              </m:rPr>
              <m:t>&gt;</m:t>
            </m:r>
            <m:r>
              <m:t>0</m:t>
            </m:r>
            <m:r>
              <m:rPr>
                <m:sty m:val="p"/>
              </m:rPr>
              <m:t>∣</m:t>
            </m:r>
            <m:r>
              <m:t>y</m:t>
            </m:r>
          </m:e>
        </m:d>
      </m:oMath>
      <w:r>
        <w:t xml:space="preserve">. The complement is then given by</w:t>
      </w:r>
      <w:r>
        <w:t xml:space="preserve"> </w:t>
      </w:r>
      <m:oMath>
        <m:r>
          <m:t>1</m:t>
        </m:r>
        <m:r>
          <m:rPr>
            <m:sty m:val="p"/>
          </m:rPr>
          <m:t>−</m:t>
        </m:r>
        <m:r>
          <m:t>p</m:t>
        </m:r>
        <m:r>
          <m:t>d</m:t>
        </m:r>
        <m:r>
          <m:rPr>
            <m:sty m:val="p"/>
          </m:rPr>
          <m:t>=</m:t>
        </m:r>
        <m:r>
          <m:rPr>
            <m:sty m:val="p"/>
          </m:rPr>
          <m:t>Pr</m:t>
        </m:r>
        <m:d>
          <m:dPr>
            <m:begChr m:val="("/>
            <m:sepChr m:val=""/>
            <m:endChr m:val=")"/>
            <m:grow/>
          </m:dPr>
          <m:e>
            <m:r>
              <m:t>θ</m:t>
            </m:r>
            <m:r>
              <m:rPr>
                <m:sty m:val="p"/>
              </m:rPr>
              <m:t>≤</m:t>
            </m:r>
            <m:r>
              <m:t>0</m:t>
            </m:r>
            <m:r>
              <m:rPr>
                <m:sty m:val="p"/>
              </m:rPr>
              <m:t>∣</m:t>
            </m:r>
            <m:r>
              <m:t>y</m:t>
            </m:r>
          </m:e>
        </m:d>
      </m:oMath>
      <w:r>
        <w:t xml:space="preserve">. The posterior odds comparing these two hypotheses are therefore:</w:t>
      </w:r>
    </w:p>
    <w:p>
      <w:pPr>
        <w:pStyle w:val="BodyText"/>
      </w:pPr>
      <m:oMathPara>
        <m:oMathParaPr>
          <m:jc m:val="center"/>
        </m:oMathParaPr>
        <m:oMath>
          <m:f>
            <m:fPr>
              <m:type m:val="bar"/>
            </m:fPr>
            <m:num>
              <m:r>
                <m:t>p</m:t>
              </m:r>
              <m:r>
                <m:t>d</m:t>
              </m:r>
            </m:num>
            <m:den>
              <m:r>
                <m:t>1</m:t>
              </m:r>
              <m:r>
                <m:rPr>
                  <m:sty m:val="p"/>
                </m:rPr>
                <m:t>−</m:t>
              </m:r>
              <m:r>
                <m:t>p</m:t>
              </m:r>
              <m:r>
                <m:t>d</m:t>
              </m:r>
            </m:den>
          </m:f>
          <m:r>
            <m:rPr>
              <m:sty m:val="p"/>
            </m:rPr>
            <m:t>=</m:t>
          </m:r>
          <m:f>
            <m:fPr>
              <m:type m:val="bar"/>
            </m:fPr>
            <m:num>
              <m:r>
                <m:rPr>
                  <m:sty m:val="p"/>
                </m:rPr>
                <m:t>Pr</m:t>
              </m:r>
              <m:d>
                <m:dPr>
                  <m:begChr m:val="("/>
                  <m:sepChr m:val=""/>
                  <m:endChr m:val=")"/>
                  <m:grow/>
                </m:dPr>
                <m:e>
                  <m:sSub>
                    <m:e>
                      <m:r>
                        <m:t>H</m:t>
                      </m:r>
                    </m:e>
                    <m:sub>
                      <m:r>
                        <m:rPr>
                          <m:sty m:val="p"/>
                        </m:rPr>
                        <m:t>+</m:t>
                      </m:r>
                    </m:sub>
                  </m:sSub>
                  <m:r>
                    <m:rPr>
                      <m:sty m:val="p"/>
                    </m:rPr>
                    <m:t>∣</m:t>
                  </m:r>
                  <m:r>
                    <m:t>y</m:t>
                  </m:r>
                </m:e>
              </m:d>
            </m:num>
            <m:den>
              <m:r>
                <m:rPr>
                  <m:sty m:val="p"/>
                </m:rPr>
                <m:t>Pr</m:t>
              </m:r>
              <m:d>
                <m:dPr>
                  <m:begChr m:val="("/>
                  <m:sepChr m:val=""/>
                  <m:endChr m:val=")"/>
                  <m:grow/>
                </m:dPr>
                <m:e>
                  <m:sSub>
                    <m:e>
                      <m:r>
                        <m:t>H</m:t>
                      </m:r>
                    </m:e>
                    <m:sub>
                      <m:r>
                        <m:rPr>
                          <m:sty m:val="p"/>
                        </m:rPr>
                        <m:t>−</m:t>
                      </m:r>
                      <m:r>
                        <m:t>0</m:t>
                      </m:r>
                    </m:sub>
                  </m:sSub>
                  <m:r>
                    <m:rPr>
                      <m:sty m:val="p"/>
                    </m:rPr>
                    <m:t>∣</m:t>
                  </m:r>
                  <m:r>
                    <m:t>y</m:t>
                  </m:r>
                </m:e>
              </m:d>
            </m:den>
          </m:f>
        </m:oMath>
      </m:oMathPara>
    </w:p>
    <w:p>
      <w:pPr>
        <w:pStyle w:val="FirstParagraph"/>
      </w:pPr>
      <w:r>
        <w:t xml:space="preserve">For a continuous posterior distribution, the probability of any single value (e.g.,</w:t>
      </w:r>
      <w:r>
        <w:t xml:space="preserve"> </w:t>
      </w:r>
      <m:oMath>
        <m:r>
          <m:rPr>
            <m:sty m:val="p"/>
          </m:rPr>
          <m:t>Pr</m:t>
        </m:r>
        <m:d>
          <m:dPr>
            <m:begChr m:val="("/>
            <m:sepChr m:val=""/>
            <m:endChr m:val=")"/>
            <m:grow/>
          </m:dPr>
          <m:e>
            <m:r>
              <m:t>θ</m:t>
            </m:r>
            <m:r>
              <m:rPr>
                <m:sty m:val="p"/>
              </m:rPr>
              <m:t>=</m:t>
            </m:r>
            <m:r>
              <m:t>0</m:t>
            </m:r>
            <m:r>
              <m:rPr>
                <m:sty m:val="p"/>
              </m:rPr>
              <m:t>∣</m:t>
            </m:r>
            <m:r>
              <m:t>y</m:t>
            </m:r>
          </m:e>
        </m:d>
      </m:oMath>
      <w:r>
        <w:t xml:space="preserve">) is 0, which means that one could write</w:t>
      </w:r>
      <w:r>
        <w:t xml:space="preserve"> </w:t>
      </w:r>
      <m:oMath>
        <m:f>
          <m:fPr>
            <m:type m:val="bar"/>
          </m:fPr>
          <m:num>
            <m:r>
              <m:t>p</m:t>
            </m:r>
            <m:r>
              <m:t>d</m:t>
            </m:r>
          </m:num>
          <m:den>
            <m:r>
              <m:t>1</m:t>
            </m:r>
            <m:r>
              <m:rPr>
                <m:sty m:val="p"/>
              </m:rPr>
              <m:t>−</m:t>
            </m:r>
            <m:r>
              <m:t>p</m:t>
            </m:r>
            <m:r>
              <m:t>d</m:t>
            </m:r>
          </m:den>
        </m:f>
        <m:r>
          <m:rPr>
            <m:sty m:val="p"/>
          </m:rPr>
          <m:t>=</m:t>
        </m:r>
        <m:f>
          <m:fPr>
            <m:type m:val="bar"/>
          </m:fPr>
          <m:num>
            <m:r>
              <m:rPr>
                <m:sty m:val="p"/>
              </m:rPr>
              <m:t>Pr</m:t>
            </m:r>
            <m:d>
              <m:dPr>
                <m:begChr m:val="("/>
                <m:sepChr m:val=""/>
                <m:endChr m:val=")"/>
                <m:grow/>
              </m:dPr>
              <m:e>
                <m:sSub>
                  <m:e>
                    <m:r>
                      <m:t>H</m:t>
                    </m:r>
                  </m:e>
                  <m:sub>
                    <m:r>
                      <m:rPr>
                        <m:sty m:val="p"/>
                      </m:rPr>
                      <m:t>+</m:t>
                    </m:r>
                  </m:sub>
                </m:sSub>
                <m:r>
                  <m:rPr>
                    <m:sty m:val="p"/>
                  </m:rPr>
                  <m:t>∣</m:t>
                </m:r>
                <m:r>
                  <m:t>y</m:t>
                </m:r>
              </m:e>
            </m:d>
          </m:num>
          <m:den>
            <m:r>
              <m:rPr>
                <m:sty m:val="p"/>
              </m:rPr>
              <m:t>Pr</m:t>
            </m:r>
            <m:d>
              <m:dPr>
                <m:begChr m:val="("/>
                <m:sepChr m:val=""/>
                <m:endChr m:val=")"/>
                <m:grow/>
              </m:dPr>
              <m:e>
                <m:sSub>
                  <m:e>
                    <m:r>
                      <m:t>H</m:t>
                    </m:r>
                  </m:e>
                  <m:sub>
                    <m:r>
                      <m:rPr>
                        <m:sty m:val="p"/>
                      </m:rPr>
                      <m:t>−</m:t>
                    </m:r>
                  </m:sub>
                </m:sSub>
                <m:r>
                  <m:rPr>
                    <m:sty m:val="p"/>
                  </m:rPr>
                  <m:t>∣</m:t>
                </m:r>
                <m:r>
                  <m:t>y</m:t>
                </m:r>
              </m:e>
            </m:d>
          </m:den>
        </m:f>
      </m:oMath>
      <w:r>
        <w:t xml:space="preserve">. However, we retain the notation</w:t>
      </w:r>
      <w:r>
        <w:t xml:space="preserve"> </w:t>
      </w:r>
      <m:oMath>
        <m:sSub>
          <m:e>
            <m:r>
              <m:t>H</m:t>
            </m:r>
          </m:e>
          <m:sub>
            <m:r>
              <m:rPr>
                <m:sty m:val="p"/>
              </m:rPr>
              <m:t>−</m:t>
            </m:r>
            <m:r>
              <m:t>0</m:t>
            </m:r>
          </m:sub>
        </m:sSub>
      </m:oMath>
      <w:r>
        <w:t xml:space="preserve"> </w:t>
      </w:r>
      <w:r>
        <w:t xml:space="preserve">in the denominator to explicitly indicate that the hypothesis includes the point null value of zero. Applying Bayes’ rule, these posterior odds can be decomposed into a Bayes Factor and prior odds:</w:t>
      </w:r>
    </w:p>
    <w:p>
      <w:pPr>
        <w:pStyle w:val="BodyText"/>
      </w:pPr>
      <m:oMathPara>
        <m:oMathParaPr>
          <m:jc m:val="center"/>
        </m:oMathParaPr>
        <m:oMath>
          <m:f>
            <m:fPr>
              <m:type m:val="bar"/>
            </m:fPr>
            <m:num>
              <m:r>
                <m:rPr>
                  <m:sty m:val="p"/>
                </m:rPr>
                <m:t>Pr</m:t>
              </m:r>
              <m:d>
                <m:dPr>
                  <m:begChr m:val="("/>
                  <m:sepChr m:val=""/>
                  <m:endChr m:val=")"/>
                  <m:grow/>
                </m:dPr>
                <m:e>
                  <m:sSub>
                    <m:e>
                      <m:r>
                        <m:t>H</m:t>
                      </m:r>
                    </m:e>
                    <m:sub>
                      <m:r>
                        <m:rPr>
                          <m:sty m:val="p"/>
                        </m:rPr>
                        <m:t>+</m:t>
                      </m:r>
                    </m:sub>
                  </m:sSub>
                  <m:r>
                    <m:rPr>
                      <m:sty m:val="p"/>
                    </m:rPr>
                    <m:t>∣</m:t>
                  </m:r>
                  <m:r>
                    <m:t>y</m:t>
                  </m:r>
                </m:e>
              </m:d>
            </m:num>
            <m:den>
              <m:r>
                <m:rPr>
                  <m:sty m:val="p"/>
                </m:rPr>
                <m:t>Pr</m:t>
              </m:r>
              <m:d>
                <m:dPr>
                  <m:begChr m:val="("/>
                  <m:sepChr m:val=""/>
                  <m:endChr m:val=")"/>
                  <m:grow/>
                </m:dPr>
                <m:e>
                  <m:sSub>
                    <m:e>
                      <m:r>
                        <m:t>H</m:t>
                      </m:r>
                    </m:e>
                    <m:sub>
                      <m:r>
                        <m:rPr>
                          <m:sty m:val="p"/>
                        </m:rPr>
                        <m:t>−</m:t>
                      </m:r>
                      <m:r>
                        <m:t>0</m:t>
                      </m:r>
                    </m:sub>
                  </m:sSub>
                  <m:r>
                    <m:rPr>
                      <m:sty m:val="p"/>
                    </m:rPr>
                    <m:t>∣</m:t>
                  </m:r>
                  <m:r>
                    <m:t>y</m:t>
                  </m:r>
                </m:e>
              </m:d>
            </m:den>
          </m:f>
          <m:r>
            <m:rPr>
              <m:sty m:val="p"/>
            </m:rPr>
            <m:t>=</m:t>
          </m:r>
          <m:sSub>
            <m:e>
              <m:r>
                <m:rPr>
                  <m:nor/>
                  <m:sty m:val="p"/>
                </m:rPr>
                <m:t>BF</m:t>
              </m:r>
            </m:e>
            <m:sub>
              <m:r>
                <m:rPr>
                  <m:sty m:val="p"/>
                </m:rPr>
                <m:t>+</m:t>
              </m:r>
              <m:r>
                <m:rPr>
                  <m:sty m:val="p"/>
                </m:rPr>
                <m:t>/</m:t>
              </m:r>
              <m:r>
                <m:rPr>
                  <m:sty m:val="p"/>
                </m:rPr>
                <m:t>−</m:t>
              </m:r>
              <m:r>
                <m:t>0</m:t>
              </m:r>
            </m:sub>
          </m:sSub>
          <m:r>
            <m:rPr>
              <m:sty m:val="p"/>
            </m:rPr>
            <m:t>×</m:t>
          </m:r>
          <m:f>
            <m:fPr>
              <m:type m:val="bar"/>
            </m:fPr>
            <m:num>
              <m:r>
                <m:rPr>
                  <m:sty m:val="p"/>
                </m:rPr>
                <m:t>Pr</m:t>
              </m:r>
              <m:d>
                <m:dPr>
                  <m:begChr m:val="("/>
                  <m:sepChr m:val=""/>
                  <m:endChr m:val=")"/>
                  <m:grow/>
                </m:dPr>
                <m:e>
                  <m:sSub>
                    <m:e>
                      <m:r>
                        <m:t>H</m:t>
                      </m:r>
                    </m:e>
                    <m:sub>
                      <m:r>
                        <m:rPr>
                          <m:sty m:val="p"/>
                        </m:rPr>
                        <m:t>+</m:t>
                      </m:r>
                    </m:sub>
                  </m:sSub>
                </m:e>
              </m:d>
            </m:num>
            <m:den>
              <m:r>
                <m:rPr>
                  <m:sty m:val="p"/>
                </m:rPr>
                <m:t>Pr</m:t>
              </m:r>
              <m:d>
                <m:dPr>
                  <m:begChr m:val="("/>
                  <m:sepChr m:val=""/>
                  <m:endChr m:val=")"/>
                  <m:grow/>
                </m:dPr>
                <m:e>
                  <m:sSub>
                    <m:e>
                      <m:r>
                        <m:t>H</m:t>
                      </m:r>
                    </m:e>
                    <m:sub>
                      <m:r>
                        <m:rPr>
                          <m:sty m:val="p"/>
                        </m:rPr>
                        <m:t>−</m:t>
                      </m:r>
                      <m:r>
                        <m:t>0</m:t>
                      </m:r>
                    </m:sub>
                  </m:sSub>
                </m:e>
              </m:d>
            </m:den>
          </m:f>
        </m:oMath>
      </m:oMathPara>
    </w:p>
    <w:p>
      <w:pPr>
        <w:pStyle w:val="FirstParagraph"/>
      </w:pPr>
      <w:r>
        <w:t xml:space="preserve">where</w:t>
      </w:r>
      <w:r>
        <w:t xml:space="preserve"> </w:t>
      </w:r>
      <m:oMath>
        <m:sSub>
          <m:e>
            <m:r>
              <m:rPr>
                <m:nor/>
                <m:sty m:val="p"/>
              </m:rPr>
              <m:t>BF</m:t>
            </m:r>
          </m:e>
          <m:sub>
            <m:r>
              <m:rPr>
                <m:sty m:val="p"/>
              </m:rPr>
              <m:t>+</m:t>
            </m:r>
            <m:r>
              <m:rPr>
                <m:sty m:val="p"/>
              </m:rPr>
              <m:t>/</m:t>
            </m:r>
            <m:r>
              <m:rPr>
                <m:sty m:val="p"/>
              </m:rPr>
              <m:t>−</m:t>
            </m:r>
            <m:r>
              <m:t>0</m:t>
            </m:r>
          </m:sub>
        </m:sSub>
      </m:oMath>
      <w:r>
        <w:t xml:space="preserve"> </w:t>
      </w:r>
      <w:r>
        <w:t xml:space="preserve">quantifies the relative likelihood of the data under</w:t>
      </w:r>
      <w:r>
        <w:t xml:space="preserve"> </w:t>
      </w:r>
      <m:oMath>
        <m:sSub>
          <m:e>
            <m:r>
              <m:t>H</m:t>
            </m:r>
          </m:e>
          <m:sub>
            <m:r>
              <m:rPr>
                <m:sty m:val="p"/>
              </m:rPr>
              <m:t>+</m:t>
            </m:r>
          </m:sub>
        </m:sSub>
      </m:oMath>
      <w:r>
        <w:t xml:space="preserve"> </w:t>
      </w:r>
      <w:r>
        <w:t xml:space="preserve">versus</w:t>
      </w:r>
      <w:r>
        <w:t xml:space="preserve"> </w:t>
      </w:r>
      <m:oMath>
        <m:sSub>
          <m:e>
            <m:r>
              <m:t>H</m:t>
            </m:r>
          </m:e>
          <m:sub>
            <m:r>
              <m:rPr>
                <m:sty m:val="p"/>
              </m:rPr>
              <m:t>−</m:t>
            </m:r>
            <m:r>
              <m:t>0</m:t>
            </m:r>
          </m:sub>
        </m:sSub>
      </m:oMath>
      <w:r>
        <w:t xml:space="preserve">. Under prior symmetry,</w:t>
      </w:r>
      <w:r>
        <w:t xml:space="preserve"> </w:t>
      </w:r>
      <m:oMath>
        <m:f>
          <m:fPr>
            <m:type m:val="bar"/>
          </m:fPr>
          <m:num>
            <m:r>
              <m:rPr>
                <m:sty m:val="p"/>
              </m:rPr>
              <m:t>Pr</m:t>
            </m:r>
            <m:d>
              <m:dPr>
                <m:begChr m:val="("/>
                <m:sepChr m:val=""/>
                <m:endChr m:val=")"/>
                <m:grow/>
              </m:dPr>
              <m:e>
                <m:sSub>
                  <m:e>
                    <m:r>
                      <m:t>H</m:t>
                    </m:r>
                  </m:e>
                  <m:sub>
                    <m:r>
                      <m:rPr>
                        <m:sty m:val="p"/>
                      </m:rPr>
                      <m:t>+</m:t>
                    </m:r>
                  </m:sub>
                </m:sSub>
              </m:e>
            </m:d>
          </m:num>
          <m:den>
            <m:r>
              <m:rPr>
                <m:sty m:val="p"/>
              </m:rPr>
              <m:t>Pr</m:t>
            </m:r>
            <m:d>
              <m:dPr>
                <m:begChr m:val="("/>
                <m:sepChr m:val=""/>
                <m:endChr m:val=")"/>
                <m:grow/>
              </m:dPr>
              <m:e>
                <m:sSub>
                  <m:e>
                    <m:r>
                      <m:t>H</m:t>
                    </m:r>
                  </m:e>
                  <m:sub>
                    <m:r>
                      <m:rPr>
                        <m:sty m:val="p"/>
                      </m:rPr>
                      <m:t>−</m:t>
                    </m:r>
                    <m:r>
                      <m:t>0</m:t>
                    </m:r>
                  </m:sub>
                </m:sSub>
              </m:e>
            </m:d>
          </m:den>
        </m:f>
        <m:r>
          <m:rPr>
            <m:sty m:val="p"/>
          </m:rPr>
          <m:t>=</m:t>
        </m:r>
        <m:r>
          <m:t>1</m:t>
        </m:r>
      </m:oMath>
      <w:r>
        <w:t xml:space="preserve">, which yields</w:t>
      </w:r>
      <w:r>
        <w:t xml:space="preserve"> </w:t>
      </w:r>
      <m:oMath>
        <m:f>
          <m:fPr>
            <m:type m:val="bar"/>
          </m:fPr>
          <m:num>
            <m:r>
              <m:t>p</m:t>
            </m:r>
            <m:r>
              <m:t>d</m:t>
            </m:r>
          </m:num>
          <m:den>
            <m:r>
              <m:t>1</m:t>
            </m:r>
            <m:r>
              <m:rPr>
                <m:sty m:val="p"/>
              </m:rPr>
              <m:t>−</m:t>
            </m:r>
            <m:r>
              <m:t>p</m:t>
            </m:r>
            <m:r>
              <m:t>d</m:t>
            </m:r>
          </m:den>
        </m:f>
        <m:r>
          <m:rPr>
            <m:sty m:val="p"/>
          </m:rPr>
          <m:t>=</m:t>
        </m:r>
        <m:sSub>
          <m:e>
            <m:r>
              <m:rPr>
                <m:nor/>
                <m:sty m:val="p"/>
              </m:rPr>
              <m:t>BF</m:t>
            </m:r>
          </m:e>
          <m:sub>
            <m:r>
              <m:rPr>
                <m:sty m:val="p"/>
              </m:rPr>
              <m:t>+</m:t>
            </m:r>
            <m:r>
              <m:rPr>
                <m:sty m:val="p"/>
              </m:rPr>
              <m:t>/</m:t>
            </m:r>
            <m:r>
              <m:rPr>
                <m:sty m:val="p"/>
              </m:rPr>
              <m:t>−</m:t>
            </m:r>
            <m:r>
              <m:t>0</m:t>
            </m:r>
          </m:sub>
        </m:sSub>
      </m:oMath>
      <w:r>
        <w:t xml:space="preserve"> </w:t>
      </w:r>
      <w:r>
        <w:t xml:space="preserve">(</w:t>
      </w:r>
      <w:hyperlink w:anchor="ref-Marsman2017">
        <w:r>
          <w:rPr>
            <w:rStyle w:val="Hyperlink"/>
          </w:rPr>
          <w:t xml:space="preserve">Marsman &amp; Wagenmakers, 2017</w:t>
        </w:r>
      </w:hyperlink>
      <w:r>
        <w:t xml:space="preserve">)</w:t>
      </w:r>
      <w:r>
        <w:t xml:space="preserve">. Thus, the odds</w:t>
      </w:r>
      <w:r>
        <w:t xml:space="preserve"> </w:t>
      </w:r>
      <m:oMath>
        <m:f>
          <m:fPr>
            <m:type m:val="bar"/>
          </m:fPr>
          <m:num>
            <m:r>
              <m:t>p</m:t>
            </m:r>
            <m:r>
              <m:t>d</m:t>
            </m:r>
          </m:num>
          <m:den>
            <m:r>
              <m:t>1</m:t>
            </m:r>
            <m:r>
              <m:rPr>
                <m:sty m:val="p"/>
              </m:rPr>
              <m:t>−</m:t>
            </m:r>
            <m:r>
              <m:t>p</m:t>
            </m:r>
            <m:r>
              <m:t>d</m:t>
            </m:r>
          </m:den>
        </m:f>
      </m:oMath>
      <w:r>
        <w:t xml:space="preserve"> </w:t>
      </w:r>
      <w:r>
        <w:t xml:space="preserve">computed from posterior draws can be interpreted directly as evidence favoring</w:t>
      </w:r>
      <w:r>
        <w:t xml:space="preserve"> </w:t>
      </w:r>
      <m:oMath>
        <m:r>
          <m:t>θ</m:t>
        </m:r>
        <m:r>
          <m:rPr>
            <m:sty m:val="p"/>
          </m:rPr>
          <m:t>&gt;</m:t>
        </m:r>
        <m:r>
          <m:t>0</m:t>
        </m:r>
      </m:oMath>
      <w:r>
        <w:t xml:space="preserve"> </w:t>
      </w:r>
      <w:r>
        <w:t xml:space="preserve">over</w:t>
      </w:r>
      <w:r>
        <w:t xml:space="preserve"> </w:t>
      </w:r>
      <m:oMath>
        <m:r>
          <m:t>θ</m:t>
        </m:r>
        <m:r>
          <m:rPr>
            <m:sty m:val="p"/>
          </m:rPr>
          <m:t>≤</m:t>
        </m:r>
        <m:r>
          <m:t>0</m:t>
        </m:r>
      </m:oMath>
      <w:r>
        <w:t xml:space="preserve"> </w:t>
      </w:r>
      <w:r>
        <w:t xml:space="preserve">(or</w:t>
      </w:r>
      <w:r>
        <w:t xml:space="preserve"> </w:t>
      </w:r>
      <m:oMath>
        <m:r>
          <m:t>θ</m:t>
        </m:r>
        <m:r>
          <m:rPr>
            <m:sty m:val="p"/>
          </m:rPr>
          <m:t>&lt;</m:t>
        </m:r>
        <m:r>
          <m:t>0</m:t>
        </m:r>
      </m:oMath>
      <w:r>
        <w:t xml:space="preserve"> </w:t>
      </w:r>
      <w:r>
        <w:t xml:space="preserve">over</w:t>
      </w:r>
      <w:r>
        <w:t xml:space="preserve"> </w:t>
      </w:r>
      <m:oMath>
        <m:r>
          <m:t>θ</m:t>
        </m:r>
        <m:r>
          <m:rPr>
            <m:sty m:val="p"/>
          </m:rPr>
          <m:t>≥</m:t>
        </m:r>
        <m:r>
          <m:t>0</m:t>
        </m:r>
      </m:oMath>
      <w:r>
        <w:t xml:space="preserve">).</w:t>
      </w:r>
    </w:p>
    <w:bookmarkEnd w:id="56"/>
    <w:bookmarkStart w:id="61" w:name="multiplicity-adjustment-via-prior-odds"/>
    <w:p>
      <w:pPr>
        <w:pStyle w:val="Heading2"/>
      </w:pPr>
      <w:r>
        <w:t xml:space="preserve">Multiplicity adjustment via prior odds</w:t>
      </w:r>
    </w:p>
    <w:p>
      <w:pPr>
        <w:pStyle w:val="FirstParagraph"/>
      </w:pPr>
      <w:r>
        <w:t xml:space="preserve">For each test</w:t>
      </w:r>
      <w:r>
        <w:t xml:space="preserve"> </w:t>
      </w:r>
      <m:oMath>
        <m:r>
          <m:t>i</m:t>
        </m:r>
        <m:r>
          <m:rPr>
            <m:sty m:val="p"/>
          </m:rPr>
          <m:t>=</m:t>
        </m:r>
        <m:r>
          <m:t>1</m:t>
        </m:r>
        <m:r>
          <m:rPr>
            <m:sty m:val="p"/>
          </m:rPr>
          <m:t>,</m:t>
        </m:r>
        <m:r>
          <m:rPr>
            <m:sty m:val="p"/>
          </m:rPr>
          <m:t>…</m:t>
        </m:r>
        <m:r>
          <m:rPr>
            <m:sty m:val="p"/>
          </m:rPr>
          <m:t>,</m:t>
        </m:r>
        <m:r>
          <m:t>m</m:t>
        </m:r>
      </m:oMath>
      <w:r>
        <w:t xml:space="preserve">, let</w:t>
      </w:r>
      <w:r>
        <w:t xml:space="preserve"> </w:t>
      </w:r>
      <m:oMath>
        <m:sSub>
          <m:e>
            <m:r>
              <m:t>H</m:t>
            </m:r>
          </m:e>
          <m:sub>
            <m:r>
              <m:t>1</m:t>
            </m:r>
            <m:r>
              <m:rPr>
                <m:sty m:val="p"/>
              </m:rPr>
              <m:t>,</m:t>
            </m:r>
            <m:r>
              <m:t>i</m:t>
            </m:r>
          </m:sub>
        </m:sSub>
      </m:oMath>
      <w:r>
        <w:t xml:space="preserve"> </w:t>
      </w:r>
      <w:r>
        <w:t xml:space="preserve">denote the directional claim corresponding to the posterior-dominant sign, used to compute</w:t>
      </w:r>
      <w:r>
        <w:t xml:space="preserve"> </w:t>
      </w:r>
      <m:oMath>
        <m:r>
          <m:t>p</m:t>
        </m:r>
        <m:sSub>
          <m:e>
            <m:r>
              <m:t>d</m:t>
            </m:r>
          </m:e>
          <m:sub>
            <m:r>
              <m:t>i</m:t>
            </m:r>
          </m:sub>
        </m:sSub>
        <m:r>
          <m:rPr>
            <m:sty m:val="p"/>
          </m:rPr>
          <m:t>=</m:t>
        </m:r>
        <m:r>
          <m:rPr>
            <m:sty m:val="p"/>
          </m:rPr>
          <m:t>Pr</m:t>
        </m:r>
        <m:d>
          <m:dPr>
            <m:begChr m:val="("/>
            <m:sepChr m:val=""/>
            <m:endChr m:val=")"/>
            <m:grow/>
          </m:dPr>
          <m:e>
            <m:sSub>
              <m:e>
                <m:r>
                  <m:t>H</m:t>
                </m:r>
              </m:e>
              <m:sub>
                <m:r>
                  <m:t>1</m:t>
                </m:r>
                <m:r>
                  <m:rPr>
                    <m:sty m:val="p"/>
                  </m:rPr>
                  <m:t>,</m:t>
                </m:r>
                <m:r>
                  <m:t>i</m:t>
                </m:r>
              </m:sub>
            </m:sSub>
            <m:r>
              <m:rPr>
                <m:sty m:val="p"/>
              </m:rPr>
              <m:t>∣</m:t>
            </m:r>
            <m:r>
              <m:t>y</m:t>
            </m:r>
          </m:e>
        </m:d>
      </m:oMath>
      <w:r>
        <w:t xml:space="preserve">, with complement</w:t>
      </w:r>
      <w:r>
        <w:t xml:space="preserve"> </w:t>
      </w:r>
      <m:oMath>
        <m:r>
          <m:rPr>
            <m:sty m:val="p"/>
          </m:rPr>
          <m:t>Pr</m:t>
        </m:r>
        <m:d>
          <m:dPr>
            <m:begChr m:val="("/>
            <m:sepChr m:val=""/>
            <m:endChr m:val=")"/>
            <m:grow/>
          </m:dPr>
          <m:e>
            <m:sSub>
              <m:e>
                <m:r>
                  <m:t>H</m:t>
                </m:r>
              </m:e>
              <m:sub>
                <m:r>
                  <m:t>0</m:t>
                </m:r>
                <m:r>
                  <m:rPr>
                    <m:sty m:val="p"/>
                  </m:rPr>
                  <m:t>,</m:t>
                </m:r>
                <m:r>
                  <m:t>i</m:t>
                </m:r>
              </m:sub>
            </m:sSub>
            <m:r>
              <m:rPr>
                <m:sty m:val="p"/>
              </m:rPr>
              <m:t>∣</m:t>
            </m:r>
            <m:r>
              <m:t>y</m:t>
            </m:r>
          </m:e>
        </m:d>
        <m:r>
          <m:rPr>
            <m:sty m:val="p"/>
          </m:rPr>
          <m:t>=</m:t>
        </m:r>
        <m:r>
          <m:t>1</m:t>
        </m:r>
        <m:r>
          <m:rPr>
            <m:sty m:val="p"/>
          </m:rPr>
          <m:t>−</m:t>
        </m:r>
        <m:r>
          <m:t>p</m:t>
        </m:r>
        <m:sSub>
          <m:e>
            <m:r>
              <m:t>d</m:t>
            </m:r>
          </m:e>
          <m:sub>
            <m:r>
              <m:t>i</m:t>
            </m:r>
          </m:sub>
        </m:sSub>
      </m:oMath>
      <w:r>
        <w:t xml:space="preserve">. If the</w:t>
      </w:r>
      <w:r>
        <w:t xml:space="preserve"> </w:t>
      </w:r>
      <m:oMath>
        <m:r>
          <m:t>m</m:t>
        </m:r>
      </m:oMath>
      <w:r>
        <w:t xml:space="preserve"> </w:t>
      </w:r>
      <w:r>
        <w:t xml:space="preserve">tests are exchangeable and</w:t>
      </w:r>
      <w:r>
        <w:t xml:space="preserve"> </w:t>
      </w:r>
      <m:oMath>
        <m:sSub>
          <m:e>
            <m:r>
              <m:t>π</m:t>
            </m:r>
          </m:e>
          <m:sub>
            <m:r>
              <m:t>0</m:t>
            </m:r>
          </m:sub>
        </m:sSub>
        <m:r>
          <m:rPr>
            <m:sty m:val="p"/>
          </m:rPr>
          <m:t>=</m:t>
        </m:r>
        <m:r>
          <m:rPr>
            <m:sty m:val="p"/>
          </m:rPr>
          <m:t>Pr</m:t>
        </m:r>
        <m:d>
          <m:dPr>
            <m:begChr m:val="("/>
            <m:sepChr m:val=""/>
            <m:endChr m:val=")"/>
            <m:grow/>
          </m:dPr>
          <m:e>
            <m:sSub>
              <m:e>
                <m:r>
                  <m:t>H</m:t>
                </m:r>
              </m:e>
              <m:sub>
                <m:r>
                  <m:t>0</m:t>
                </m:r>
                <m:r>
                  <m:rPr>
                    <m:sty m:val="p"/>
                  </m:rPr>
                  <m:t>,</m:t>
                </m:r>
                <m:r>
                  <m:t>i</m:t>
                </m:r>
              </m:sub>
            </m:sSub>
          </m:e>
        </m:d>
      </m:oMath>
      <w:r>
        <w:t xml:space="preserve"> </w:t>
      </w:r>
      <w:r>
        <w:t xml:space="preserve">denotes the prior probability that the data-disfavored hypothesis holds for a given test, then</w:t>
      </w:r>
      <w:r>
        <w:t xml:space="preserve"> </w:t>
      </w:r>
      <m:oMath>
        <m:sSub>
          <m:e>
            <m:r>
              <m:t>π</m:t>
            </m:r>
          </m:e>
          <m:sub>
            <m:r>
              <m:t>0</m:t>
            </m:r>
          </m:sub>
        </m:sSub>
      </m:oMath>
      <w:r>
        <w:t xml:space="preserve"> </w:t>
      </w:r>
      <w:r>
        <w:t xml:space="preserve">is the expected proportion of tests for which no genuine effect exists in the favored direction; accordingly, the expected number of such tests is</w:t>
      </w:r>
      <w:r>
        <w:t xml:space="preserve"> </w:t>
      </w:r>
      <m:oMath>
        <m:r>
          <m:t>m</m:t>
        </m:r>
        <m:sSub>
          <m:e>
            <m:r>
              <m:t>π</m:t>
            </m:r>
          </m:e>
          <m:sub>
            <m:r>
              <m:t>0</m:t>
            </m:r>
          </m:sub>
        </m:sSub>
      </m:oMath>
      <w:r>
        <w:t xml:space="preserve">.</w:t>
      </w:r>
    </w:p>
    <w:p>
      <w:pPr>
        <w:pStyle w:val="BodyText"/>
      </w:pPr>
      <w:r>
        <w:t xml:space="preserve">If the tests are independent, the probability of the global null</w:t>
      </w:r>
      <w:r>
        <w:t xml:space="preserve"> </w:t>
      </w:r>
      <m:oMath>
        <m:sSub>
          <m:e>
            <m:r>
              <m:t>H</m:t>
            </m:r>
          </m:e>
          <m:sub>
            <m:r>
              <m:t>0</m:t>
            </m:r>
          </m:sub>
        </m:sSub>
      </m:oMath>
      <w:r>
        <w:t xml:space="preserve">, the event that no tested effect lies in its data-favored direction, is:</w:t>
      </w:r>
    </w:p>
    <w:p>
      <w:pPr>
        <w:pStyle w:val="BodyText"/>
      </w:pPr>
      <m:oMathPara>
        <m:oMathParaPr>
          <m:jc m:val="center"/>
        </m:oMathParaPr>
        <m:oMath>
          <m:r>
            <m:rPr>
              <m:sty m:val="p"/>
            </m:rPr>
            <m:t>Pr</m:t>
          </m:r>
          <m:d>
            <m:dPr>
              <m:begChr m:val="("/>
              <m:sepChr m:val=""/>
              <m:endChr m:val=")"/>
              <m:grow/>
            </m:dPr>
            <m:e>
              <m:sSub>
                <m:e>
                  <m:r>
                    <m:t>H</m:t>
                  </m:r>
                </m:e>
                <m:sub>
                  <m:r>
                    <m:t>0</m:t>
                  </m:r>
                </m:sub>
              </m:sSub>
            </m:e>
          </m:d>
          <m:r>
            <m:rPr>
              <m:sty m:val="p"/>
            </m:rPr>
            <m:t>=</m:t>
          </m:r>
          <m:sSubSup>
            <m:e>
              <m:r>
                <m:t>π</m:t>
              </m:r>
            </m:e>
            <m:sub>
              <m:r>
                <m:t>0</m:t>
              </m:r>
            </m:sub>
            <m:sup>
              <m:r>
                <m:t>m</m:t>
              </m:r>
            </m:sup>
          </m:sSubSup>
          <m:r>
            <m:rPr>
              <m:sty m:val="p"/>
            </m:rPr>
            <m:t>,</m:t>
          </m:r>
          <m:r>
            <m:t>  </m:t>
          </m:r>
          <m:r>
            <m:rPr>
              <m:nor/>
              <m:sty m:val="p"/>
            </m:rPr>
            <m:t>equivalently</m:t>
          </m:r>
          <m:r>
            <m:t>  </m:t>
          </m:r>
          <m:sSub>
            <m:e>
              <m:r>
                <m:t>π</m:t>
              </m:r>
            </m:e>
            <m:sub>
              <m:r>
                <m:t>0</m:t>
              </m:r>
            </m:sub>
          </m:sSub>
          <m:r>
            <m:rPr>
              <m:sty m:val="p"/>
            </m:rPr>
            <m:t>=</m:t>
          </m:r>
          <m:r>
            <m:rPr>
              <m:sty m:val="p"/>
            </m:rPr>
            <m:t>Pr</m:t>
          </m:r>
          <m:sSup>
            <m:e>
              <m:d>
                <m:dPr>
                  <m:begChr m:val="("/>
                  <m:sepChr m:val=""/>
                  <m:endChr m:val=")"/>
                  <m:grow/>
                </m:dPr>
                <m:e>
                  <m:sSub>
                    <m:e>
                      <m:r>
                        <m:t>H</m:t>
                      </m:r>
                    </m:e>
                    <m:sub>
                      <m:r>
                        <m:t>0</m:t>
                      </m:r>
                    </m:sub>
                  </m:sSub>
                </m:e>
              </m:d>
            </m:e>
            <m:sup>
              <m:r>
                <m:t>1</m:t>
              </m:r>
              <m:r>
                <m:rPr>
                  <m:sty m:val="p"/>
                </m:rPr>
                <m:t>/</m:t>
              </m:r>
              <m:r>
                <m:t>m</m:t>
              </m:r>
            </m:sup>
          </m:sSup>
          <m:r>
            <m:rPr>
              <m:sty m:val="p"/>
            </m:rPr>
            <m:t>.</m:t>
          </m:r>
        </m:oMath>
      </m:oMathPara>
    </w:p>
    <w:p>
      <w:pPr>
        <w:pStyle w:val="FirstParagraph"/>
      </w:pPr>
      <w:r>
        <w:t xml:space="preserve">In this scenario, setting</w:t>
      </w:r>
      <w:r>
        <w:t xml:space="preserve"> </w:t>
      </w:r>
      <m:oMath>
        <m:sSub>
          <m:e>
            <m:r>
              <m:t>π</m:t>
            </m:r>
          </m:e>
          <m:sub>
            <m:r>
              <m:t>0</m:t>
            </m:r>
          </m:sub>
        </m:sSub>
        <m:r>
          <m:rPr>
            <m:sty m:val="p"/>
          </m:rPr>
          <m:t>=</m:t>
        </m:r>
        <m:r>
          <m:rPr>
            <m:sty m:val="p"/>
          </m:rPr>
          <m:t>Pr</m:t>
        </m:r>
        <m:d>
          <m:dPr>
            <m:begChr m:val="("/>
            <m:sepChr m:val=""/>
            <m:endChr m:val=")"/>
            <m:grow/>
          </m:dPr>
          <m:e>
            <m:sSub>
              <m:e>
                <m:r>
                  <m:t>H</m:t>
                </m:r>
              </m:e>
              <m:sub>
                <m:r>
                  <m:t>1</m:t>
                </m:r>
                <m:r>
                  <m:rPr>
                    <m:sty m:val="p"/>
                  </m:rPr>
                  <m:t>,</m:t>
                </m:r>
                <m:r>
                  <m:t>i</m:t>
                </m:r>
              </m:sub>
            </m:sSub>
          </m:e>
        </m:d>
        <m:r>
          <m:rPr>
            <m:sty m:val="p"/>
          </m:rPr>
          <m:t>=</m:t>
        </m:r>
        <m:r>
          <m:rPr>
            <m:sty m:val="p"/>
          </m:rPr>
          <m:t>Pr</m:t>
        </m:r>
        <m:d>
          <m:dPr>
            <m:begChr m:val="("/>
            <m:sepChr m:val=""/>
            <m:endChr m:val=")"/>
            <m:grow/>
          </m:dPr>
          <m:e>
            <m:sSub>
              <m:e>
                <m:r>
                  <m:t>H</m:t>
                </m:r>
              </m:e>
              <m:sub>
                <m:r>
                  <m:t>0</m:t>
                </m:r>
                <m:r>
                  <m:rPr>
                    <m:sty m:val="p"/>
                  </m:rPr>
                  <m:t>,</m:t>
                </m:r>
                <m:r>
                  <m:t>i</m:t>
                </m:r>
              </m:sub>
            </m:sSub>
          </m:e>
        </m:d>
        <m:r>
          <m:rPr>
            <m:sty m:val="p"/>
          </m:rPr>
          <m:t>=</m:t>
        </m:r>
        <m:r>
          <m:t>0.5</m:t>
        </m:r>
      </m:oMath>
      <w:r>
        <w:t xml:space="preserve"> </w:t>
      </w:r>
      <w:r>
        <w:t xml:space="preserve">(the symmetric prior introduced in the previous section) assigns near-certainty to the event that at least one effect lies in its claimed direction, since</w:t>
      </w:r>
      <w:r>
        <w:t xml:space="preserve"> </w:t>
      </w:r>
      <m:oMath>
        <m:r>
          <m:rPr>
            <m:sty m:val="p"/>
          </m:rPr>
          <m:t>Pr</m:t>
        </m:r>
        <m:d>
          <m:dPr>
            <m:begChr m:val="("/>
            <m:sepChr m:val=""/>
            <m:endChr m:val=")"/>
            <m:grow/>
          </m:dPr>
          <m:e>
            <m:sSub>
              <m:e>
                <m:r>
                  <m:t>H</m:t>
                </m:r>
              </m:e>
              <m:sub>
                <m:r>
                  <m:t>0</m:t>
                </m:r>
              </m:sub>
            </m:sSub>
          </m:e>
        </m:d>
        <m:r>
          <m:rPr>
            <m:sty m:val="p"/>
          </m:rPr>
          <m:t>=</m:t>
        </m:r>
        <m:sSup>
          <m:e>
            <m:r>
              <m:t>0.5</m:t>
            </m:r>
          </m:e>
          <m:sup>
            <m:r>
              <m:t>m</m:t>
            </m:r>
          </m:sup>
        </m:sSup>
      </m:oMath>
      <w:r>
        <w:t xml:space="preserve"> </w:t>
      </w:r>
      <w:r>
        <w:t xml:space="preserve">tends to</w:t>
      </w:r>
      <w:r>
        <w:t xml:space="preserve"> </w:t>
      </w:r>
      <m:oMath>
        <m:r>
          <m:t>0</m:t>
        </m:r>
      </m:oMath>
      <w:r>
        <w:t xml:space="preserve"> </w:t>
      </w:r>
      <w:r>
        <w:t xml:space="preserve">as</w:t>
      </w:r>
      <w:r>
        <w:t xml:space="preserve"> </w:t>
      </w:r>
      <m:oMath>
        <m:r>
          <m:t>m</m:t>
        </m:r>
      </m:oMath>
      <w:r>
        <w:t xml:space="preserve"> </w:t>
      </w:r>
      <w:r>
        <w:t xml:space="preserve">grows. A principled response is to redistribute prior probability toward the data-disfavored hypothesis for each claim as a function of family size</w:t>
      </w:r>
      <w:r>
        <w:t xml:space="preserve"> </w:t>
      </w:r>
      <m:oMath>
        <m:r>
          <m:t>m</m:t>
        </m:r>
      </m:oMath>
      <w:r>
        <w:t xml:space="preserve"> </w:t>
      </w:r>
      <w:r>
        <w:t xml:space="preserve">(</w:t>
      </w:r>
      <w:hyperlink w:anchor="ref-Jeffreys1938">
        <w:r>
          <w:rPr>
            <w:rStyle w:val="Hyperlink"/>
          </w:rPr>
          <w:t xml:space="preserve">Jeffreys, 1938</w:t>
        </w:r>
      </w:hyperlink>
      <w:r>
        <w:t xml:space="preserve">;</w:t>
      </w:r>
      <w:r>
        <w:t xml:space="preserve"> </w:t>
      </w:r>
      <w:hyperlink w:anchor="ref-Westfall1997">
        <w:r>
          <w:rPr>
            <w:rStyle w:val="Hyperlink"/>
          </w:rPr>
          <w:t xml:space="preserve">Westfall et al., 1997</w:t>
        </w:r>
      </w:hyperlink>
      <w:r>
        <w:t xml:space="preserve">)</w:t>
      </w:r>
      <w:r>
        <w:t xml:space="preserve">. This adjustment enters through</w:t>
      </w:r>
      <w:r>
        <w:t xml:space="preserve"> </w:t>
      </w:r>
      <m:oMath>
        <m:sSub>
          <m:e>
            <m:r>
              <m:t>π</m:t>
            </m:r>
          </m:e>
          <m:sub>
            <m:r>
              <m:t>0</m:t>
            </m:r>
          </m:sub>
        </m:sSub>
      </m:oMath>
      <w:r>
        <w:t xml:space="preserve">, which modifies the prior odds. For each test, the adjusted posterior odds are:</w:t>
      </w:r>
    </w:p>
    <w:p>
      <w:pPr>
        <w:pStyle w:val="BodyText"/>
      </w:pPr>
      <m:oMathPara>
        <m:oMathParaPr>
          <m:jc m:val="center"/>
        </m:oMathParaPr>
        <m:oMath>
          <m:f>
            <m:fPr>
              <m:type m:val="bar"/>
            </m:fPr>
            <m:num>
              <m:r>
                <m:t>p</m:t>
              </m:r>
              <m:sSub>
                <m:e>
                  <m:r>
                    <m:t>d</m:t>
                  </m:r>
                </m:e>
                <m:sub>
                  <m:r>
                    <m:rPr>
                      <m:sty m:val="p"/>
                    </m:rPr>
                    <m:t>a</m:t>
                  </m:r>
                  <m:r>
                    <m:rPr>
                      <m:sty m:val="p"/>
                    </m:rPr>
                    <m:t>d</m:t>
                  </m:r>
                  <m:r>
                    <m:rPr>
                      <m:sty m:val="p"/>
                    </m:rPr>
                    <m:t>j</m:t>
                  </m:r>
                  <m:r>
                    <m:rPr>
                      <m:sty m:val="p"/>
                    </m:rPr>
                    <m:t>,</m:t>
                  </m:r>
                  <m:r>
                    <m:t>i</m:t>
                  </m:r>
                </m:sub>
              </m:sSub>
            </m:num>
            <m:den>
              <m:r>
                <m:t>1</m:t>
              </m:r>
              <m:r>
                <m:rPr>
                  <m:sty m:val="p"/>
                </m:rPr>
                <m:t>−</m:t>
              </m:r>
              <m:r>
                <m:t>p</m:t>
              </m:r>
              <m:sSub>
                <m:e>
                  <m:r>
                    <m:t>d</m:t>
                  </m:r>
                </m:e>
                <m:sub>
                  <m:r>
                    <m:rPr>
                      <m:sty m:val="p"/>
                    </m:rPr>
                    <m:t>a</m:t>
                  </m:r>
                  <m:r>
                    <m:rPr>
                      <m:sty m:val="p"/>
                    </m:rPr>
                    <m:t>d</m:t>
                  </m:r>
                  <m:r>
                    <m:rPr>
                      <m:sty m:val="p"/>
                    </m:rPr>
                    <m:t>j</m:t>
                  </m:r>
                  <m:r>
                    <m:rPr>
                      <m:sty m:val="p"/>
                    </m:rPr>
                    <m:t>,</m:t>
                  </m:r>
                  <m:r>
                    <m:t>i</m:t>
                  </m:r>
                </m:sub>
              </m:sSub>
            </m:den>
          </m:f>
          <m:r>
            <m:rPr>
              <m:sty m:val="p"/>
            </m:rPr>
            <m:t>=</m:t>
          </m:r>
          <m:f>
            <m:fPr>
              <m:type m:val="bar"/>
            </m:fPr>
            <m:num>
              <m:r>
                <m:t>p</m:t>
              </m:r>
              <m:sSub>
                <m:e>
                  <m:r>
                    <m:t>d</m:t>
                  </m:r>
                </m:e>
                <m:sub>
                  <m:r>
                    <m:t>i</m:t>
                  </m:r>
                </m:sub>
              </m:sSub>
            </m:num>
            <m:den>
              <m:r>
                <m:t>1</m:t>
              </m:r>
              <m:r>
                <m:rPr>
                  <m:sty m:val="p"/>
                </m:rPr>
                <m:t>−</m:t>
              </m:r>
              <m:r>
                <m:t>p</m:t>
              </m:r>
              <m:sSub>
                <m:e>
                  <m:r>
                    <m:t>d</m:t>
                  </m:r>
                </m:e>
                <m:sub>
                  <m:r>
                    <m:t>i</m:t>
                  </m:r>
                </m:sub>
              </m:sSub>
            </m:den>
          </m:f>
          <m:r>
            <m:rPr>
              <m:sty m:val="p"/>
            </m:rPr>
            <m:t>×</m:t>
          </m:r>
          <m:f>
            <m:fPr>
              <m:type m:val="bar"/>
            </m:fPr>
            <m:num>
              <m:r>
                <m:t>1</m:t>
              </m:r>
              <m:r>
                <m:rPr>
                  <m:sty m:val="p"/>
                </m:rPr>
                <m:t>−</m:t>
              </m:r>
              <m:sSub>
                <m:e>
                  <m:r>
                    <m:t>π</m:t>
                  </m:r>
                </m:e>
                <m:sub>
                  <m:r>
                    <m:t>0</m:t>
                  </m:r>
                </m:sub>
              </m:sSub>
            </m:num>
            <m:den>
              <m:sSub>
                <m:e>
                  <m:r>
                    <m:t>π</m:t>
                  </m:r>
                </m:e>
                <m:sub>
                  <m:r>
                    <m:t>0</m:t>
                  </m:r>
                </m:sub>
              </m:sSub>
            </m:den>
          </m:f>
          <m:r>
            <m:rPr>
              <m:sty m:val="p"/>
            </m:rPr>
            <m:t>,</m:t>
          </m:r>
        </m:oMath>
      </m:oMathPara>
    </w:p>
    <w:p>
      <w:pPr>
        <w:pStyle w:val="FirstParagraph"/>
      </w:pPr>
      <w:r>
        <w:t xml:space="preserve">and solving for the adjusted posterior probability gives:</w:t>
      </w:r>
    </w:p>
    <w:p>
      <w:pPr>
        <w:pStyle w:val="BodyText"/>
      </w:pPr>
      <m:oMathPara>
        <m:oMathParaPr>
          <m:jc m:val="center"/>
        </m:oMathParaPr>
        <m:oMath>
          <m:r>
            <m:t>p</m:t>
          </m:r>
          <m:sSub>
            <m:e>
              <m:r>
                <m:t>d</m:t>
              </m:r>
            </m:e>
            <m:sub>
              <m:r>
                <m:rPr>
                  <m:sty m:val="p"/>
                </m:rPr>
                <m:t>a</m:t>
              </m:r>
              <m:r>
                <m:rPr>
                  <m:sty m:val="p"/>
                </m:rPr>
                <m:t>d</m:t>
              </m:r>
              <m:r>
                <m:rPr>
                  <m:sty m:val="p"/>
                </m:rPr>
                <m:t>j</m:t>
              </m:r>
              <m:r>
                <m:rPr>
                  <m:sty m:val="p"/>
                </m:rPr>
                <m:t>,</m:t>
              </m:r>
              <m:r>
                <m:t>i</m:t>
              </m:r>
            </m:sub>
          </m:sSub>
          <m:r>
            <m:rPr>
              <m:sty m:val="p"/>
            </m:rPr>
            <m:t>=</m:t>
          </m:r>
          <m:f>
            <m:fPr>
              <m:type m:val="bar"/>
            </m:fPr>
            <m:num>
              <m:r>
                <m:t>p</m:t>
              </m:r>
              <m:sSub>
                <m:e>
                  <m:r>
                    <m:t>d</m:t>
                  </m:r>
                </m:e>
                <m:sub>
                  <m:r>
                    <m:t>i</m:t>
                  </m:r>
                </m:sub>
              </m:sSub>
              <m:r>
                <m:t> </m:t>
              </m:r>
              <m:d>
                <m:dPr>
                  <m:begChr m:val="("/>
                  <m:sepChr m:val=""/>
                  <m:endChr m:val=")"/>
                  <m:grow/>
                </m:dPr>
                <m:e>
                  <m:r>
                    <m:t>1</m:t>
                  </m:r>
                  <m:r>
                    <m:rPr>
                      <m:sty m:val="p"/>
                    </m:rPr>
                    <m:t>−</m:t>
                  </m:r>
                  <m:sSub>
                    <m:e>
                      <m:r>
                        <m:t>π</m:t>
                      </m:r>
                    </m:e>
                    <m:sub>
                      <m:r>
                        <m:t>0</m:t>
                      </m:r>
                    </m:sub>
                  </m:sSub>
                </m:e>
              </m:d>
            </m:num>
            <m:den>
              <m:r>
                <m:t>p</m:t>
              </m:r>
              <m:sSub>
                <m:e>
                  <m:r>
                    <m:t>d</m:t>
                  </m:r>
                </m:e>
                <m:sub>
                  <m:r>
                    <m:t>i</m:t>
                  </m:r>
                </m:sub>
              </m:sSub>
              <m:r>
                <m:t> </m:t>
              </m:r>
              <m:d>
                <m:dPr>
                  <m:begChr m:val="("/>
                  <m:sepChr m:val=""/>
                  <m:endChr m:val=")"/>
                  <m:grow/>
                </m:dPr>
                <m:e>
                  <m:r>
                    <m:t>1</m:t>
                  </m:r>
                  <m:r>
                    <m:rPr>
                      <m:sty m:val="p"/>
                    </m:rPr>
                    <m:t>−</m:t>
                  </m:r>
                  <m:sSub>
                    <m:e>
                      <m:r>
                        <m:t>π</m:t>
                      </m:r>
                    </m:e>
                    <m:sub>
                      <m:r>
                        <m:t>0</m:t>
                      </m:r>
                    </m:sub>
                  </m:sSub>
                </m:e>
              </m:d>
              <m:r>
                <m:rPr>
                  <m:sty m:val="p"/>
                </m:rPr>
                <m:t>+</m:t>
              </m:r>
              <m:d>
                <m:dPr>
                  <m:begChr m:val="("/>
                  <m:sepChr m:val=""/>
                  <m:endChr m:val=")"/>
                  <m:grow/>
                </m:dPr>
                <m:e>
                  <m:r>
                    <m:t>1</m:t>
                  </m:r>
                  <m:r>
                    <m:rPr>
                      <m:sty m:val="p"/>
                    </m:rPr>
                    <m:t>−</m:t>
                  </m:r>
                  <m:r>
                    <m:t>p</m:t>
                  </m:r>
                  <m:sSub>
                    <m:e>
                      <m:r>
                        <m:t>d</m:t>
                      </m:r>
                    </m:e>
                    <m:sub>
                      <m:r>
                        <m:t>i</m:t>
                      </m:r>
                    </m:sub>
                  </m:sSub>
                </m:e>
              </m:d>
              <m:r>
                <m:t> </m:t>
              </m:r>
              <m:sSub>
                <m:e>
                  <m:r>
                    <m:t>π</m:t>
                  </m:r>
                </m:e>
                <m:sub>
                  <m:r>
                    <m:t>0</m:t>
                  </m:r>
                </m:sub>
              </m:sSub>
            </m:den>
          </m:f>
          <m:r>
            <m:rPr>
              <m:sty m:val="p"/>
            </m:rPr>
            <m:t>.</m:t>
          </m:r>
        </m:oMath>
      </m:oMathPara>
    </w:p>
    <w:p>
      <w:pPr>
        <w:pStyle w:val="FirstParagraph"/>
      </w:pPr>
      <w:r>
        <w:t xml:space="preserve">Because the prior is symmetric and</w:t>
      </w:r>
      <w:r>
        <w:t xml:space="preserve"> </w:t>
      </w:r>
      <m:oMath>
        <m:r>
          <m:t>p</m:t>
        </m:r>
        <m:sSub>
          <m:e>
            <m:r>
              <m:t>d</m:t>
            </m:r>
          </m:e>
          <m:sub>
            <m:r>
              <m:t>i</m:t>
            </m:r>
          </m:sub>
        </m:sSub>
      </m:oMath>
      <w:r>
        <w:t xml:space="preserve"> </w:t>
      </w:r>
      <w:r>
        <w:t xml:space="preserve">is always the posterior probability of the dominant direction, the factor</w:t>
      </w:r>
      <w:r>
        <w:t xml:space="preserve"> </w:t>
      </w:r>
      <m:oMath>
        <m:d>
          <m:dPr>
            <m:begChr m:val="("/>
            <m:sepChr m:val=""/>
            <m:endChr m:val=")"/>
            <m:grow/>
          </m:dPr>
          <m:e>
            <m:r>
              <m:t>1</m:t>
            </m:r>
            <m:r>
              <m:rPr>
                <m:sty m:val="p"/>
              </m:rPr>
              <m:t>−</m:t>
            </m:r>
            <m:sSub>
              <m:e>
                <m:r>
                  <m:t>π</m:t>
                </m:r>
              </m:e>
              <m:sub>
                <m:r>
                  <m:t>0</m:t>
                </m:r>
              </m:sub>
            </m:sSub>
          </m:e>
        </m:d>
        <m:r>
          <m:rPr>
            <m:sty m:val="p"/>
          </m:rPr>
          <m:t>/</m:t>
        </m:r>
        <m:sSub>
          <m:e>
            <m:r>
              <m:t>π</m:t>
            </m:r>
          </m:e>
          <m:sub>
            <m:r>
              <m:t>0</m:t>
            </m:r>
          </m:sub>
        </m:sSub>
      </m:oMath>
      <w:r>
        <w:t xml:space="preserve"> </w:t>
      </w:r>
      <w:r>
        <w:t xml:space="preserve">acts as a single scalar penalty applied identically regardless of the effect’s sign.</w:t>
      </w:r>
    </w:p>
    <w:p>
      <w:pPr>
        <w:pStyle w:val="BodyText"/>
      </w:pPr>
      <w:r>
        <w:t xml:space="preserve">We emphasize that</w:t>
      </w:r>
      <w:r>
        <w:t xml:space="preserve"> </w:t>
      </w:r>
      <m:oMath>
        <m:sSub>
          <m:e>
            <m:r>
              <m:t>H</m:t>
            </m:r>
          </m:e>
          <m:sub>
            <m:r>
              <m:t>0</m:t>
            </m:r>
            <m:r>
              <m:rPr>
                <m:sty m:val="p"/>
              </m:rPr>
              <m:t>,</m:t>
            </m:r>
            <m:r>
              <m:t>i</m:t>
            </m:r>
          </m:sub>
        </m:sSub>
      </m:oMath>
      <w:r>
        <w:t xml:space="preserve"> </w:t>
      </w:r>
      <w:r>
        <w:t xml:space="preserve">is a</w:t>
      </w:r>
      <w:r>
        <w:t xml:space="preserve"> </w:t>
      </w:r>
      <w:r>
        <w:rPr>
          <w:i/>
          <w:iCs/>
        </w:rPr>
        <w:t xml:space="preserve">directional</w:t>
      </w:r>
      <w:r>
        <w:t xml:space="preserve"> </w:t>
      </w:r>
      <w:r>
        <w:t xml:space="preserve">null, the disfavored region</w:t>
      </w:r>
      <w:r>
        <w:t xml:space="preserve"> </w:t>
      </w:r>
      <m:oMath>
        <m:sSub>
          <m:e>
            <m:r>
              <m:t>θ</m:t>
            </m:r>
          </m:e>
          <m:sub>
            <m:r>
              <m:t>i</m:t>
            </m:r>
          </m:sub>
        </m:sSub>
        <m:r>
          <m:rPr>
            <m:sty m:val="p"/>
          </m:rPr>
          <m:t>≤</m:t>
        </m:r>
        <m:sSub>
          <m:e>
            <m:r>
              <m:t>θ</m:t>
            </m:r>
          </m:e>
          <m:sub>
            <m:r>
              <m:rPr>
                <m:nor/>
                <m:sty m:val="p"/>
              </m:rPr>
              <m:t>null</m:t>
            </m:r>
          </m:sub>
        </m:sSub>
      </m:oMath>
      <w:r>
        <w:t xml:space="preserve"> </w:t>
      </w:r>
      <w:r>
        <w:t xml:space="preserve">(taking the favored side as positive) covers both a truly (point) null effect and an effect of the opposite sign that the data have mis-signed. Additionally,</w:t>
      </w:r>
      <w:r>
        <w:t xml:space="preserve"> </w:t>
      </w:r>
      <m:oMath>
        <m:sSub>
          <m:e>
            <m:r>
              <m:t>π</m:t>
            </m:r>
          </m:e>
          <m:sub>
            <m:r>
              <m:t>0</m:t>
            </m:r>
          </m:sub>
        </m:sSub>
      </m:oMath>
      <w:r>
        <w:t xml:space="preserve"> </w:t>
      </w:r>
      <w:r>
        <w:t xml:space="preserve">is a</w:t>
      </w:r>
      <w:r>
        <w:t xml:space="preserve"> </w:t>
      </w:r>
      <w:r>
        <w:rPr>
          <w:i/>
          <w:iCs/>
        </w:rPr>
        <w:t xml:space="preserve">family-level</w:t>
      </w:r>
      <w:r>
        <w:t xml:space="preserve"> </w:t>
      </w:r>
      <w:r>
        <w:t xml:space="preserve">prior, distinct from the continuous within-model prior on each</w:t>
      </w:r>
      <w:r>
        <w:t xml:space="preserve"> </w:t>
      </w:r>
      <m:oMath>
        <m:sSub>
          <m:e>
            <m:r>
              <m:t>θ</m:t>
            </m:r>
          </m:e>
          <m:sub>
            <m:r>
              <m:t>i</m:t>
            </m:r>
          </m:sub>
        </m:sSub>
      </m:oMath>
      <w:r>
        <w:t xml:space="preserve">, under which the point</w:t>
      </w:r>
      <w:r>
        <w:t xml:space="preserve"> </w:t>
      </w:r>
      <m:oMath>
        <m:sSub>
          <m:e>
            <m:r>
              <m:t>θ</m:t>
            </m:r>
          </m:e>
          <m:sub>
            <m:r>
              <m:t>i</m:t>
            </m:r>
          </m:sub>
        </m:sSub>
        <m:r>
          <m:rPr>
            <m:sty m:val="p"/>
          </m:rPr>
          <m:t>=</m:t>
        </m:r>
        <m:sSub>
          <m:e>
            <m:r>
              <m:t>θ</m:t>
            </m:r>
          </m:e>
          <m:sub>
            <m:r>
              <m:rPr>
                <m:nor/>
                <m:sty m:val="p"/>
              </m:rPr>
              <m:t>null</m:t>
            </m:r>
          </m:sub>
        </m:sSub>
      </m:oMath>
      <w:r>
        <w:t xml:space="preserve"> </w:t>
      </w:r>
      <w:r>
        <w:t xml:space="preserve">has zero mass; the procedure accordingly does not quantify evidence for the point null at any individual test, it only adjusts the weight given to directional claims in light of the expected proportion of genuine discoveries in the family.</w:t>
      </w:r>
    </w:p>
    <w:p>
      <w:pPr>
        <w:pStyle w:val="BodyText"/>
      </w:pPr>
      <w:r>
        <w:t xml:space="preserve">Researchers encode their expectations through</w:t>
      </w:r>
      <w:r>
        <w:t xml:space="preserve"> </w:t>
      </w:r>
      <m:oMath>
        <m:sSub>
          <m:e>
            <m:r>
              <m:t>π</m:t>
            </m:r>
          </m:e>
          <m:sub>
            <m:r>
              <m:t>0</m:t>
            </m:r>
          </m:sub>
        </m:sSub>
      </m:oMath>
      <w:r>
        <w:t xml:space="preserve"> </w:t>
      </w:r>
      <w:r>
        <w:t xml:space="preserve">or, equivalently under independence, through the global-null prior</w:t>
      </w:r>
      <w:r>
        <w:t xml:space="preserve"> </w:t>
      </w:r>
      <m:oMath>
        <m:r>
          <m:rPr>
            <m:sty m:val="p"/>
          </m:rPr>
          <m:t>Pr</m:t>
        </m:r>
        <m:d>
          <m:dPr>
            <m:begChr m:val="("/>
            <m:sepChr m:val=""/>
            <m:endChr m:val=")"/>
            <m:grow/>
          </m:dPr>
          <m:e>
            <m:sSub>
              <m:e>
                <m:r>
                  <m:t>H</m:t>
                </m:r>
              </m:e>
              <m:sub>
                <m:r>
                  <m:t>0</m:t>
                </m:r>
              </m:sub>
            </m:sSub>
          </m:e>
        </m:d>
        <m:r>
          <m:rPr>
            <m:sty m:val="p"/>
          </m:rPr>
          <m:t>=</m:t>
        </m:r>
        <m:sSubSup>
          <m:e>
            <m:r>
              <m:t>π</m:t>
            </m:r>
          </m:e>
          <m:sub>
            <m:r>
              <m:t>0</m:t>
            </m:r>
          </m:sub>
          <m:sup>
            <m:r>
              <m:t>m</m:t>
            </m:r>
          </m:sup>
        </m:sSubSup>
      </m:oMath>
      <w:r>
        <w:t xml:space="preserve">: lower values are appropriate for well-established effects with substantial prior information, higher values for settings with greater uncertainty, as in exploratory research. For fixed</w:t>
      </w:r>
      <w:r>
        <w:t xml:space="preserve"> </w:t>
      </w:r>
      <m:oMath>
        <m:r>
          <m:rPr>
            <m:sty m:val="p"/>
          </m:rPr>
          <m:t>Pr</m:t>
        </m:r>
        <m:d>
          <m:dPr>
            <m:begChr m:val="("/>
            <m:sepChr m:val=""/>
            <m:endChr m:val=")"/>
            <m:grow/>
          </m:dPr>
          <m:e>
            <m:sSub>
              <m:e>
                <m:r>
                  <m:t>H</m:t>
                </m:r>
              </m:e>
              <m:sub>
                <m:r>
                  <m:t>0</m:t>
                </m:r>
              </m:sub>
            </m:sSub>
          </m:e>
        </m:d>
      </m:oMath>
      <w:r>
        <w:t xml:space="preserve">, larger families imply higher</w:t>
      </w:r>
      <w:r>
        <w:t xml:space="preserve"> </w:t>
      </w:r>
      <m:oMath>
        <m:sSub>
          <m:e>
            <m:r>
              <m:t>π</m:t>
            </m:r>
          </m:e>
          <m:sub>
            <m:r>
              <m:t>0</m:t>
            </m:r>
          </m:sub>
        </m:sSub>
      </m:oMath>
      <w:r>
        <w:t xml:space="preserve">, then the correction acts nonlinearly on the posterior evidence, leaving larger</w:t>
      </w:r>
      <w:r>
        <w:t xml:space="preserve"> </w:t>
      </w:r>
      <m:oMath>
        <m:r>
          <m:t>p</m:t>
        </m:r>
        <m:sSub>
          <m:e>
            <m:r>
              <m:t>d</m:t>
            </m:r>
          </m:e>
          <m:sub>
            <m:r>
              <m:t>i</m:t>
            </m:r>
          </m:sub>
        </m:sSub>
      </m:oMath>
      <w:r>
        <w:t xml:space="preserve"> </w:t>
      </w:r>
      <w:r>
        <w:t xml:space="preserve">values comparatively less affected (</w:t>
      </w:r>
      <w:hyperlink w:anchor="fig-prior-adj">
        <w:r>
          <w:rPr>
            <w:rStyle w:val="Hyperlink"/>
          </w:rPr>
          <w:t xml:space="preserve">Figure 3</w:t>
        </w:r>
      </w:hyperlink>
      <w:r>
        <w:t xml:space="preserve">).</w:t>
      </w:r>
    </w:p>
    <w:bookmarkStart w:id="60" w:name="fig-prior-adj"/>
    <w:p>
      <w:pPr>
        <w:pStyle w:val="FigureTitle"/>
      </w:pPr>
      <w:r>
        <w:t xml:space="preserve">Figure 3</w:t>
      </w:r>
    </w:p>
    <w:p>
      <w:pPr>
        <w:pStyle w:val="Caption"/>
      </w:pPr>
      <w:r>
        <w:t xml:space="preserve">Relationship between the global-null probability, the implied prior probability assigned to individual hypotheses, and the resulting adjustment of the probability of direction (pd). The left panel shows how a specified probability that all tested effects are null,</w:t>
      </w:r>
      <w:r>
        <w:t xml:space="preserve"> </w:t>
      </w:r>
      <m:oMath>
        <m:r>
          <m:rPr>
            <m:sty m:val="p"/>
          </m:rPr>
          <m:t>Pr</m:t>
        </m:r>
        <m:d>
          <m:dPr>
            <m:begChr m:val="("/>
            <m:sepChr m:val=""/>
            <m:endChr m:val=")"/>
            <m:grow/>
          </m:dPr>
          <m:e>
            <m:r>
              <m:t>H</m:t>
            </m:r>
            <m:r>
              <m:t>0</m:t>
            </m:r>
          </m:e>
        </m:d>
      </m:oMath>
      <w:r>
        <w:t xml:space="preserve">, translates into the prior probability</w:t>
      </w:r>
      <w:r>
        <w:t xml:space="preserve"> </w:t>
      </w:r>
      <m:oMath>
        <m:sSub>
          <m:e>
            <m:r>
              <m:t>π</m:t>
            </m:r>
          </m:e>
          <m:sub>
            <m:r>
              <m:t>0</m:t>
            </m:r>
          </m:sub>
        </m:sSub>
      </m:oMath>
      <w:r>
        <w:t xml:space="preserve"> </w:t>
      </w:r>
      <w:r>
        <w:t xml:space="preserve">assigned to each individual hypothesis. As the number of tested effects (m) increases, the same global-null assumption implies increasingly skeptical priors for individual tests. The dotted line marks</w:t>
      </w:r>
      <w:r>
        <w:t xml:space="preserve"> </w:t>
      </w:r>
      <m:oMath>
        <m:sSub>
          <m:e>
            <m:r>
              <m:t>π</m:t>
            </m:r>
          </m:e>
          <m:sub>
            <m:r>
              <m:t>0</m:t>
            </m:r>
          </m:sub>
        </m:sSub>
        <m:r>
          <m:rPr>
            <m:sty m:val="p"/>
          </m:rPr>
          <m:t>=</m:t>
        </m:r>
        <m:r>
          <m:t>0.5</m:t>
        </m:r>
      </m:oMath>
      <w:r>
        <w:t xml:space="preserve">, below which the prior would favor the alternative hypothesis rather than the null. Because our goal is to introduce a conservative multiplicity adjustment,</w:t>
      </w:r>
      <w:r>
        <w:t xml:space="preserve"> </w:t>
      </w:r>
      <m:oMath>
        <m:sSub>
          <m:e>
            <m:r>
              <m:t>π</m:t>
            </m:r>
          </m:e>
          <m:sub>
            <m:r>
              <m:t>0</m:t>
            </m:r>
          </m:sub>
        </m:sSub>
      </m:oMath>
      <w:r>
        <w:t xml:space="preserve"> </w:t>
      </w:r>
      <w:r>
        <w:t xml:space="preserve">is capped at 0.5 whenever smaller values would arise. The right panel illustrates the practical consequences of this adjustment. For a given</w:t>
      </w:r>
      <w:r>
        <w:t xml:space="preserve"> </w:t>
      </w:r>
      <m:oMath>
        <m:sSub>
          <m:e>
            <m:r>
              <m:t>π</m:t>
            </m:r>
          </m:e>
          <m:sub>
            <m:r>
              <m:t>0</m:t>
            </m:r>
          </m:sub>
        </m:sSub>
      </m:oMath>
      <w:r>
        <w:t xml:space="preserve">, the adjusted probability of direction (</w:t>
      </w:r>
      <m:oMath>
        <m:r>
          <m:t>p</m:t>
        </m:r>
        <m:sSub>
          <m:e>
            <m:r>
              <m:t>d</m:t>
            </m:r>
          </m:e>
          <m:sub>
            <m:r>
              <m:t>a</m:t>
            </m:r>
            <m:r>
              <m:t>d</m:t>
            </m:r>
            <m:r>
              <m:t>j</m:t>
            </m:r>
          </m:sub>
        </m:sSub>
      </m:oMath>
      <w:r>
        <w:t xml:space="preserve">) is always smaller than or equal to the original pd, but the reduction is not uniform. Weak evidence is penalized much more strongly than strong evidence.</w:t>
      </w:r>
    </w:p>
    <w:p>
      <w:pPr>
        <w:pStyle w:val="FigureWithoutNote"/>
      </w:pPr>
      <w:r>
        <w:drawing>
          <wp:inline>
            <wp:extent cx="5943600" cy="2674620"/>
            <wp:effectExtent b="0" l="0" r="0" t="0"/>
            <wp:docPr descr="" title="" id="58" name="Picture"/>
            <a:graphic>
              <a:graphicData uri="http://schemas.openxmlformats.org/drawingml/2006/picture">
                <pic:pic>
                  <pic:nvPicPr>
                    <pic:cNvPr descr="manuscript_files/figure-docx/fig-prior-adj-1.png" id="59" name="Picture"/>
                    <pic:cNvPicPr>
                      <a:picLocks noChangeArrowheads="1" noChangeAspect="1"/>
                    </pic:cNvPicPr>
                  </pic:nvPicPr>
                  <pic:blipFill>
                    <a:blip r:embed="rId57"/>
                    <a:stretch>
                      <a:fillRect/>
                    </a:stretch>
                  </pic:blipFill>
                  <pic:spPr bwMode="auto">
                    <a:xfrm>
                      <a:off x="0" y="0"/>
                      <a:ext cx="5943600" cy="2674620"/>
                    </a:xfrm>
                    <a:prstGeom prst="rect">
                      <a:avLst/>
                    </a:prstGeom>
                    <a:noFill/>
                    <a:ln w="9525">
                      <a:noFill/>
                      <a:headEnd/>
                      <a:tailEnd/>
                    </a:ln>
                  </pic:spPr>
                </pic:pic>
              </a:graphicData>
            </a:graphic>
          </wp:inline>
        </w:drawing>
      </w:r>
    </w:p>
    <w:bookmarkEnd w:id="60"/>
    <w:p>
      <w:pPr>
        <w:pStyle w:val="AfterWithoutNote"/>
      </w:pPr>
      <w:r>
        <w:t xml:space="preserve">A boundary condition arises when the specified</w:t>
      </w:r>
      <w:r>
        <w:t xml:space="preserve"> </w:t>
      </w:r>
      <m:oMath>
        <m:sSub>
          <m:e>
            <m:r>
              <m:t>π</m:t>
            </m:r>
          </m:e>
          <m:sub>
            <m:r>
              <m:t>0</m:t>
            </m:r>
          </m:sub>
        </m:sSub>
      </m:oMath>
      <w:r>
        <w:t xml:space="preserve"> </w:t>
      </w:r>
      <w:r>
        <w:t xml:space="preserve">falls below</w:t>
      </w:r>
      <w:r>
        <w:t xml:space="preserve"> </w:t>
      </w:r>
      <m:oMath>
        <m:r>
          <m:t>0.5</m:t>
        </m:r>
      </m:oMath>
      <w:r>
        <w:t xml:space="preserve"> </w:t>
      </w:r>
      <w:r>
        <w:t xml:space="preserve">(which, for a fixed global null, occurs when</w:t>
      </w:r>
      <w:r>
        <w:t xml:space="preserve"> </w:t>
      </w:r>
      <m:oMath>
        <m:r>
          <m:t>m</m:t>
        </m:r>
      </m:oMath>
      <w:r>
        <w:t xml:space="preserve"> </w:t>
      </w:r>
      <w:r>
        <w:t xml:space="preserve">is small and</w:t>
      </w:r>
      <w:r>
        <w:t xml:space="preserve"> </w:t>
      </w:r>
      <m:oMath>
        <m:r>
          <m:rPr>
            <m:sty m:val="p"/>
          </m:rPr>
          <m:t>Pr</m:t>
        </m:r>
        <m:d>
          <m:dPr>
            <m:begChr m:val="("/>
            <m:sepChr m:val=""/>
            <m:endChr m:val=")"/>
            <m:grow/>
          </m:dPr>
          <m:e>
            <m:sSub>
              <m:e>
                <m:r>
                  <m:t>H</m:t>
                </m:r>
              </m:e>
              <m:sub>
                <m:r>
                  <m:t>0</m:t>
                </m:r>
              </m:sub>
            </m:sSub>
          </m:e>
        </m:d>
      </m:oMath>
      <w:r>
        <w:t xml:space="preserve"> </w:t>
      </w:r>
      <w:r>
        <w:t xml:space="preserve">is very low), inflating the posterior odds in favor of</w:t>
      </w:r>
      <w:r>
        <w:t xml:space="preserve"> </w:t>
      </w:r>
      <m:oMath>
        <m:sSub>
          <m:e>
            <m:r>
              <m:t>H</m:t>
            </m:r>
          </m:e>
          <m:sub>
            <m:r>
              <m:t>1</m:t>
            </m:r>
          </m:sub>
        </m:sSub>
      </m:oMath>
      <w:r>
        <w:t xml:space="preserve"> </w:t>
      </w:r>
      <w:r>
        <w:t xml:space="preserve">rather than penalizing them. We therefore cap</w:t>
      </w:r>
      <w:r>
        <w:t xml:space="preserve"> </w:t>
      </w:r>
      <m:oMath>
        <m:sSub>
          <m:e>
            <m:r>
              <m:t>π</m:t>
            </m:r>
          </m:e>
          <m:sub>
            <m:r>
              <m:t>0</m:t>
            </m:r>
          </m:sub>
        </m:sSub>
      </m:oMath>
      <w:r>
        <w:t xml:space="preserve"> </w:t>
      </w:r>
      <w:r>
        <w:t xml:space="preserve">at</w:t>
      </w:r>
      <w:r>
        <w:t xml:space="preserve"> </w:t>
      </w:r>
      <m:oMath>
        <m:r>
          <m:t>0.5</m:t>
        </m:r>
      </m:oMath>
      <w:r>
        <w:t xml:space="preserve">, ensuring the adjustment acts exclusively as a conservative safeguard; when no penalty is warranted,</w:t>
      </w:r>
      <w:r>
        <w:t xml:space="preserve"> </w:t>
      </w:r>
      <m:oMath>
        <m:r>
          <m:t>p</m:t>
        </m:r>
        <m:sSub>
          <m:e>
            <m:r>
              <m:t>d</m:t>
            </m:r>
          </m:e>
          <m:sub>
            <m:r>
              <m:rPr>
                <m:sty m:val="p"/>
              </m:rPr>
              <m:t>a</m:t>
            </m:r>
            <m:r>
              <m:rPr>
                <m:sty m:val="p"/>
              </m:rPr>
              <m:t>d</m:t>
            </m:r>
            <m:r>
              <m:rPr>
                <m:sty m:val="p"/>
              </m:rPr>
              <m:t>j</m:t>
            </m:r>
            <m:r>
              <m:rPr>
                <m:sty m:val="p"/>
              </m:rPr>
              <m:t>,</m:t>
            </m:r>
            <m:r>
              <m:t>i</m:t>
            </m:r>
          </m:sub>
        </m:sSub>
        <m:r>
          <m:rPr>
            <m:sty m:val="p"/>
          </m:rPr>
          <m:t>=</m:t>
        </m:r>
        <m:r>
          <m:t>p</m:t>
        </m:r>
        <m:sSub>
          <m:e>
            <m:r>
              <m:t>d</m:t>
            </m:r>
          </m:e>
          <m:sub>
            <m:r>
              <m:t>i</m:t>
            </m:r>
          </m:sub>
        </m:sSub>
      </m:oMath>
      <w:r>
        <w:t xml:space="preserve">. Furthermore, since</w:t>
      </w:r>
      <w:r>
        <w:t xml:space="preserve"> </w:t>
      </w:r>
      <m:oMath>
        <m:r>
          <m:t>p</m:t>
        </m:r>
        <m:r>
          <m:t>d</m:t>
        </m:r>
        <m:r>
          <m:rPr>
            <m:sty m:val="p"/>
          </m:rPr>
          <m:t>∈</m:t>
        </m:r>
        <m:d>
          <m:dPr>
            <m:begChr m:val="["/>
            <m:sepChr m:val=""/>
            <m:endChr m:val="]"/>
            <m:grow/>
          </m:dPr>
          <m:e>
            <m:r>
              <m:t>0.5</m:t>
            </m:r>
            <m:r>
              <m:rPr>
                <m:sty m:val="p"/>
              </m:rPr>
              <m:t>,</m:t>
            </m:r>
            <m:r>
              <m:t>1</m:t>
            </m:r>
          </m:e>
        </m:d>
      </m:oMath>
      <w:r>
        <w:t xml:space="preserve">, the adjusted probability of direction is also bounded below by</w:t>
      </w:r>
      <w:r>
        <w:t xml:space="preserve"> </w:t>
      </w:r>
      <m:oMath>
        <m:r>
          <m:t>0.5</m:t>
        </m:r>
      </m:oMath>
      <w:r>
        <w:t xml:space="preserve">.</w:t>
      </w:r>
    </w:p>
    <w:bookmarkEnd w:id="61"/>
    <w:bookmarkStart w:id="76" w:name="X1bf495c55677c0b32eec4bd0a7a07405f1532b9"/>
    <w:p>
      <w:pPr>
        <w:pStyle w:val="Heading2"/>
      </w:pPr>
      <w:r>
        <w:t xml:space="preserve">Error rates under the prior-odds adjustment</w:t>
      </w:r>
    </w:p>
    <w:p>
      <w:pPr>
        <w:pStyle w:val="FirstParagraph"/>
      </w:pPr>
      <w:r>
        <w:t xml:space="preserve">For a family of</w:t>
      </w:r>
      <w:r>
        <w:t xml:space="preserve"> </w:t>
      </w:r>
      <m:oMath>
        <m:r>
          <m:t>m</m:t>
        </m:r>
      </m:oMath>
      <w:r>
        <w:t xml:space="preserve"> </w:t>
      </w:r>
      <w:r>
        <w:t xml:space="preserve">such tests, let</w:t>
      </w:r>
      <w:r>
        <w:t xml:space="preserve"> </w:t>
      </w:r>
      <m:oMath>
        <m:r>
          <m:t>R</m:t>
        </m:r>
      </m:oMath>
      <w:r>
        <w:t xml:space="preserve"> </w:t>
      </w:r>
      <w:r>
        <w:t xml:space="preserve">denote the total number of rejections and</w:t>
      </w:r>
      <w:r>
        <w:t xml:space="preserve"> </w:t>
      </w:r>
      <m:oMath>
        <m:r>
          <m:t>V</m:t>
        </m:r>
      </m:oMath>
      <w:r>
        <w:t xml:space="preserve"> </w:t>
      </w:r>
      <w:r>
        <w:t xml:space="preserve">the number of false rejections (rejected true nulls). The target error rate is the False Discovery Rate (FDR),</w:t>
      </w:r>
    </w:p>
    <w:p>
      <w:pPr>
        <w:pStyle w:val="BodyText"/>
      </w:pPr>
      <m:oMathPara>
        <m:oMathParaPr>
          <m:jc m:val="center"/>
        </m:oMathParaPr>
        <m:oMath>
          <m:r>
            <m:rPr>
              <m:sty m:val="p"/>
            </m:rPr>
            <m:t>F</m:t>
          </m:r>
          <m:r>
            <m:rPr>
              <m:sty m:val="p"/>
            </m:rPr>
            <m:t>D</m:t>
          </m:r>
          <m:r>
            <m:rPr>
              <m:sty m:val="p"/>
            </m:rPr>
            <m:t>R</m:t>
          </m:r>
          <m:r>
            <m:rPr>
              <m:sty m:val="p"/>
            </m:rPr>
            <m:t>=</m:t>
          </m:r>
          <m:r>
            <m:rPr>
              <m:sty m:val="p"/>
              <m:scr m:val="double-struck"/>
            </m:rPr>
            <m:t>E</m:t>
          </m:r>
          <m:r>
            <m:t>​</m:t>
          </m:r>
          <m:d>
            <m:dPr>
              <m:begChr m:val="["/>
              <m:sepChr m:val=""/>
              <m:endChr m:val="]"/>
              <m:grow/>
            </m:dPr>
            <m:e>
              <m:f>
                <m:fPr>
                  <m:type m:val="bar"/>
                </m:fPr>
                <m:num>
                  <m:r>
                    <m:t>V</m:t>
                  </m:r>
                </m:num>
                <m:den>
                  <m:r>
                    <m:rPr>
                      <m:sty m:val="p"/>
                    </m:rPr>
                    <m:t>max</m:t>
                  </m:r>
                  <m:d>
                    <m:dPr>
                      <m:begChr m:val="("/>
                      <m:sepChr m:val=""/>
                      <m:endChr m:val=")"/>
                      <m:grow/>
                    </m:dPr>
                    <m:e>
                      <m:r>
                        <m:t>R</m:t>
                      </m:r>
                      <m:r>
                        <m:rPr>
                          <m:sty m:val="p"/>
                        </m:rPr>
                        <m:t>,</m:t>
                      </m:r>
                      <m:r>
                        <m:t>1</m:t>
                      </m:r>
                    </m:e>
                  </m:d>
                </m:den>
              </m:f>
            </m:e>
          </m:d>
          <m:r>
            <m:rPr>
              <m:sty m:val="p"/>
            </m:rPr>
            <m:t>,</m:t>
          </m:r>
        </m:oMath>
      </m:oMathPara>
    </w:p>
    <w:p>
      <w:pPr>
        <w:pStyle w:val="FirstParagraph"/>
      </w:pPr>
      <w:r>
        <w:t xml:space="preserve">where the</w:t>
      </w:r>
      <w:r>
        <w:t xml:space="preserve"> </w:t>
      </w:r>
      <m:oMath>
        <m:r>
          <m:rPr>
            <m:sty m:val="p"/>
          </m:rPr>
          <m:t>max</m:t>
        </m:r>
        <m:d>
          <m:dPr>
            <m:begChr m:val="("/>
            <m:sepChr m:val=""/>
            <m:endChr m:val=")"/>
            <m:grow/>
          </m:dPr>
          <m:e>
            <m:r>
              <m:t>R</m:t>
            </m:r>
            <m:r>
              <m:rPr>
                <m:sty m:val="p"/>
              </m:rPr>
              <m:t>,</m:t>
            </m:r>
            <m:r>
              <m:t>1</m:t>
            </m:r>
          </m:e>
        </m:d>
      </m:oMath>
      <w:r>
        <w:t xml:space="preserve"> </w:t>
      </w:r>
      <w:r>
        <w:t xml:space="preserve">sets the ratio to zero when no hypothesis is rejected</w:t>
      </w:r>
      <w:r>
        <w:t xml:space="preserve"> </w:t>
      </w:r>
      <w:r>
        <w:t xml:space="preserve">(</w:t>
      </w:r>
      <w:hyperlink w:anchor="ref-Benjamini1995">
        <w:r>
          <w:rPr>
            <w:rStyle w:val="Hyperlink"/>
          </w:rPr>
          <w:t xml:space="preserve">Benjamini &amp; Hochberg, 1995</w:t>
        </w:r>
      </w:hyperlink>
      <w:r>
        <w:t xml:space="preserve">)</w:t>
      </w:r>
      <w:r>
        <w:t xml:space="preserve">. The FDR factorizes as the product of the positive False Discovery Rate</w:t>
      </w:r>
      <w:r>
        <w:t xml:space="preserve"> </w:t>
      </w:r>
      <w:r>
        <w:t xml:space="preserve">(pFDR,</w:t>
      </w:r>
      <w:r>
        <w:t xml:space="preserve"> </w:t>
      </w:r>
      <w:hyperlink w:anchor="ref-Storey2003">
        <w:r>
          <w:rPr>
            <w:rStyle w:val="Hyperlink"/>
          </w:rPr>
          <w:t xml:space="preserve">Storey, 2003</w:t>
        </w:r>
      </w:hyperlink>
      <w:r>
        <w:t xml:space="preserve">)</w:t>
      </w:r>
      <w:r>
        <w:t xml:space="preserve"> </w:t>
      </w:r>
      <w:r>
        <w:t xml:space="preserve">and the probability of at least one rejection,</w:t>
      </w:r>
      <w:r>
        <w:t xml:space="preserve"> </w:t>
      </w:r>
      <m:oMath>
        <m:r>
          <m:rPr>
            <m:sty m:val="p"/>
          </m:rPr>
          <m:t>F</m:t>
        </m:r>
        <m:r>
          <m:rPr>
            <m:sty m:val="p"/>
          </m:rPr>
          <m:t>D</m:t>
        </m:r>
        <m:r>
          <m:rPr>
            <m:sty m:val="p"/>
          </m:rPr>
          <m:t>R</m:t>
        </m:r>
        <m:r>
          <m:rPr>
            <m:sty m:val="p"/>
          </m:rPr>
          <m:t>=</m:t>
        </m:r>
        <m:r>
          <m:rPr>
            <m:sty m:val="p"/>
          </m:rPr>
          <m:t>p</m:t>
        </m:r>
        <m:r>
          <m:rPr>
            <m:sty m:val="p"/>
          </m:rPr>
          <m:t>F</m:t>
        </m:r>
        <m:r>
          <m:rPr>
            <m:sty m:val="p"/>
          </m:rPr>
          <m:t>D</m:t>
        </m:r>
        <m:r>
          <m:rPr>
            <m:sty m:val="p"/>
          </m:rPr>
          <m:t>R</m:t>
        </m:r>
        <m:r>
          <m:rPr>
            <m:sty m:val="p"/>
          </m:rPr>
          <m:t>×</m:t>
        </m:r>
        <m:r>
          <m:rPr>
            <m:sty m:val="p"/>
          </m:rPr>
          <m:t>Pr</m:t>
        </m:r>
        <m:d>
          <m:dPr>
            <m:begChr m:val="("/>
            <m:sepChr m:val=""/>
            <m:endChr m:val=")"/>
            <m:grow/>
          </m:dPr>
          <m:e>
            <m:r>
              <m:t>R</m:t>
            </m:r>
            <m:r>
              <m:rPr>
                <m:sty m:val="p"/>
              </m:rPr>
              <m:t>&gt;</m:t>
            </m:r>
            <m:r>
              <m:t>0</m:t>
            </m:r>
          </m:e>
        </m:d>
      </m:oMath>
      <w:r>
        <w:t xml:space="preserve">. For a single test with prior null probability</w:t>
      </w:r>
      <w:r>
        <w:t xml:space="preserve"> </w:t>
      </w:r>
      <m:oMath>
        <m:sSub>
          <m:e>
            <m:r>
              <m:t>π</m:t>
            </m:r>
          </m:e>
          <m:sub>
            <m:r>
              <m:t>0</m:t>
            </m:r>
          </m:sub>
        </m:sSub>
      </m:oMath>
      <w:r>
        <w:t xml:space="preserve">,</w:t>
      </w:r>
    </w:p>
    <w:p>
      <w:pPr>
        <w:pStyle w:val="BodyText"/>
      </w:pPr>
      <m:oMathPara>
        <m:oMathParaPr>
          <m:jc m:val="center"/>
        </m:oMathParaPr>
        <m:oMath>
          <m:r>
            <m:rPr>
              <m:sty m:val="p"/>
            </m:rPr>
            <m:t>p</m:t>
          </m:r>
          <m:r>
            <m:rPr>
              <m:sty m:val="p"/>
            </m:rPr>
            <m:t>F</m:t>
          </m:r>
          <m:r>
            <m:rPr>
              <m:sty m:val="p"/>
            </m:rPr>
            <m:t>D</m:t>
          </m:r>
          <m:r>
            <m:rPr>
              <m:sty m:val="p"/>
            </m:rPr>
            <m:t>R</m:t>
          </m:r>
          <m:r>
            <m:rPr>
              <m:sty m:val="p"/>
            </m:rPr>
            <m:t>=</m:t>
          </m:r>
          <m:f>
            <m:fPr>
              <m:type m:val="bar"/>
            </m:fPr>
            <m:num>
              <m:sSub>
                <m:e>
                  <m:r>
                    <m:t>π</m:t>
                  </m:r>
                </m:e>
                <m:sub>
                  <m:r>
                    <m:t>0</m:t>
                  </m:r>
                </m:sub>
              </m:sSub>
              <m:r>
                <m:t> </m:t>
              </m:r>
              <m:r>
                <m:t>α</m:t>
              </m:r>
            </m:num>
            <m:den>
              <m:sSub>
                <m:e>
                  <m:r>
                    <m:t>π</m:t>
                  </m:r>
                </m:e>
                <m:sub>
                  <m:r>
                    <m:t>0</m:t>
                  </m:r>
                </m:sub>
              </m:sSub>
              <m:r>
                <m:t> </m:t>
              </m:r>
              <m:r>
                <m:t>α</m:t>
              </m:r>
              <m:r>
                <m:rPr>
                  <m:sty m:val="p"/>
                </m:rPr>
                <m:t>+</m:t>
              </m:r>
              <m:d>
                <m:dPr>
                  <m:begChr m:val="("/>
                  <m:sepChr m:val=""/>
                  <m:endChr m:val=")"/>
                  <m:grow/>
                </m:dPr>
                <m:e>
                  <m:r>
                    <m:t>1</m:t>
                  </m:r>
                  <m:r>
                    <m:rPr>
                      <m:sty m:val="p"/>
                    </m:rPr>
                    <m:t>−</m:t>
                  </m:r>
                  <m:sSub>
                    <m:e>
                      <m:r>
                        <m:t>π</m:t>
                      </m:r>
                    </m:e>
                    <m:sub>
                      <m:r>
                        <m:t>0</m:t>
                      </m:r>
                    </m:sub>
                  </m:sSub>
                </m:e>
              </m:d>
              <m:d>
                <m:dPr>
                  <m:begChr m:val="("/>
                  <m:sepChr m:val=""/>
                  <m:endChr m:val=")"/>
                  <m:grow/>
                </m:dPr>
                <m:e>
                  <m:r>
                    <m:t>1</m:t>
                  </m:r>
                  <m:r>
                    <m:rPr>
                      <m:sty m:val="p"/>
                    </m:rPr>
                    <m:t>−</m:t>
                  </m:r>
                  <m:r>
                    <m:t>β</m:t>
                  </m:r>
                </m:e>
              </m:d>
            </m:den>
          </m:f>
          <m:r>
            <m:rPr>
              <m:sty m:val="p"/>
            </m:rPr>
            <m:t>,</m:t>
          </m:r>
        </m:oMath>
      </m:oMathPara>
    </w:p>
    <w:p>
      <w:pPr>
        <w:pStyle w:val="FirstParagraph"/>
      </w:pPr>
      <w:r>
        <w:t xml:space="preserve">where</w:t>
      </w:r>
      <w:r>
        <w:t xml:space="preserve"> </w:t>
      </w:r>
      <m:oMath>
        <m:r>
          <m:t>α</m:t>
        </m:r>
      </m:oMath>
      <w:r>
        <w:t xml:space="preserve"> </w:t>
      </w:r>
      <w:r>
        <w:t xml:space="preserve">is the per-test Type I error rate and</w:t>
      </w:r>
      <w:r>
        <w:t xml:space="preserve"> </w:t>
      </w:r>
      <m:oMath>
        <m:r>
          <m:t>1</m:t>
        </m:r>
        <m:r>
          <m:rPr>
            <m:sty m:val="p"/>
          </m:rPr>
          <m:t>−</m:t>
        </m:r>
        <m:r>
          <m:t>β</m:t>
        </m:r>
      </m:oMath>
      <w:r>
        <w:t xml:space="preserve"> </w:t>
      </w:r>
      <w:r>
        <w:t xml:space="preserve">the power</w:t>
      </w:r>
      <w:r>
        <w:t xml:space="preserve"> </w:t>
      </w:r>
      <w:r>
        <w:t xml:space="preserve">(</w:t>
      </w:r>
      <w:hyperlink w:anchor="ref-berger2023">
        <w:r>
          <w:rPr>
            <w:rStyle w:val="Hyperlink"/>
          </w:rPr>
          <w:t xml:space="preserve">Berger, 2023</w:t>
        </w:r>
      </w:hyperlink>
      <w:r>
        <w:t xml:space="preserve">;</w:t>
      </w:r>
      <w:r>
        <w:t xml:space="preserve"> </w:t>
      </w:r>
      <w:hyperlink w:anchor="ref-Storey2003">
        <w:r>
          <w:rPr>
            <w:rStyle w:val="Hyperlink"/>
          </w:rPr>
          <w:t xml:space="preserve">Storey, 2003</w:t>
        </w:r>
      </w:hyperlink>
      <w:r>
        <w:t xml:space="preserve">)</w:t>
      </w:r>
      <w:r>
        <w:t xml:space="preserve">. The proposed correction fixes</w:t>
      </w:r>
      <w:r>
        <w:t xml:space="preserve"> </w:t>
      </w:r>
      <m:oMath>
        <m:sSub>
          <m:e>
            <m:r>
              <m:t>π</m:t>
            </m:r>
          </m:e>
          <m:sub>
            <m:r>
              <m:t>0</m:t>
            </m:r>
          </m:sub>
        </m:sSub>
      </m:oMath>
      <w:r>
        <w:t xml:space="preserve"> </w:t>
      </w:r>
      <w:r>
        <w:t xml:space="preserve">at the researcher’s prior and, as we now show, implicitly reduces</w:t>
      </w:r>
      <w:r>
        <w:t xml:space="preserve"> </w:t>
      </w:r>
      <m:oMath>
        <m:r>
          <m:t>α</m:t>
        </m:r>
      </m:oMath>
      <w:r>
        <w:t xml:space="preserve"> </w:t>
      </w:r>
      <w:r>
        <w:t xml:space="preserve">by tightening the decision threshold. Writing the adjusted rule</w:t>
      </w:r>
      <w:r>
        <w:t xml:space="preserve"> </w:t>
      </w:r>
      <m:oMath>
        <m:r>
          <m:t>p</m:t>
        </m:r>
        <m:sSub>
          <m:e>
            <m:r>
              <m:t>d</m:t>
            </m:r>
          </m:e>
          <m:sub>
            <m:r>
              <m:rPr>
                <m:sty m:val="p"/>
              </m:rPr>
              <m:t>a</m:t>
            </m:r>
            <m:r>
              <m:rPr>
                <m:sty m:val="p"/>
              </m:rPr>
              <m:t>d</m:t>
            </m:r>
            <m:r>
              <m:rPr>
                <m:sty m:val="p"/>
              </m:rPr>
              <m:t>j</m:t>
            </m:r>
            <m:r>
              <m:rPr>
                <m:sty m:val="p"/>
              </m:rPr>
              <m:t>,</m:t>
            </m:r>
            <m:r>
              <m:t>i</m:t>
            </m:r>
          </m:sub>
        </m:sSub>
        <m:r>
          <m:rPr>
            <m:sty m:val="p"/>
          </m:rPr>
          <m:t>&gt;</m:t>
        </m:r>
        <m:r>
          <m:t>c</m:t>
        </m:r>
      </m:oMath>
      <w:r>
        <w:t xml:space="preserve"> </w:t>
      </w:r>
      <w:r>
        <w:t xml:space="preserve">in odds form and substituting the adjusted odds,</w:t>
      </w:r>
    </w:p>
    <w:p>
      <w:pPr>
        <w:pStyle w:val="BodyText"/>
      </w:pPr>
      <m:oMathPara>
        <m:oMathParaPr>
          <m:jc m:val="center"/>
        </m:oMathParaPr>
        <m:oMath>
          <m:f>
            <m:fPr>
              <m:type m:val="bar"/>
            </m:fPr>
            <m:num>
              <m:r>
                <m:t>p</m:t>
              </m:r>
              <m:sSub>
                <m:e>
                  <m:r>
                    <m:t>d</m:t>
                  </m:r>
                </m:e>
                <m:sub>
                  <m:r>
                    <m:rPr>
                      <m:sty m:val="p"/>
                    </m:rPr>
                    <m:t>a</m:t>
                  </m:r>
                  <m:r>
                    <m:rPr>
                      <m:sty m:val="p"/>
                    </m:rPr>
                    <m:t>d</m:t>
                  </m:r>
                  <m:r>
                    <m:rPr>
                      <m:sty m:val="p"/>
                    </m:rPr>
                    <m:t>j</m:t>
                  </m:r>
                  <m:r>
                    <m:rPr>
                      <m:sty m:val="p"/>
                    </m:rPr>
                    <m:t>,</m:t>
                  </m:r>
                  <m:r>
                    <m:t>i</m:t>
                  </m:r>
                </m:sub>
              </m:sSub>
            </m:num>
            <m:den>
              <m:r>
                <m:t>1</m:t>
              </m:r>
              <m:r>
                <m:rPr>
                  <m:sty m:val="p"/>
                </m:rPr>
                <m:t>−</m:t>
              </m:r>
              <m:r>
                <m:t>p</m:t>
              </m:r>
              <m:sSub>
                <m:e>
                  <m:r>
                    <m:t>d</m:t>
                  </m:r>
                </m:e>
                <m:sub>
                  <m:r>
                    <m:rPr>
                      <m:sty m:val="p"/>
                    </m:rPr>
                    <m:t>a</m:t>
                  </m:r>
                  <m:r>
                    <m:rPr>
                      <m:sty m:val="p"/>
                    </m:rPr>
                    <m:t>d</m:t>
                  </m:r>
                  <m:r>
                    <m:rPr>
                      <m:sty m:val="p"/>
                    </m:rPr>
                    <m:t>j</m:t>
                  </m:r>
                  <m:r>
                    <m:rPr>
                      <m:sty m:val="p"/>
                    </m:rPr>
                    <m:t>,</m:t>
                  </m:r>
                  <m:r>
                    <m:t>i</m:t>
                  </m:r>
                </m:sub>
              </m:sSub>
            </m:den>
          </m:f>
          <m:r>
            <m:rPr>
              <m:sty m:val="p"/>
            </m:rPr>
            <m:t>=</m:t>
          </m:r>
          <m:f>
            <m:fPr>
              <m:type m:val="bar"/>
            </m:fPr>
            <m:num>
              <m:r>
                <m:t>p</m:t>
              </m:r>
              <m:sSub>
                <m:e>
                  <m:r>
                    <m:t>d</m:t>
                  </m:r>
                </m:e>
                <m:sub>
                  <m:r>
                    <m:t>i</m:t>
                  </m:r>
                </m:sub>
              </m:sSub>
            </m:num>
            <m:den>
              <m:r>
                <m:t>1</m:t>
              </m:r>
              <m:r>
                <m:rPr>
                  <m:sty m:val="p"/>
                </m:rPr>
                <m:t>−</m:t>
              </m:r>
              <m:r>
                <m:t>p</m:t>
              </m:r>
              <m:sSub>
                <m:e>
                  <m:r>
                    <m:t>d</m:t>
                  </m:r>
                </m:e>
                <m:sub>
                  <m:r>
                    <m:t>i</m:t>
                  </m:r>
                </m:sub>
              </m:sSub>
            </m:den>
          </m:f>
          <m:r>
            <m:rPr>
              <m:sty m:val="p"/>
            </m:rPr>
            <m:t>×</m:t>
          </m:r>
          <m:f>
            <m:fPr>
              <m:type m:val="bar"/>
            </m:fPr>
            <m:num>
              <m:r>
                <m:t>1</m:t>
              </m:r>
              <m:r>
                <m:rPr>
                  <m:sty m:val="p"/>
                </m:rPr>
                <m:t>−</m:t>
              </m:r>
              <m:sSub>
                <m:e>
                  <m:r>
                    <m:t>π</m:t>
                  </m:r>
                </m:e>
                <m:sub>
                  <m:r>
                    <m:t>0</m:t>
                  </m:r>
                </m:sub>
              </m:sSub>
            </m:num>
            <m:den>
              <m:sSub>
                <m:e>
                  <m:r>
                    <m:t>π</m:t>
                  </m:r>
                </m:e>
                <m:sub>
                  <m:r>
                    <m:t>0</m:t>
                  </m:r>
                </m:sub>
              </m:sSub>
            </m:den>
          </m:f>
          <m:r>
            <m:rPr>
              <m:sty m:val="p"/>
            </m:rPr>
            <m:t>,</m:t>
          </m:r>
        </m:oMath>
      </m:oMathPara>
    </w:p>
    <w:p>
      <w:pPr>
        <w:pStyle w:val="FirstParagraph"/>
      </w:pPr>
      <w:r>
        <w:t xml:space="preserve">the rule becomes a condition on the unadjusted odds,</w:t>
      </w:r>
    </w:p>
    <w:p>
      <w:pPr>
        <w:pStyle w:val="BodyText"/>
      </w:pPr>
      <m:oMathPara>
        <m:oMathParaPr>
          <m:jc m:val="center"/>
        </m:oMathParaPr>
        <m:oMath>
          <m:f>
            <m:fPr>
              <m:type m:val="bar"/>
            </m:fPr>
            <m:num>
              <m:r>
                <m:t>p</m:t>
              </m:r>
              <m:sSub>
                <m:e>
                  <m:r>
                    <m:t>d</m:t>
                  </m:r>
                </m:e>
                <m:sub>
                  <m:r>
                    <m:t>i</m:t>
                  </m:r>
                </m:sub>
              </m:sSub>
            </m:num>
            <m:den>
              <m:r>
                <m:t>1</m:t>
              </m:r>
              <m:r>
                <m:rPr>
                  <m:sty m:val="p"/>
                </m:rPr>
                <m:t>−</m:t>
              </m:r>
              <m:r>
                <m:t>p</m:t>
              </m:r>
              <m:sSub>
                <m:e>
                  <m:r>
                    <m:t>d</m:t>
                  </m:r>
                </m:e>
                <m:sub>
                  <m:r>
                    <m:t>i</m:t>
                  </m:r>
                </m:sub>
              </m:sSub>
            </m:den>
          </m:f>
          <m:r>
            <m:rPr>
              <m:sty m:val="p"/>
            </m:rPr>
            <m:t>&gt;</m:t>
          </m:r>
          <m:f>
            <m:fPr>
              <m:type m:val="bar"/>
            </m:fPr>
            <m:num>
              <m:r>
                <m:t>c</m:t>
              </m:r>
            </m:num>
            <m:den>
              <m:r>
                <m:t>1</m:t>
              </m:r>
              <m:r>
                <m:rPr>
                  <m:sty m:val="p"/>
                </m:rPr>
                <m:t>−</m:t>
              </m:r>
              <m:r>
                <m:t>c</m:t>
              </m:r>
            </m:den>
          </m:f>
          <m:r>
            <m:rPr>
              <m:sty m:val="p"/>
            </m:rPr>
            <m:t>×</m:t>
          </m:r>
          <m:f>
            <m:fPr>
              <m:type m:val="bar"/>
            </m:fPr>
            <m:num>
              <m:sSub>
                <m:e>
                  <m:r>
                    <m:t>π</m:t>
                  </m:r>
                </m:e>
                <m:sub>
                  <m:r>
                    <m:t>0</m:t>
                  </m:r>
                </m:sub>
              </m:sSub>
            </m:num>
            <m:den>
              <m:r>
                <m:t>1</m:t>
              </m:r>
              <m:r>
                <m:rPr>
                  <m:sty m:val="p"/>
                </m:rPr>
                <m:t>−</m:t>
              </m:r>
              <m:sSub>
                <m:e>
                  <m:r>
                    <m:t>π</m:t>
                  </m:r>
                </m:e>
                <m:sub>
                  <m:r>
                    <m:t>0</m:t>
                  </m:r>
                </m:sub>
              </m:sSub>
            </m:den>
          </m:f>
          <m:r>
            <m:rPr>
              <m:sty m:val="p"/>
            </m:rPr>
            <m:t>,</m:t>
          </m:r>
        </m:oMath>
      </m:oMathPara>
    </w:p>
    <w:p>
      <w:pPr>
        <w:pStyle w:val="FirstParagraph"/>
      </w:pPr>
      <w:r>
        <w:t xml:space="preserve">or, on the probability scale, a stricter threshold on the raw</w:t>
      </w:r>
      <w:r>
        <w:t xml:space="preserve"> </w:t>
      </w:r>
      <m:oMath>
        <m:r>
          <m:t>p</m:t>
        </m:r>
        <m:sSub>
          <m:e>
            <m:r>
              <m:t>d</m:t>
            </m:r>
          </m:e>
          <m:sub>
            <m:r>
              <m:t>i</m:t>
            </m:r>
          </m:sub>
        </m:sSub>
      </m:oMath>
      <w:r>
        <w:t xml:space="preserve">:</w:t>
      </w:r>
    </w:p>
    <w:p>
      <w:pPr>
        <w:pStyle w:val="BodyText"/>
      </w:pPr>
      <m:oMathPara>
        <m:oMathParaPr>
          <m:jc m:val="center"/>
        </m:oMathParaPr>
        <m:oMath>
          <m:r>
            <m:t>p</m:t>
          </m:r>
          <m:sSub>
            <m:e>
              <m:r>
                <m:t>d</m:t>
              </m:r>
            </m:e>
            <m:sub>
              <m:r>
                <m:t>i</m:t>
              </m:r>
            </m:sub>
          </m:sSub>
          <m:r>
            <m:rPr>
              <m:sty m:val="p"/>
            </m:rPr>
            <m:t>&gt;</m:t>
          </m:r>
          <m:sSup>
            <m:e>
              <m:r>
                <m:t>c</m:t>
              </m:r>
            </m:e>
            <m:sup>
              <m:r>
                <m:rPr>
                  <m:sty m:val="p"/>
                </m:rPr>
                <m:t>*</m:t>
              </m:r>
            </m:sup>
          </m:sSup>
          <m:r>
            <m:rPr>
              <m:sty m:val="p"/>
            </m:rPr>
            <m:t>,</m:t>
          </m:r>
          <m:r>
            <m:t>  </m:t>
          </m:r>
          <m:sSup>
            <m:e>
              <m:r>
                <m:t>c</m:t>
              </m:r>
            </m:e>
            <m:sup>
              <m:r>
                <m:rPr>
                  <m:sty m:val="p"/>
                </m:rPr>
                <m:t>*</m:t>
              </m:r>
            </m:sup>
          </m:sSup>
          <m:r>
            <m:rPr>
              <m:sty m:val="p"/>
            </m:rPr>
            <m:t>=</m:t>
          </m:r>
          <m:f>
            <m:fPr>
              <m:type m:val="bar"/>
            </m:fPr>
            <m:num>
              <m:r>
                <m:t>c</m:t>
              </m:r>
              <m:r>
                <m:t> </m:t>
              </m:r>
              <m:sSub>
                <m:e>
                  <m:r>
                    <m:t>π</m:t>
                  </m:r>
                </m:e>
                <m:sub>
                  <m:r>
                    <m:t>0</m:t>
                  </m:r>
                </m:sub>
              </m:sSub>
            </m:num>
            <m:den>
              <m:d>
                <m:dPr>
                  <m:begChr m:val="("/>
                  <m:sepChr m:val=""/>
                  <m:endChr m:val=")"/>
                  <m:grow/>
                </m:dPr>
                <m:e>
                  <m:r>
                    <m:t>1</m:t>
                  </m:r>
                  <m:r>
                    <m:rPr>
                      <m:sty m:val="p"/>
                    </m:rPr>
                    <m:t>−</m:t>
                  </m:r>
                  <m:r>
                    <m:t>c</m:t>
                  </m:r>
                </m:e>
              </m:d>
              <m:d>
                <m:dPr>
                  <m:begChr m:val="("/>
                  <m:sepChr m:val=""/>
                  <m:endChr m:val=")"/>
                  <m:grow/>
                </m:dPr>
                <m:e>
                  <m:r>
                    <m:t>1</m:t>
                  </m:r>
                  <m:r>
                    <m:rPr>
                      <m:sty m:val="p"/>
                    </m:rPr>
                    <m:t>−</m:t>
                  </m:r>
                  <m:sSub>
                    <m:e>
                      <m:r>
                        <m:t>π</m:t>
                      </m:r>
                    </m:e>
                    <m:sub>
                      <m:r>
                        <m:t>0</m:t>
                      </m:r>
                    </m:sub>
                  </m:sSub>
                </m:e>
              </m:d>
              <m:r>
                <m:rPr>
                  <m:sty m:val="p"/>
                </m:rPr>
                <m:t>+</m:t>
              </m:r>
              <m:r>
                <m:t>c</m:t>
              </m:r>
              <m:r>
                <m:t> </m:t>
              </m:r>
              <m:sSub>
                <m:e>
                  <m:r>
                    <m:t>π</m:t>
                  </m:r>
                </m:e>
                <m:sub>
                  <m:r>
                    <m:t>0</m:t>
                  </m:r>
                </m:sub>
              </m:sSub>
            </m:den>
          </m:f>
          <m:r>
            <m:rPr>
              <m:sty m:val="p"/>
            </m:rPr>
            <m:t>,</m:t>
          </m:r>
        </m:oMath>
      </m:oMathPara>
    </w:p>
    <w:p>
      <w:pPr>
        <w:pStyle w:val="FirstParagraph"/>
      </w:pPr>
      <w:r>
        <w:t xml:space="preserve">with</w:t>
      </w:r>
      <w:r>
        <w:t xml:space="preserve"> </w:t>
      </w:r>
      <m:oMath>
        <m:sSup>
          <m:e>
            <m:r>
              <m:t>c</m:t>
            </m:r>
          </m:e>
          <m:sup>
            <m:r>
              <m:rPr>
                <m:sty m:val="p"/>
              </m:rPr>
              <m:t>*</m:t>
            </m:r>
          </m:sup>
        </m:sSup>
        <m:r>
          <m:rPr>
            <m:sty m:val="p"/>
          </m:rPr>
          <m:t>&gt;</m:t>
        </m:r>
        <m:r>
          <m:t>c</m:t>
        </m:r>
      </m:oMath>
      <w:r>
        <w:t xml:space="preserve"> </w:t>
      </w:r>
      <w:r>
        <w:t xml:space="preserve">whenever</w:t>
      </w:r>
      <w:r>
        <w:t xml:space="preserve"> </w:t>
      </w:r>
      <m:oMath>
        <m:sSub>
          <m:e>
            <m:r>
              <m:t>π</m:t>
            </m:r>
          </m:e>
          <m:sub>
            <m:r>
              <m:t>0</m:t>
            </m:r>
          </m:sub>
        </m:sSub>
        <m:r>
          <m:rPr>
            <m:sty m:val="p"/>
          </m:rPr>
          <m:t>&gt;</m:t>
        </m:r>
        <m:r>
          <m:t>0.5</m:t>
        </m:r>
      </m:oMath>
      <w:r>
        <w:t xml:space="preserve">. Since</w:t>
      </w:r>
      <w:r>
        <w:t xml:space="preserve"> </w:t>
      </w:r>
      <m:oMath>
        <m:sSup>
          <m:e>
            <m:r>
              <m:t>c</m:t>
            </m:r>
          </m:e>
          <m:sup>
            <m:r>
              <m:rPr>
                <m:sty m:val="p"/>
              </m:rPr>
              <m:t>*</m:t>
            </m:r>
          </m:sup>
        </m:sSup>
      </m:oMath>
      <w:r>
        <w:t xml:space="preserve"> </w:t>
      </w:r>
      <w:r>
        <w:t xml:space="preserve">is increasing in</w:t>
      </w:r>
      <w:r>
        <w:t xml:space="preserve"> </w:t>
      </w:r>
      <m:oMath>
        <m:sSub>
          <m:e>
            <m:r>
              <m:t>π</m:t>
            </m:r>
          </m:e>
          <m:sub>
            <m:r>
              <m:t>0</m:t>
            </m:r>
          </m:sub>
        </m:sSub>
      </m:oMath>
      <w:r>
        <w:t xml:space="preserve">, the decision threshold is tied directly to the prior probability of the null. The more plausible the null is held to be a priori, the stronger the posterior evidence required to claim a directional effect</w:t>
      </w:r>
      <w:r>
        <w:t xml:space="preserve"> </w:t>
      </w:r>
      <w:r>
        <w:t xml:space="preserve">(</w:t>
      </w:r>
      <w:hyperlink w:anchor="ref-Benjamin2017">
        <w:r>
          <w:rPr>
            <w:rStyle w:val="Hyperlink"/>
          </w:rPr>
          <w:t xml:space="preserve">Benjamin et al., 2017</w:t>
        </w:r>
      </w:hyperlink>
      <w:r>
        <w:t xml:space="preserve">)</w:t>
      </w:r>
      <w:r>
        <w:t xml:space="preserve">.</w:t>
      </w:r>
      <w:r>
        <w:t xml:space="preserve"> </w:t>
      </w:r>
      <w:r>
        <w:t xml:space="preserve">When the null distribution of</w:t>
      </w:r>
      <w:r>
        <w:t xml:space="preserve"> </w:t>
      </w:r>
      <m:oMath>
        <m:r>
          <m:t>p</m:t>
        </m:r>
        <m:r>
          <m:t>d</m:t>
        </m:r>
      </m:oMath>
      <w:r>
        <w:t xml:space="preserve"> </w:t>
      </w:r>
      <w:r>
        <w:t xml:space="preserve">is uniform on</w:t>
      </w:r>
      <w:r>
        <w:t xml:space="preserve"> </w:t>
      </w:r>
      <m:oMath>
        <m:d>
          <m:dPr>
            <m:begChr m:val="["/>
            <m:sepChr m:val=""/>
            <m:endChr m:val="]"/>
            <m:grow/>
          </m:dPr>
          <m:e>
            <m:r>
              <m:t>0.5</m:t>
            </m:r>
            <m:r>
              <m:rPr>
                <m:sty m:val="p"/>
              </m:rPr>
              <m:t>,</m:t>
            </m:r>
            <m:r>
              <m:t>1</m:t>
            </m:r>
          </m:e>
        </m:d>
      </m:oMath>
      <w:r>
        <w:t xml:space="preserve">, the per-test probability of rejecting a true null is</w:t>
      </w:r>
      <w:r>
        <w:t xml:space="preserve"> </w:t>
      </w:r>
      <m:oMath>
        <m:sSup>
          <m:e>
            <m:r>
              <m:t>α</m:t>
            </m:r>
          </m:e>
          <m:sup>
            <m:r>
              <m:rPr>
                <m:sty m:val="p"/>
              </m:rPr>
              <m:t>*</m:t>
            </m:r>
          </m:sup>
        </m:sSup>
        <m:r>
          <m:rPr>
            <m:sty m:val="p"/>
          </m:rPr>
          <m:t>=</m:t>
        </m:r>
        <m:r>
          <m:t>2</m:t>
        </m:r>
        <m:d>
          <m:dPr>
            <m:begChr m:val="("/>
            <m:sepChr m:val=""/>
            <m:endChr m:val=")"/>
            <m:grow/>
          </m:dPr>
          <m:e>
            <m:r>
              <m:t>1</m:t>
            </m:r>
            <m:r>
              <m:rPr>
                <m:sty m:val="p"/>
              </m:rPr>
              <m:t>−</m:t>
            </m:r>
            <m:sSup>
              <m:e>
                <m:r>
                  <m:t>c</m:t>
                </m:r>
              </m:e>
              <m:sup>
                <m:r>
                  <m:rPr>
                    <m:sty m:val="p"/>
                  </m:rPr>
                  <m:t>*</m:t>
                </m:r>
              </m:sup>
            </m:sSup>
          </m:e>
        </m:d>
      </m:oMath>
      <w:r>
        <w:t xml:space="preserve">; under an informative skeptical prior, which shrinks the posterior toward the null, this rate is even smaller. Since</w:t>
      </w:r>
      <w:r>
        <w:t xml:space="preserve"> </w:t>
      </w:r>
      <m:oMath>
        <m:sSup>
          <m:e>
            <m:r>
              <m:t>α</m:t>
            </m:r>
          </m:e>
          <m:sup>
            <m:r>
              <m:rPr>
                <m:sty m:val="p"/>
              </m:rPr>
              <m:t>*</m:t>
            </m:r>
          </m:sup>
        </m:sSup>
        <m:r>
          <m:rPr>
            <m:sty m:val="p"/>
          </m:rPr>
          <m:t>&lt;</m:t>
        </m:r>
        <m:r>
          <m:t>α</m:t>
        </m:r>
      </m:oMath>
      <w:r>
        <w:t xml:space="preserve">, the adjustment lowers both factors of the decomposition, the pFDR, in which</w:t>
      </w:r>
      <w:r>
        <w:t xml:space="preserve"> </w:t>
      </w:r>
      <m:oMath>
        <m:r>
          <m:t>α</m:t>
        </m:r>
      </m:oMath>
      <w:r>
        <w:t xml:space="preserve"> </w:t>
      </w:r>
      <w:r>
        <w:t xml:space="preserve">enters directly, and</w:t>
      </w:r>
      <w:r>
        <w:t xml:space="preserve"> </w:t>
      </w:r>
      <m:oMath>
        <m:r>
          <m:rPr>
            <m:sty m:val="p"/>
          </m:rPr>
          <m:t>Pr</m:t>
        </m:r>
        <m:d>
          <m:dPr>
            <m:begChr m:val="("/>
            <m:sepChr m:val=""/>
            <m:endChr m:val=")"/>
            <m:grow/>
          </m:dPr>
          <m:e>
            <m:r>
              <m:t>R</m:t>
            </m:r>
            <m:r>
              <m:rPr>
                <m:sty m:val="p"/>
              </m:rPr>
              <m:t>&gt;</m:t>
            </m:r>
            <m:r>
              <m:t>0</m:t>
            </m:r>
          </m:e>
        </m:d>
      </m:oMath>
      <w:r>
        <w:t xml:space="preserve">, which falls as the test becomes more conservative, and therefore reduces the FDR relative to the unadjusted rule.</w:t>
      </w:r>
    </w:p>
    <w:bookmarkStart w:id="70" w:name="simulation-study"/>
    <w:p>
      <w:pPr>
        <w:pStyle w:val="Heading3"/>
      </w:pPr>
      <w:r>
        <w:t xml:space="preserve">Simulation Study</w:t>
      </w:r>
    </w:p>
    <w:p>
      <w:pPr>
        <w:pStyle w:val="FirstParagraph"/>
      </w:pPr>
      <w:r>
        <w:t xml:space="preserve">We conducted a fully crossed simulation study, with 10,000 replications per cell, to examine the adjustment under both correctly specified and misspecified priors (</w:t>
      </w:r>
      <m:oMath>
        <m:sSub>
          <m:e>
            <m:r>
              <m:t>π</m:t>
            </m:r>
          </m:e>
          <m:sub>
            <m:r>
              <m:t>0</m:t>
            </m:r>
          </m:sub>
        </m:sSub>
      </m:oMath>
      <w:r>
        <w:t xml:space="preserve">). We varied the per-test null prior supplied to the procedure,</w:t>
      </w:r>
      <w:r>
        <w:t xml:space="preserve"> </w:t>
      </w:r>
      <m:oMath>
        <m:sSub>
          <m:e>
            <m:r>
              <m:t>π</m:t>
            </m:r>
          </m:e>
          <m:sub>
            <m:r>
              <m:t>0</m:t>
            </m:r>
          </m:sub>
        </m:sSub>
        <m:r>
          <m:rPr>
            <m:sty m:val="p"/>
          </m:rPr>
          <m:t>∈</m:t>
        </m:r>
        <m:r>
          <m:rPr>
            <m:sty m:val="p"/>
          </m:rPr>
          <m:t>{</m:t>
        </m:r>
        <m:r>
          <m:t>0.50</m:t>
        </m:r>
        <m:r>
          <m:rPr>
            <m:sty m:val="p"/>
          </m:rPr>
          <m:t>,</m:t>
        </m:r>
        <m:r>
          <m:t>0.6</m:t>
        </m:r>
        <m:r>
          <m:rPr>
            <m:sty m:val="p"/>
          </m:rPr>
          <m:t>,</m:t>
        </m:r>
        <m:r>
          <m:rPr>
            <m:sty m:val="p"/>
          </m:rPr>
          <m:t>…</m:t>
        </m:r>
        <m:r>
          <m:rPr>
            <m:sty m:val="p"/>
          </m:rPr>
          <m:t>,</m:t>
        </m:r>
        <m:r>
          <m:t>0.9</m:t>
        </m:r>
        <m:r>
          <m:rPr>
            <m:sty m:val="p"/>
          </m:rPr>
          <m:t>}</m:t>
        </m:r>
      </m:oMath>
      <w:r>
        <w:t xml:space="preserve">; the true probability that each hypothesis is null,</w:t>
      </w:r>
      <w:r>
        <w:t xml:space="preserve"> </w:t>
      </w:r>
      <m:oMath>
        <m:sSub>
          <m:e>
            <m:r>
              <m:t>π</m:t>
            </m:r>
          </m:e>
          <m:sub>
            <m:r>
              <m:t>0</m:t>
            </m:r>
            <m:r>
              <m:rPr>
                <m:nor/>
                <m:sty m:val="p"/>
              </m:rPr>
              <m:t>true</m:t>
            </m:r>
          </m:sub>
        </m:sSub>
        <m:r>
          <m:rPr>
            <m:sty m:val="p"/>
          </m:rPr>
          <m:t>∈</m:t>
        </m:r>
        <m:r>
          <m:rPr>
            <m:sty m:val="p"/>
          </m:rPr>
          <m:t>{</m:t>
        </m:r>
        <m:r>
          <m:t>0.5</m:t>
        </m:r>
        <m:r>
          <m:rPr>
            <m:sty m:val="p"/>
          </m:rPr>
          <m:t>,</m:t>
        </m:r>
        <m:r>
          <m:t>0.6</m:t>
        </m:r>
        <m:r>
          <m:rPr>
            <m:sty m:val="p"/>
          </m:rPr>
          <m:t>,</m:t>
        </m:r>
        <m:r>
          <m:rPr>
            <m:sty m:val="p"/>
          </m:rPr>
          <m:t>…</m:t>
        </m:r>
        <m:r>
          <m:rPr>
            <m:sty m:val="p"/>
          </m:rPr>
          <m:t>,</m:t>
        </m:r>
        <m:r>
          <m:t>1.0</m:t>
        </m:r>
        <m:r>
          <m:rPr>
            <m:sty m:val="p"/>
          </m:rPr>
          <m:t>}</m:t>
        </m:r>
      </m:oMath>
      <w:r>
        <w:t xml:space="preserve">; the family size</w:t>
      </w:r>
      <w:r>
        <w:t xml:space="preserve"> </w:t>
      </w:r>
      <m:oMath>
        <m:r>
          <m:t>m</m:t>
        </m:r>
        <m:r>
          <m:rPr>
            <m:sty m:val="p"/>
          </m:rPr>
          <m:t>∈</m:t>
        </m:r>
        <m:r>
          <m:rPr>
            <m:sty m:val="p"/>
          </m:rPr>
          <m:t>{</m:t>
        </m:r>
        <m:r>
          <m:t>4</m:t>
        </m:r>
        <m:r>
          <m:rPr>
            <m:sty m:val="p"/>
          </m:rPr>
          <m:t>,</m:t>
        </m:r>
        <m:r>
          <m:t>8</m:t>
        </m:r>
        <m:r>
          <m:rPr>
            <m:sty m:val="p"/>
          </m:rPr>
          <m:t>,</m:t>
        </m:r>
        <m:r>
          <m:t>10</m:t>
        </m:r>
        <m:r>
          <m:rPr>
            <m:sty m:val="p"/>
          </m:rPr>
          <m:t>,</m:t>
        </m:r>
        <m:r>
          <m:t>20</m:t>
        </m:r>
        <m:r>
          <m:rPr>
            <m:sty m:val="p"/>
          </m:rPr>
          <m:t>}</m:t>
        </m:r>
      </m:oMath>
      <w:r>
        <w:t xml:space="preserve">; and the sample size</w:t>
      </w:r>
      <w:r>
        <w:t xml:space="preserve"> </w:t>
      </w:r>
      <m:oMath>
        <m:r>
          <m:t>n</m:t>
        </m:r>
        <m:r>
          <m:rPr>
            <m:sty m:val="p"/>
          </m:rPr>
          <m:t>∈</m:t>
        </m:r>
        <m:r>
          <m:rPr>
            <m:sty m:val="p"/>
          </m:rPr>
          <m:t>{</m:t>
        </m:r>
        <m:r>
          <m:t>30</m:t>
        </m:r>
        <m:r>
          <m:rPr>
            <m:sty m:val="p"/>
          </m:rPr>
          <m:t>,</m:t>
        </m:r>
        <m:r>
          <m:t>50</m:t>
        </m:r>
        <m:r>
          <m:rPr>
            <m:sty m:val="p"/>
          </m:rPr>
          <m:t>,</m:t>
        </m:r>
        <m:r>
          <m:t>100</m:t>
        </m:r>
        <m:r>
          <m:rPr>
            <m:sty m:val="p"/>
          </m:rPr>
          <m:t>}</m:t>
        </m:r>
      </m:oMath>
      <w:r>
        <w:t xml:space="preserve">. At each replication the number of true null effects (</w:t>
      </w:r>
      <m:oMath>
        <m:sSub>
          <m:e>
            <m:r>
              <m:t>θ</m:t>
            </m:r>
          </m:e>
          <m:sub>
            <m:r>
              <m:t>i</m:t>
            </m:r>
          </m:sub>
        </m:sSub>
        <m:r>
          <m:rPr>
            <m:sty m:val="p"/>
          </m:rPr>
          <m:t>=</m:t>
        </m:r>
        <m:r>
          <m:t>0</m:t>
        </m:r>
      </m:oMath>
      <w:r>
        <w:t xml:space="preserve">) was drawn from</w:t>
      </w:r>
      <w:r>
        <w:t xml:space="preserve"> </w:t>
      </w:r>
      <m:oMath>
        <m:r>
          <m:rPr>
            <m:sty m:val="p"/>
          </m:rPr>
          <m:t>B</m:t>
        </m:r>
        <m:r>
          <m:rPr>
            <m:sty m:val="p"/>
          </m:rPr>
          <m:t>i</m:t>
        </m:r>
        <m:r>
          <m:rPr>
            <m:sty m:val="p"/>
          </m:rPr>
          <m:t>n</m:t>
        </m:r>
        <m:r>
          <m:rPr>
            <m:sty m:val="p"/>
          </m:rPr>
          <m:t>o</m:t>
        </m:r>
        <m:r>
          <m:rPr>
            <m:sty m:val="p"/>
          </m:rPr>
          <m:t>m</m:t>
        </m:r>
        <m:r>
          <m:rPr>
            <m:sty m:val="p"/>
          </m:rPr>
          <m:t>i</m:t>
        </m:r>
        <m:r>
          <m:rPr>
            <m:sty m:val="p"/>
          </m:rPr>
          <m:t>a</m:t>
        </m:r>
        <m:r>
          <m:rPr>
            <m:sty m:val="p"/>
          </m:rPr>
          <m:t>l</m:t>
        </m:r>
        <m:d>
          <m:dPr>
            <m:begChr m:val="("/>
            <m:sepChr m:val=""/>
            <m:endChr m:val=")"/>
            <m:grow/>
          </m:dPr>
          <m:e>
            <m:r>
              <m:t>m</m:t>
            </m:r>
            <m:r>
              <m:rPr>
                <m:sty m:val="p"/>
              </m:rPr>
              <m:t>,</m:t>
            </m:r>
            <m:sSub>
              <m:e>
                <m:r>
                  <m:t>π</m:t>
                </m:r>
              </m:e>
              <m:sub>
                <m:r>
                  <m:t>0</m:t>
                </m:r>
                <m:r>
                  <m:rPr>
                    <m:nor/>
                    <m:sty m:val="p"/>
                  </m:rPr>
                  <m:t>true</m:t>
                </m:r>
              </m:sub>
            </m:sSub>
          </m:e>
        </m:d>
      </m:oMath>
      <w:r>
        <w:t xml:space="preserve"> </w:t>
      </w:r>
      <w:r>
        <w:t xml:space="preserve">and the remaining effects set to</w:t>
      </w:r>
      <w:r>
        <w:t xml:space="preserve"> </w:t>
      </w:r>
      <m:oMath>
        <m:sSub>
          <m:e>
            <m:r>
              <m:t>θ</m:t>
            </m:r>
          </m:e>
          <m:sub>
            <m:r>
              <m:t>i</m:t>
            </m:r>
          </m:sub>
        </m:sSub>
        <m:r>
          <m:rPr>
            <m:sty m:val="p"/>
          </m:rPr>
          <m:t>=</m:t>
        </m:r>
        <m:r>
          <m:t>0.3</m:t>
        </m:r>
      </m:oMath>
      <w:r>
        <w:t xml:space="preserve">; observations were generated as</w:t>
      </w:r>
      <w:r>
        <w:t xml:space="preserve"> </w:t>
      </w:r>
      <m:oMath>
        <m:sSub>
          <m:e>
            <m:r>
              <m:t>y</m:t>
            </m:r>
          </m:e>
          <m:sub>
            <m:r>
              <m:t>i</m:t>
            </m:r>
          </m:sub>
        </m:sSub>
        <m:r>
          <m:rPr>
            <m:sty m:val="p"/>
          </m:rPr>
          <m:t>∼</m:t>
        </m:r>
        <m:r>
          <m:rPr>
            <m:sty m:val="p"/>
            <m:scr m:val="script"/>
          </m:rPr>
          <m:t>N</m:t>
        </m:r>
        <m:d>
          <m:dPr>
            <m:begChr m:val="("/>
            <m:sepChr m:val=""/>
            <m:endChr m:val=")"/>
            <m:grow/>
          </m:dPr>
          <m:e>
            <m:sSub>
              <m:e>
                <m:r>
                  <m:t>θ</m:t>
                </m:r>
              </m:e>
              <m:sub>
                <m:r>
                  <m:t>i</m:t>
                </m:r>
              </m:sub>
            </m:sSub>
            <m:r>
              <m:rPr>
                <m:sty m:val="p"/>
              </m:rPr>
              <m:t>,</m:t>
            </m:r>
            <m:r>
              <m:t>1</m:t>
            </m:r>
          </m:e>
        </m:d>
      </m:oMath>
      <w:r>
        <w:t xml:space="preserve">, and the posterior obtained from a conjugate normal–normal model with</w:t>
      </w:r>
      <w:r>
        <w:t xml:space="preserve"> </w:t>
      </w:r>
      <m:oMath>
        <m:sSub>
          <m:e>
            <m:r>
              <m:t>y</m:t>
            </m:r>
          </m:e>
          <m:sub>
            <m:r>
              <m:t>i</m:t>
            </m:r>
          </m:sub>
        </m:sSub>
        <m:r>
          <m:rPr>
            <m:sty m:val="p"/>
          </m:rPr>
          <m:t>∣</m:t>
        </m:r>
        <m:r>
          <m:t>θ</m:t>
        </m:r>
        <m:r>
          <m:rPr>
            <m:sty m:val="p"/>
          </m:rPr>
          <m:t>∼</m:t>
        </m:r>
        <m:r>
          <m:rPr>
            <m:sty m:val="p"/>
            <m:scr m:val="script"/>
          </m:rPr>
          <m:t>N</m:t>
        </m:r>
        <m:d>
          <m:dPr>
            <m:begChr m:val="("/>
            <m:sepChr m:val=""/>
            <m:endChr m:val=")"/>
            <m:grow/>
          </m:dPr>
          <m:e>
            <m:r>
              <m:t>θ</m:t>
            </m:r>
            <m:r>
              <m:rPr>
                <m:sty m:val="p"/>
              </m:rPr>
              <m:t>,</m:t>
            </m:r>
            <m:r>
              <m:t>1</m:t>
            </m:r>
          </m:e>
        </m:d>
      </m:oMath>
      <w:r>
        <w:t xml:space="preserve"> </w:t>
      </w:r>
      <w:r>
        <w:t xml:space="preserve">and prior</w:t>
      </w:r>
      <w:r>
        <w:t xml:space="preserve"> </w:t>
      </w:r>
      <m:oMath>
        <m:r>
          <m:t>θ</m:t>
        </m:r>
        <m:r>
          <m:rPr>
            <m:sty m:val="p"/>
          </m:rPr>
          <m:t>∼</m:t>
        </m:r>
        <m:r>
          <m:rPr>
            <m:sty m:val="p"/>
            <m:scr m:val="script"/>
          </m:rPr>
          <m:t>N</m:t>
        </m:r>
        <m:d>
          <m:dPr>
            <m:begChr m:val="("/>
            <m:sepChr m:val=""/>
            <m:endChr m:val=")"/>
            <m:grow/>
          </m:dPr>
          <m:e>
            <m:r>
              <m:t>0</m:t>
            </m:r>
            <m:r>
              <m:rPr>
                <m:sty m:val="p"/>
              </m:rPr>
              <m:t>,</m:t>
            </m:r>
            <m:r>
              <m:t>2</m:t>
            </m:r>
          </m:e>
        </m:d>
      </m:oMath>
      <w:r>
        <w:t xml:space="preserve">. We declared support for a directional effect when</w:t>
      </w:r>
      <w:r>
        <w:t xml:space="preserve"> </w:t>
      </w:r>
      <m:oMath>
        <m:r>
          <m:t>p</m:t>
        </m:r>
        <m:r>
          <m:t>d</m:t>
        </m:r>
        <m:r>
          <m:rPr>
            <m:sty m:val="p"/>
          </m:rPr>
          <m:t>&gt;</m:t>
        </m:r>
        <m:r>
          <m:t>0.975</m:t>
        </m:r>
      </m:oMath>
      <w:r>
        <w:t xml:space="preserve"> </w:t>
      </w:r>
      <w:r>
        <w:t xml:space="preserve">and evaluated the FDR, the FWER, and average power, the proportion of true effects detected</w:t>
      </w:r>
      <w:r>
        <w:t xml:space="preserve"> </w:t>
      </w:r>
      <w:r>
        <w:t xml:space="preserve">(</w:t>
      </w:r>
      <w:hyperlink w:anchor="ref-Benjamini1995">
        <w:r>
          <w:rPr>
            <w:rStyle w:val="Hyperlink"/>
          </w:rPr>
          <w:t xml:space="preserve">Benjamini &amp; Hochberg, 1995</w:t>
        </w:r>
      </w:hyperlink>
      <w:r>
        <w:t xml:space="preserve">;</w:t>
      </w:r>
      <w:r>
        <w:t xml:space="preserve"> </w:t>
      </w:r>
      <w:hyperlink w:anchor="ref-Grant2025">
        <w:r>
          <w:rPr>
            <w:rStyle w:val="Hyperlink"/>
          </w:rPr>
          <w:t xml:space="preserve">Izmirlian et al., 2025</w:t>
        </w:r>
      </w:hyperlink>
      <w:r>
        <w:t xml:space="preserve">)</w:t>
      </w:r>
      <w:r>
        <w:t xml:space="preserve">. The diagonal</w:t>
      </w:r>
      <w:r>
        <w:t xml:space="preserve"> </w:t>
      </w:r>
      <m:oMath>
        <m:sSub>
          <m:e>
            <m:r>
              <m:t>π</m:t>
            </m:r>
          </m:e>
          <m:sub>
            <m:r>
              <m:t>0</m:t>
            </m:r>
          </m:sub>
        </m:sSub>
        <m:r>
          <m:rPr>
            <m:sty m:val="p"/>
          </m:rPr>
          <m:t>=</m:t>
        </m:r>
        <m:sSub>
          <m:e>
            <m:r>
              <m:t>π</m:t>
            </m:r>
          </m:e>
          <m:sub>
            <m:r>
              <m:t>0</m:t>
            </m:r>
            <m:r>
              <m:rPr>
                <m:nor/>
                <m:sty m:val="p"/>
              </m:rPr>
              <m:t>true</m:t>
            </m:r>
          </m:sub>
        </m:sSub>
      </m:oMath>
      <w:r>
        <w:t xml:space="preserve"> </w:t>
      </w:r>
      <w:r>
        <w:t xml:space="preserve">corresponds to a correctly specified prior.</w:t>
      </w:r>
    </w:p>
    <w:p>
      <w:pPr>
        <w:pStyle w:val="BodyText"/>
      </w:pPr>
      <w:hyperlink w:anchor="fig-ind-fdr-pw">
        <w:r>
          <w:rPr>
            <w:rStyle w:val="Hyperlink"/>
          </w:rPr>
          <w:t xml:space="preserve">Figure 4</w:t>
        </w:r>
      </w:hyperlink>
      <w:r>
        <w:t xml:space="preserve"> </w:t>
      </w:r>
      <w:r>
        <w:t xml:space="preserve">shows the FDR resulting from our procedure across the grid. The column</w:t>
      </w:r>
      <w:r>
        <w:t xml:space="preserve"> </w:t>
      </w:r>
      <m:oMath>
        <m:sSub>
          <m:e>
            <m:r>
              <m:t>π</m:t>
            </m:r>
          </m:e>
          <m:sub>
            <m:r>
              <m:t>0</m:t>
            </m:r>
          </m:sub>
        </m:sSub>
        <m:r>
          <m:rPr>
            <m:sty m:val="p"/>
          </m:rPr>
          <m:t>=</m:t>
        </m:r>
        <m:r>
          <m:t>0.5</m:t>
        </m:r>
      </m:oMath>
      <w:r>
        <w:t xml:space="preserve"> </w:t>
      </w:r>
      <w:r>
        <w:t xml:space="preserve">is the unadjusted rule: there the prior odds are one, no correction is applied (</w:t>
      </w:r>
      <m:oMath>
        <m:r>
          <m:t>p</m:t>
        </m:r>
        <m:sSub>
          <m:e>
            <m:r>
              <m:t>d</m:t>
            </m:r>
          </m:e>
          <m:sub>
            <m:r>
              <m:rPr>
                <m:sty m:val="p"/>
              </m:rPr>
              <m:t>a</m:t>
            </m:r>
            <m:r>
              <m:rPr>
                <m:sty m:val="p"/>
              </m:rPr>
              <m:t>d</m:t>
            </m:r>
            <m:r>
              <m:rPr>
                <m:sty m:val="p"/>
              </m:rPr>
              <m:t>j</m:t>
            </m:r>
          </m:sub>
        </m:sSub>
        <m:r>
          <m:rPr>
            <m:sty m:val="p"/>
          </m:rPr>
          <m:t>=</m:t>
        </m:r>
        <m:r>
          <m:t>p</m:t>
        </m:r>
        <m:r>
          <m:t>d</m:t>
        </m:r>
      </m:oMath>
      <w:r>
        <w:t xml:space="preserve">), and the FDR inflates with the family size</w:t>
      </w:r>
      <w:r>
        <w:t xml:space="preserve"> </w:t>
      </w:r>
      <m:oMath>
        <m:r>
          <m:t>m</m:t>
        </m:r>
      </m:oMath>
      <w:r>
        <w:t xml:space="preserve"> </w:t>
      </w:r>
      <w:r>
        <w:t xml:space="preserve">and the true null proportion</w:t>
      </w:r>
      <w:r>
        <w:t xml:space="preserve"> </w:t>
      </w:r>
      <m:oMath>
        <m:sSub>
          <m:e>
            <m:r>
              <m:t>π</m:t>
            </m:r>
          </m:e>
          <m:sub>
            <m:r>
              <m:t>0</m:t>
            </m:r>
            <m:r>
              <m:rPr>
                <m:nor/>
                <m:sty m:val="p"/>
              </m:rPr>
              <m:t>true</m:t>
            </m:r>
          </m:sub>
        </m:sSub>
      </m:oMath>
      <w:r>
        <w:t xml:space="preserve">, reaching</w:t>
      </w:r>
      <w:r>
        <w:t xml:space="preserve"> </w:t>
      </w:r>
      <m:oMath>
        <m:r>
          <m:t>0.64</m:t>
        </m:r>
      </m:oMath>
      <w:r>
        <w:t xml:space="preserve"> </w:t>
      </w:r>
      <w:r>
        <w:t xml:space="preserve">when the family is large and most effects are null. Increasing</w:t>
      </w:r>
      <w:r>
        <w:t xml:space="preserve"> </w:t>
      </w:r>
      <m:oMath>
        <m:sSub>
          <m:e>
            <m:r>
              <m:t>π</m:t>
            </m:r>
          </m:e>
          <m:sub>
            <m:r>
              <m:t>0</m:t>
            </m:r>
          </m:sub>
        </m:sSub>
      </m:oMath>
      <w:r>
        <w:t xml:space="preserve"> </w:t>
      </w:r>
      <w:r>
        <w:t xml:space="preserve">brings the FDR under control: it is held low whenever the specified</w:t>
      </w:r>
      <w:r>
        <w:t xml:space="preserve"> </w:t>
      </w:r>
      <m:oMath>
        <m:sSub>
          <m:e>
            <m:r>
              <m:t>π</m:t>
            </m:r>
          </m:e>
          <m:sub>
            <m:r>
              <m:t>0</m:t>
            </m:r>
          </m:sub>
        </m:sSub>
      </m:oMath>
      <w:r>
        <w:t xml:space="preserve"> </w:t>
      </w:r>
      <w:r>
        <w:t xml:space="preserve">is at least the true proportion, and inflates only under substantial underestimation, when a small</w:t>
      </w:r>
      <w:r>
        <w:t xml:space="preserve"> </w:t>
      </w:r>
      <m:oMath>
        <m:sSub>
          <m:e>
            <m:r>
              <m:t>π</m:t>
            </m:r>
          </m:e>
          <m:sub>
            <m:r>
              <m:t>0</m:t>
            </m:r>
          </m:sub>
        </m:sSub>
      </m:oMath>
      <w:r>
        <w:t xml:space="preserve"> </w:t>
      </w:r>
      <w:r>
        <w:t xml:space="preserve">is paired with a large</w:t>
      </w:r>
      <w:r>
        <w:t xml:space="preserve"> </w:t>
      </w:r>
      <m:oMath>
        <m:sSub>
          <m:e>
            <m:r>
              <m:t>π</m:t>
            </m:r>
          </m:e>
          <m:sub>
            <m:r>
              <m:t>0</m:t>
            </m:r>
            <m:r>
              <m:rPr>
                <m:nor/>
                <m:sty m:val="p"/>
              </m:rPr>
              <m:t>true</m:t>
            </m:r>
          </m:sub>
        </m:sSub>
      </m:oMath>
      <w:r>
        <w:t xml:space="preserve"> </w:t>
      </w:r>
      <w:r>
        <w:t xml:space="preserve">at large</w:t>
      </w:r>
      <w:r>
        <w:t xml:space="preserve"> </w:t>
      </w:r>
      <m:oMath>
        <m:r>
          <m:t>m</m:t>
        </m:r>
      </m:oMath>
      <w:r>
        <w:t xml:space="preserve">. This control trades off power, which decreases as</w:t>
      </w:r>
      <w:r>
        <w:t xml:space="preserve"> </w:t>
      </w:r>
      <m:oMath>
        <m:sSub>
          <m:e>
            <m:r>
              <m:t>π</m:t>
            </m:r>
          </m:e>
          <m:sub>
            <m:r>
              <m:t>0</m:t>
            </m:r>
          </m:sub>
        </m:sSub>
      </m:oMath>
      <w:r>
        <w:t xml:space="preserve"> </w:t>
      </w:r>
      <w:r>
        <w:t xml:space="preserve">increases; because average power does not vary with</w:t>
      </w:r>
      <w:r>
        <w:t xml:space="preserve"> </w:t>
      </w:r>
      <m:oMath>
        <m:r>
          <m:t>m</m:t>
        </m:r>
      </m:oMath>
      <w:r>
        <w:t xml:space="preserve"> </w:t>
      </w:r>
      <w:r>
        <w:t xml:space="preserve">(for fixed</w:t>
      </w:r>
      <w:r>
        <w:t xml:space="preserve"> </w:t>
      </w:r>
      <m:oMath>
        <m:sSub>
          <m:e>
            <m:r>
              <m:t>π</m:t>
            </m:r>
          </m:e>
          <m:sub>
            <m:r>
              <m:t>0</m:t>
            </m:r>
            <m:r>
              <m:rPr>
                <m:nor/>
                <m:sty m:val="p"/>
              </m:rPr>
              <m:t>true</m:t>
            </m:r>
          </m:sub>
        </m:sSub>
      </m:oMath>
      <w:r>
        <w:t xml:space="preserve"> </w:t>
      </w:r>
      <w:r>
        <w:t xml:space="preserve">and</w:t>
      </w:r>
      <w:r>
        <w:t xml:space="preserve"> </w:t>
      </w:r>
      <m:oMath>
        <m:sSub>
          <m:e>
            <m:r>
              <m:t>π</m:t>
            </m:r>
          </m:e>
          <m:sub>
            <m:r>
              <m:t>0</m:t>
            </m:r>
          </m:sub>
        </m:sSub>
      </m:oMath>
      <w:r>
        <w:t xml:space="preserve">), we display</w:t>
      </w:r>
      <w:r>
        <w:t xml:space="preserve"> </w:t>
      </w:r>
      <m:oMath>
        <m:r>
          <m:t>m</m:t>
        </m:r>
        <m:r>
          <m:rPr>
            <m:sty m:val="p"/>
          </m:rPr>
          <m:t>=</m:t>
        </m:r>
        <m:r>
          <m:t>20</m:t>
        </m:r>
      </m:oMath>
      <w:r>
        <w:t xml:space="preserve"> </w:t>
      </w:r>
      <w:r>
        <w:t xml:space="preserve">as a representative condition (</w:t>
      </w:r>
      <w:hyperlink w:anchor="fig-ind-fdr-pw">
        <w:r>
          <w:rPr>
            <w:rStyle w:val="Hyperlink"/>
          </w:rPr>
          <w:t xml:space="preserve">Figure 4</w:t>
        </w:r>
      </w:hyperlink>
      <w:r>
        <w:t xml:space="preserve">).</w:t>
      </w:r>
    </w:p>
    <w:bookmarkStart w:id="65" w:name="fig-ind-fdr-pw"/>
    <w:p>
      <w:pPr>
        <w:pStyle w:val="FigureTitle"/>
      </w:pPr>
      <w:r>
        <w:t xml:space="preserve">Figure 4</w:t>
      </w:r>
    </w:p>
    <w:p>
      <w:pPr>
        <w:pStyle w:val="Caption"/>
      </w:pPr>
      <w:r>
        <w:t xml:space="preserve">False Discovery Rate (FDR, Panel A) and average power (Panel B) of the adjusted</w:t>
      </w:r>
      <w:r>
        <w:t xml:space="preserve"> </w:t>
      </w:r>
      <m:oMath>
        <m:r>
          <m:t>p</m:t>
        </m:r>
        <m:r>
          <m:t>d</m:t>
        </m:r>
      </m:oMath>
      <w:r>
        <w:t xml:space="preserve"> </w:t>
      </w:r>
      <w:r>
        <w:t xml:space="preserve">procedure as a function of the specified per-test null prior</w:t>
      </w:r>
      <w:r>
        <w:t xml:space="preserve"> </w:t>
      </w:r>
      <m:oMath>
        <m:sSub>
          <m:e>
            <m:r>
              <m:t>π</m:t>
            </m:r>
          </m:e>
          <m:sub>
            <m:r>
              <m:t>0</m:t>
            </m:r>
          </m:sub>
        </m:sSub>
      </m:oMath>
      <w:r>
        <w:t xml:space="preserve"> </w:t>
      </w:r>
      <w:r>
        <w:t xml:space="preserve">(x-axis) and the true null probability</w:t>
      </w:r>
      <w:r>
        <w:t xml:space="preserve"> </w:t>
      </w:r>
      <m:oMath>
        <m:sSub>
          <m:e>
            <m:r>
              <m:t>π</m:t>
            </m:r>
          </m:e>
          <m:sub>
            <m:sSub>
              <m:e>
                <m:r>
                  <m:t>0</m:t>
                </m:r>
              </m:e>
              <m:sub>
                <m:r>
                  <m:t>t</m:t>
                </m:r>
                <m:r>
                  <m:t>r</m:t>
                </m:r>
                <m:r>
                  <m:t>u</m:t>
                </m:r>
                <m:r>
                  <m:t>e</m:t>
                </m:r>
              </m:sub>
            </m:sSub>
          </m:sub>
        </m:sSub>
      </m:oMath>
      <w:r>
        <w:t xml:space="preserve"> </w:t>
      </w:r>
      <w:r>
        <w:t xml:space="preserve">(y-axis), by family size m (rows, for Panel A) and sample size n (columns). The column</w:t>
      </w:r>
      <w:r>
        <w:t xml:space="preserve"> </w:t>
      </w:r>
      <m:oMath>
        <m:sSub>
          <m:e>
            <m:r>
              <m:t>π</m:t>
            </m:r>
          </m:e>
          <m:sub>
            <m:r>
              <m:t>0</m:t>
            </m:r>
          </m:sub>
        </m:sSub>
        <m:r>
          <m:rPr>
            <m:sty m:val="p"/>
          </m:rPr>
          <m:t>=</m:t>
        </m:r>
        <m:r>
          <m:t>0.5</m:t>
        </m:r>
      </m:oMath>
      <w:r>
        <w:t xml:space="preserve"> </w:t>
      </w:r>
      <w:r>
        <w:t xml:space="preserve">is the unadjusted rule, where the prior odds are one and no correction is applied (</w:t>
      </w:r>
      <m:oMath>
        <m:r>
          <m:t>p</m:t>
        </m:r>
        <m:sSub>
          <m:e>
            <m:r>
              <m:t>d</m:t>
            </m:r>
          </m:e>
          <m:sub>
            <m:r>
              <m:t>a</m:t>
            </m:r>
            <m:r>
              <m:t>d</m:t>
            </m:r>
            <m:r>
              <m:t>j</m:t>
            </m:r>
          </m:sub>
        </m:sSub>
        <m:r>
          <m:rPr>
            <m:sty m:val="p"/>
          </m:rPr>
          <m:t>=</m:t>
        </m:r>
        <m:r>
          <m:t>p</m:t>
        </m:r>
        <m:r>
          <m:t>d</m:t>
        </m:r>
      </m:oMath>
      <w:r>
        <w:t xml:space="preserve">); the diagonal</w:t>
      </w:r>
      <w:r>
        <w:t xml:space="preserve"> </w:t>
      </w:r>
      <m:oMath>
        <m:sSub>
          <m:e>
            <m:r>
              <m:t>π</m:t>
            </m:r>
          </m:e>
          <m:sub>
            <m:r>
              <m:t>0</m:t>
            </m:r>
          </m:sub>
        </m:sSub>
        <m:r>
          <m:rPr>
            <m:sty m:val="p"/>
          </m:rPr>
          <m:t>=</m:t>
        </m:r>
        <m:sSub>
          <m:e>
            <m:r>
              <m:t>π</m:t>
            </m:r>
          </m:e>
          <m:sub>
            <m:sSub>
              <m:e>
                <m:r>
                  <m:t>0</m:t>
                </m:r>
              </m:e>
              <m:sub>
                <m:r>
                  <m:t>t</m:t>
                </m:r>
                <m:r>
                  <m:t>r</m:t>
                </m:r>
                <m:r>
                  <m:t>u</m:t>
                </m:r>
                <m:r>
                  <m:t>e</m:t>
                </m:r>
              </m:sub>
            </m:sSub>
          </m:sub>
        </m:sSub>
      </m:oMath>
      <w:r>
        <w:t xml:space="preserve"> </w:t>
      </w:r>
      <w:r>
        <w:t xml:space="preserve">is a correctly specified prior. Each cell is the empirical FDR/power over 10,000 replications.</w:t>
      </w:r>
    </w:p>
    <w:p>
      <w:pPr>
        <w:pStyle w:val="FigureWithoutNote"/>
      </w:pPr>
      <w:r>
        <w:drawing>
          <wp:inline>
            <wp:extent cx="5943600" cy="6792685"/>
            <wp:effectExtent b="0" l="0" r="0" t="0"/>
            <wp:docPr descr="" title="" id="63" name="Picture"/>
            <a:graphic>
              <a:graphicData uri="http://schemas.openxmlformats.org/drawingml/2006/picture">
                <pic:pic>
                  <pic:nvPicPr>
                    <pic:cNvPr descr="manuscript_files/figure-docx/fig-ind-fdr-pw-1.png" id="64" name="Picture"/>
                    <pic:cNvPicPr>
                      <a:picLocks noChangeArrowheads="1" noChangeAspect="1"/>
                    </pic:cNvPicPr>
                  </pic:nvPicPr>
                  <pic:blipFill>
                    <a:blip r:embed="rId62"/>
                    <a:stretch>
                      <a:fillRect/>
                    </a:stretch>
                  </pic:blipFill>
                  <pic:spPr bwMode="auto">
                    <a:xfrm>
                      <a:off x="0" y="0"/>
                      <a:ext cx="5943600" cy="6792685"/>
                    </a:xfrm>
                    <a:prstGeom prst="rect">
                      <a:avLst/>
                    </a:prstGeom>
                    <a:noFill/>
                    <a:ln w="9525">
                      <a:noFill/>
                      <a:headEnd/>
                      <a:tailEnd/>
                    </a:ln>
                  </pic:spPr>
                </pic:pic>
              </a:graphicData>
            </a:graphic>
          </wp:inline>
        </w:drawing>
      </w:r>
    </w:p>
    <w:bookmarkEnd w:id="65"/>
    <w:p>
      <w:pPr>
        <w:pStyle w:val="AfterWithoutNote"/>
      </w:pPr>
      <w:hyperlink w:anchor="fig-ind-fwer">
        <w:r>
          <w:rPr>
            <w:rStyle w:val="Hyperlink"/>
          </w:rPr>
          <w:t xml:space="preserve">Figure 5</w:t>
        </w:r>
      </w:hyperlink>
      <w:r>
        <w:t xml:space="preserve"> </w:t>
      </w:r>
      <w:r>
        <w:t xml:space="preserve">shows the FWER of the same rule (for</w:t>
      </w:r>
      <w:r>
        <w:t xml:space="preserve"> </w:t>
      </w:r>
      <m:oMath>
        <m:r>
          <m:t>n</m:t>
        </m:r>
        <m:r>
          <m:rPr>
            <m:sty m:val="p"/>
          </m:rPr>
          <m:t>=</m:t>
        </m:r>
        <m:r>
          <m:t>50</m:t>
        </m:r>
      </m:oMath>
      <w:r>
        <w:t xml:space="preserve">, as a representative case). Unlike the FDR, the FWER is not held low by the per-test adjustment: it grows with the family size</w:t>
      </w:r>
      <w:r>
        <w:t xml:space="preserve"> </w:t>
      </w:r>
      <m:oMath>
        <m:r>
          <m:t>m</m:t>
        </m:r>
      </m:oMath>
      <w:r>
        <w:t xml:space="preserve">, reaching</w:t>
      </w:r>
      <w:r>
        <w:t xml:space="preserve"> </w:t>
      </w:r>
      <m:oMath>
        <m:r>
          <m:t>0.64</m:t>
        </m:r>
      </m:oMath>
      <w:r>
        <w:t xml:space="preserve"> </w:t>
      </w:r>
      <w:r>
        <w:t xml:space="preserve">for the unadjusted rule with a large family of mostly null effects. Increasing</w:t>
      </w:r>
      <w:r>
        <w:t xml:space="preserve"> </w:t>
      </w:r>
      <m:oMath>
        <m:sSub>
          <m:e>
            <m:r>
              <m:t>π</m:t>
            </m:r>
          </m:e>
          <m:sub>
            <m:r>
              <m:t>0</m:t>
            </m:r>
          </m:sub>
        </m:sSub>
      </m:oMath>
      <w:r>
        <w:t xml:space="preserve"> </w:t>
      </w:r>
      <w:r>
        <w:t xml:space="preserve">lowers it substantially, at</w:t>
      </w:r>
      <w:r>
        <w:t xml:space="preserve"> </w:t>
      </w:r>
      <m:oMath>
        <m:sSub>
          <m:e>
            <m:r>
              <m:t>π</m:t>
            </m:r>
          </m:e>
          <m:sub>
            <m:r>
              <m:t>0</m:t>
            </m:r>
          </m:sub>
        </m:sSub>
        <m:r>
          <m:rPr>
            <m:sty m:val="p"/>
          </m:rPr>
          <m:t>=</m:t>
        </m:r>
        <m:r>
          <m:t>0.9</m:t>
        </m:r>
      </m:oMath>
      <w:r>
        <w:t xml:space="preserve"> </w:t>
      </w:r>
      <w:r>
        <w:t xml:space="preserve">it stays at or below about</w:t>
      </w:r>
      <w:r>
        <w:t xml:space="preserve"> </w:t>
      </w:r>
      <m:oMath>
        <m:r>
          <m:t>0.10</m:t>
        </m:r>
      </m:oMath>
      <w:r>
        <w:t xml:space="preserve">.</w:t>
      </w:r>
    </w:p>
    <w:bookmarkStart w:id="69" w:name="fig-ind-fwer"/>
    <w:p>
      <w:pPr>
        <w:pStyle w:val="FigureTitle"/>
      </w:pPr>
      <w:r>
        <w:t xml:space="preserve">Figure 5</w:t>
      </w:r>
    </w:p>
    <w:p>
      <w:pPr>
        <w:pStyle w:val="Caption"/>
      </w:pPr>
      <w:r>
        <w:t xml:space="preserve">Family-wise error rate (FWER) of the adjusted</w:t>
      </w:r>
      <w:r>
        <w:t xml:space="preserve"> </w:t>
      </w:r>
      <m:oMath>
        <m:r>
          <m:t>p</m:t>
        </m:r>
        <m:r>
          <m:t>d</m:t>
        </m:r>
      </m:oMath>
      <w:r>
        <w:t xml:space="preserve"> </w:t>
      </w:r>
      <w:r>
        <w:t xml:space="preserve">procedure as a function of the specified per-test null prior</w:t>
      </w:r>
      <w:r>
        <w:t xml:space="preserve"> </w:t>
      </w:r>
      <m:oMath>
        <m:sSub>
          <m:e>
            <m:r>
              <m:t>π</m:t>
            </m:r>
          </m:e>
          <m:sub>
            <m:r>
              <m:t>0</m:t>
            </m:r>
          </m:sub>
        </m:sSub>
      </m:oMath>
      <w:r>
        <w:t xml:space="preserve"> </w:t>
      </w:r>
      <w:r>
        <w:t xml:space="preserve">(x-axis) and the true null probability</w:t>
      </w:r>
      <w:r>
        <w:t xml:space="preserve"> </w:t>
      </w:r>
      <m:oMath>
        <m:sSub>
          <m:e>
            <m:r>
              <m:t>π</m:t>
            </m:r>
          </m:e>
          <m:sub>
            <m:sSub>
              <m:e>
                <m:r>
                  <m:t>0</m:t>
                </m:r>
              </m:e>
              <m:sub>
                <m:r>
                  <m:t>t</m:t>
                </m:r>
                <m:r>
                  <m:t>r</m:t>
                </m:r>
                <m:r>
                  <m:t>u</m:t>
                </m:r>
                <m:r>
                  <m:t>e</m:t>
                </m:r>
              </m:sub>
            </m:sSub>
          </m:sub>
        </m:sSub>
      </m:oMath>
      <w:r>
        <w:t xml:space="preserve"> </w:t>
      </w:r>
      <w:r>
        <w:t xml:space="preserve">(y-axis), by family size m (columns). The column</w:t>
      </w:r>
      <w:r>
        <w:t xml:space="preserve"> </w:t>
      </w:r>
      <m:oMath>
        <m:sSub>
          <m:e>
            <m:r>
              <m:t>π</m:t>
            </m:r>
          </m:e>
          <m:sub>
            <m:r>
              <m:t>0</m:t>
            </m:r>
          </m:sub>
        </m:sSub>
        <m:r>
          <m:rPr>
            <m:sty m:val="p"/>
          </m:rPr>
          <m:t>=</m:t>
        </m:r>
        <m:r>
          <m:t>0.5</m:t>
        </m:r>
      </m:oMath>
      <w:r>
        <w:t xml:space="preserve"> </w:t>
      </w:r>
      <w:r>
        <w:t xml:space="preserve">is the unadjusted rule. Each cell is the empirical FWER over 10,000 replications. Because the per-test adjustment targets the FDR, the FWER is reduced by larger</w:t>
      </w:r>
      <w:r>
        <w:t xml:space="preserve"> </w:t>
      </w:r>
      <m:oMath>
        <m:sSub>
          <m:e>
            <m:r>
              <m:t>π</m:t>
            </m:r>
          </m:e>
          <m:sub>
            <m:r>
              <m:t>0</m:t>
            </m:r>
          </m:sub>
        </m:sSub>
      </m:oMath>
      <w:r>
        <w:t xml:space="preserve"> </w:t>
      </w:r>
      <w:r>
        <w:t xml:space="preserve">but still grows with the family size</w:t>
      </w:r>
      <w:r>
        <w:t xml:space="preserve"> </w:t>
      </w:r>
      <m:oMath>
        <m:r>
          <m:t>m</m:t>
        </m:r>
      </m:oMath>
      <w:r>
        <w:t xml:space="preserve">.</w:t>
      </w:r>
    </w:p>
    <w:p>
      <w:pPr>
        <w:pStyle w:val="FigureWithoutNote"/>
      </w:pPr>
      <w:r>
        <w:drawing>
          <wp:inline>
            <wp:extent cx="5943600" cy="1756063"/>
            <wp:effectExtent b="0" l="0" r="0" t="0"/>
            <wp:docPr descr="" title="" id="67" name="Picture"/>
            <a:graphic>
              <a:graphicData uri="http://schemas.openxmlformats.org/drawingml/2006/picture">
                <pic:pic>
                  <pic:nvPicPr>
                    <pic:cNvPr descr="manuscript_files/figure-docx/fig-ind-fwer-1.png" id="68" name="Picture"/>
                    <pic:cNvPicPr>
                      <a:picLocks noChangeArrowheads="1" noChangeAspect="1"/>
                    </pic:cNvPicPr>
                  </pic:nvPicPr>
                  <pic:blipFill>
                    <a:blip r:embed="rId66"/>
                    <a:stretch>
                      <a:fillRect/>
                    </a:stretch>
                  </pic:blipFill>
                  <pic:spPr bwMode="auto">
                    <a:xfrm>
                      <a:off x="0" y="0"/>
                      <a:ext cx="5943600" cy="1756063"/>
                    </a:xfrm>
                    <a:prstGeom prst="rect">
                      <a:avLst/>
                    </a:prstGeom>
                    <a:noFill/>
                    <a:ln w="9525">
                      <a:noFill/>
                      <a:headEnd/>
                      <a:tailEnd/>
                    </a:ln>
                  </pic:spPr>
                </pic:pic>
              </a:graphicData>
            </a:graphic>
          </wp:inline>
        </w:drawing>
      </w:r>
    </w:p>
    <w:bookmarkEnd w:id="69"/>
    <w:bookmarkEnd w:id="70"/>
    <w:bookmarkStart w:id="75" w:name="comparison-with-other-bayesian-methods"/>
    <w:p>
      <w:pPr>
        <w:pStyle w:val="Heading3"/>
      </w:pPr>
      <w:r>
        <w:t xml:space="preserve">Comparison with other Bayesian methods</w:t>
      </w:r>
    </w:p>
    <w:p>
      <w:pPr>
        <w:pStyle w:val="FirstParagraph"/>
      </w:pPr>
      <w:r>
        <w:t xml:space="preserve">We compare the proposed method with two Bayesian alternatives that differ both in the form of the claim they license and in the error they aim to control. The first, hereafter the</w:t>
      </w:r>
      <w:r>
        <w:t xml:space="preserve"> </w:t>
      </w:r>
      <w:r>
        <w:rPr>
          <w:i/>
          <w:iCs/>
        </w:rPr>
        <w:t xml:space="preserve">joint directional rule</w:t>
      </w:r>
      <w:r>
        <w:t xml:space="preserve">, orders the directional claims by their posterior probability and accepts the largest set whose joint posterior probability is at least</w:t>
      </w:r>
      <w:r>
        <w:t xml:space="preserve"> </w:t>
      </w:r>
      <m:oMath>
        <m:r>
          <m:t>1</m:t>
        </m:r>
        <m:r>
          <m:rPr>
            <m:sty m:val="p"/>
          </m:rPr>
          <m:t>−</m:t>
        </m:r>
        <m:r>
          <m:t>α</m:t>
        </m:r>
      </m:oMath>
      <w:r>
        <w:t xml:space="preserve"> </w:t>
      </w:r>
      <w:r>
        <w:t xml:space="preserve">(</w:t>
      </w:r>
      <w:hyperlink w:anchor="ref-Gelman2000">
        <w:r>
          <w:rPr>
            <w:rStyle w:val="Hyperlink"/>
          </w:rPr>
          <w:t xml:space="preserve">Gelman &amp; Tuerlinckx, 2000</w:t>
        </w:r>
      </w:hyperlink>
      <w:r>
        <w:t xml:space="preserve">;</w:t>
      </w:r>
      <w:r>
        <w:t xml:space="preserve"> </w:t>
      </w:r>
      <w:hyperlink w:anchor="ref-Pruzek2016">
        <w:r>
          <w:rPr>
            <w:rStyle w:val="Hyperlink"/>
          </w:rPr>
          <w:t xml:space="preserve">Pruzek, 2016</w:t>
        </w:r>
      </w:hyperlink>
      <w:r>
        <w:t xml:space="preserve">)</w:t>
      </w:r>
      <w:r>
        <w:t xml:space="preserve">. Its output is a single one-sided statement about signs, that is</w:t>
      </w:r>
      <w:r>
        <w:t xml:space="preserve"> </w:t>
      </w:r>
      <w:r>
        <w:t xml:space="preserve">“all accepted effects lie in their claimed direction”</w:t>
      </w:r>
      <w:r>
        <w:t xml:space="preserve">, and the quantity it bounds is the familywise probability of a sign (Type S) error. The second, hereafter the</w:t>
      </w:r>
      <w:r>
        <w:t xml:space="preserve"> </w:t>
      </w:r>
      <w:r>
        <w:rPr>
          <w:i/>
          <w:iCs/>
        </w:rPr>
        <w:t xml:space="preserve">simultaneous-band rule</w:t>
      </w:r>
      <w:r>
        <w:t xml:space="preserve">, computes credible intervals with</w:t>
      </w:r>
      <w:r>
        <w:t xml:space="preserve"> </w:t>
      </w:r>
      <m:oMath>
        <m:r>
          <m:t>1</m:t>
        </m:r>
        <m:r>
          <m:rPr>
            <m:sty m:val="p"/>
          </m:rPr>
          <m:t>−</m:t>
        </m:r>
        <m:r>
          <m:t>α</m:t>
        </m:r>
      </m:oMath>
      <w:r>
        <w:t xml:space="preserve"> </w:t>
      </w:r>
      <w:r>
        <w:t xml:space="preserve">joint coverage, meaning that with probability</w:t>
      </w:r>
      <w:r>
        <w:t xml:space="preserve"> </w:t>
      </w:r>
      <m:oMath>
        <m:r>
          <m:t>1</m:t>
        </m:r>
        <m:r>
          <m:rPr>
            <m:sty m:val="p"/>
          </m:rPr>
          <m:t>−</m:t>
        </m:r>
        <m:r>
          <m:t>α</m:t>
        </m:r>
      </m:oMath>
      <w:r>
        <w:t xml:space="preserve"> </w:t>
      </w:r>
      <w:r>
        <w:t xml:space="preserve">every interval contains its parameter, and declares an effect whenever an interval excludes the null value</w:t>
      </w:r>
      <w:r>
        <w:t xml:space="preserve"> </w:t>
      </w:r>
      <w:r>
        <w:t xml:space="preserve">(</w:t>
      </w:r>
      <w:hyperlink w:anchor="ref-Box1992">
        <w:r>
          <w:rPr>
            <w:rStyle w:val="Hyperlink"/>
          </w:rPr>
          <w:t xml:space="preserve">Box &amp; Tiao, 1992</w:t>
        </w:r>
      </w:hyperlink>
      <w:r>
        <w:t xml:space="preserve">;</w:t>
      </w:r>
      <w:r>
        <w:t xml:space="preserve"> </w:t>
      </w:r>
      <w:hyperlink w:anchor="ref-Schnell2016">
        <w:r>
          <w:rPr>
            <w:rStyle w:val="Hyperlink"/>
          </w:rPr>
          <w:t xml:space="preserve">Schnell et al., 2016</w:t>
        </w:r>
      </w:hyperlink>
      <w:r>
        <w:t xml:space="preserve">;</w:t>
      </w:r>
      <w:r>
        <w:t xml:space="preserve"> </w:t>
      </w:r>
      <w:hyperlink w:anchor="ref-Schnell2020">
        <w:r>
          <w:rPr>
            <w:rStyle w:val="Hyperlink"/>
          </w:rPr>
          <w:t xml:space="preserve">Schnell et al., 2020</w:t>
        </w:r>
      </w:hyperlink>
      <w:r>
        <w:t xml:space="preserve">)</w:t>
      </w:r>
      <w:r>
        <w:t xml:space="preserve">. Since an interval that covers a truly null parameter cannot exclude it, the probability of any false declaration is at most</w:t>
      </w:r>
      <w:r>
        <w:t xml:space="preserve"> </w:t>
      </w:r>
      <m:oMath>
        <m:r>
          <m:t>α</m:t>
        </m:r>
      </m:oMath>
      <w:r>
        <w:t xml:space="preserve">. Both procedures act on the posterior alone, whereas the proposed method combines the posterior with the prior odds, adjusted for the family of hypotheses under test.</w:t>
      </w:r>
    </w:p>
    <w:p>
      <w:pPr>
        <w:pStyle w:val="BodyText"/>
      </w:pPr>
      <w:r>
        <w:t xml:space="preserve">To benchmark the three procedures, we replicate the simulation described above, holding</w:t>
      </w:r>
      <w:r>
        <w:t xml:space="preserve"> </w:t>
      </w:r>
      <m:oMath>
        <m:r>
          <m:t>n</m:t>
        </m:r>
        <m:r>
          <m:rPr>
            <m:sty m:val="p"/>
          </m:rPr>
          <m:t>=</m:t>
        </m:r>
        <m:r>
          <m:t>50</m:t>
        </m:r>
      </m:oMath>
      <w:r>
        <w:t xml:space="preserve"> </w:t>
      </w:r>
      <w:r>
        <w:t xml:space="preserve">and</w:t>
      </w:r>
      <w:r>
        <w:t xml:space="preserve"> </w:t>
      </w:r>
      <m:oMath>
        <m:sSub>
          <m:e>
            <m:r>
              <m:t>π</m:t>
            </m:r>
          </m:e>
          <m:sub>
            <m:r>
              <m:t>0</m:t>
            </m:r>
            <m:r>
              <m:rPr>
                <m:nor/>
                <m:sty m:val="p"/>
              </m:rPr>
              <m:t>true</m:t>
            </m:r>
          </m:sub>
        </m:sSub>
        <m:r>
          <m:rPr>
            <m:sty m:val="p"/>
          </m:rPr>
          <m:t>=</m:t>
        </m:r>
        <m:r>
          <m:t>0.7</m:t>
        </m:r>
      </m:oMath>
      <w:r>
        <w:t xml:space="preserve"> </w:t>
      </w:r>
      <w:r>
        <w:t xml:space="preserve">fixed while varying the family size</w:t>
      </w:r>
      <w:r>
        <w:t xml:space="preserve"> </w:t>
      </w:r>
      <m:oMath>
        <m:r>
          <m:t>m</m:t>
        </m:r>
      </m:oMath>
      <w:r>
        <w:t xml:space="preserve">. The prior-odds adjustment is evaluated at</w:t>
      </w:r>
      <w:r>
        <w:t xml:space="preserve"> </w:t>
      </w:r>
      <m:oMath>
        <m:sSub>
          <m:e>
            <m:r>
              <m:t>π</m:t>
            </m:r>
          </m:e>
          <m:sub>
            <m:r>
              <m:t>0</m:t>
            </m:r>
          </m:sub>
        </m:sSub>
        <m:r>
          <m:rPr>
            <m:sty m:val="p"/>
          </m:rPr>
          <m:t>=</m:t>
        </m:r>
        <m:sSub>
          <m:e>
            <m:r>
              <m:t>π</m:t>
            </m:r>
          </m:e>
          <m:sub>
            <m:r>
              <m:t>0</m:t>
            </m:r>
            <m:r>
              <m:rPr>
                <m:nor/>
                <m:sty m:val="p"/>
              </m:rPr>
              <m:t>true</m:t>
            </m:r>
          </m:sub>
        </m:sSub>
      </m:oMath>
      <w:r>
        <w:t xml:space="preserve">, its best-case calibration. All procedures use</w:t>
      </w:r>
      <w:r>
        <w:t xml:space="preserve"> </w:t>
      </w:r>
      <m:oMath>
        <m:r>
          <m:t>α</m:t>
        </m:r>
        <m:r>
          <m:rPr>
            <m:sty m:val="p"/>
          </m:rPr>
          <m:t>=</m:t>
        </m:r>
        <m:r>
          <m:t>0.05</m:t>
        </m:r>
      </m:oMath>
      <w:r>
        <w:t xml:space="preserve">: the prior-odds rule claims a directional effect when the adjusted</w:t>
      </w:r>
      <w:r>
        <w:t xml:space="preserve"> </w:t>
      </w:r>
      <m:oMath>
        <m:r>
          <m:t>p</m:t>
        </m:r>
        <m:r>
          <m:t>d</m:t>
        </m:r>
      </m:oMath>
      <w:r>
        <w:t xml:space="preserve"> </w:t>
      </w:r>
      <w:r>
        <w:t xml:space="preserve">exceeds</w:t>
      </w:r>
      <w:r>
        <w:t xml:space="preserve"> </w:t>
      </w:r>
      <m:oMath>
        <m:r>
          <m:t>c</m:t>
        </m:r>
        <m:r>
          <m:rPr>
            <m:sty m:val="p"/>
          </m:rPr>
          <m:t>=</m:t>
        </m:r>
        <m:r>
          <m:t>1</m:t>
        </m:r>
        <m:r>
          <m:rPr>
            <m:sty m:val="p"/>
          </m:rPr>
          <m:t>−</m:t>
        </m:r>
        <m:r>
          <m:t>α</m:t>
        </m:r>
        <m:r>
          <m:rPr>
            <m:sty m:val="p"/>
          </m:rPr>
          <m:t>/</m:t>
        </m:r>
        <m:r>
          <m:t>2</m:t>
        </m:r>
        <m:r>
          <m:rPr>
            <m:sty m:val="p"/>
          </m:rPr>
          <m:t>=</m:t>
        </m:r>
        <m:r>
          <m:t>0.975</m:t>
        </m:r>
      </m:oMath>
      <w:r>
        <w:t xml:space="preserve">, the joint directional rule accepts directional claims as long as their joint posterior probability remains at least</w:t>
      </w:r>
      <w:r>
        <w:t xml:space="preserve"> </w:t>
      </w:r>
      <m:oMath>
        <m:r>
          <m:t>1</m:t>
        </m:r>
        <m:r>
          <m:rPr>
            <m:sty m:val="p"/>
          </m:rPr>
          <m:t>−</m:t>
        </m:r>
        <m:r>
          <m:t>α</m:t>
        </m:r>
        <m:r>
          <m:rPr>
            <m:sty m:val="p"/>
          </m:rPr>
          <m:t>=</m:t>
        </m:r>
        <m:r>
          <m:t>0.95</m:t>
        </m:r>
      </m:oMath>
      <w:r>
        <w:t xml:space="preserve">, and the simultaneous-band rule declares an effect when the</w:t>
      </w:r>
      <w:r>
        <w:t xml:space="preserve"> </w:t>
      </w:r>
      <m:oMath>
        <m:r>
          <m:t>95</m:t>
        </m:r>
        <m:r>
          <m:rPr>
            <m:sty m:val="p"/>
          </m:rPr>
          <m:t>%</m:t>
        </m:r>
      </m:oMath>
      <w:r>
        <w:t xml:space="preserve"> </w:t>
      </w:r>
      <w:r>
        <w:t xml:space="preserve">joint-coverage band excludes zero.</w:t>
      </w:r>
      <w:r>
        <w:t xml:space="preserve"> </w:t>
      </w:r>
      <w:hyperlink w:anchor="fig-compare">
        <w:r>
          <w:rPr>
            <w:rStyle w:val="Hyperlink"/>
          </w:rPr>
          <w:t xml:space="preserve">Figure 6</w:t>
        </w:r>
      </w:hyperlink>
      <w:r>
        <w:t xml:space="preserve"> </w:t>
      </w:r>
      <w:r>
        <w:t xml:space="preserve">reports the resulting FDR, FWER, and power for each procedure across values of</w:t>
      </w:r>
      <w:r>
        <w:t xml:space="preserve"> </w:t>
      </w:r>
      <m:oMath>
        <m:r>
          <m:t>m</m:t>
        </m:r>
      </m:oMath>
      <w:r>
        <w:t xml:space="preserve">.</w:t>
      </w:r>
    </w:p>
    <w:p>
      <w:pPr>
        <w:pStyle w:val="BodyText"/>
      </w:pPr>
      <w:r>
        <w:t xml:space="preserve">In this setting, the simultaneous-band rule is the most stringent: it keeps the FWER, and hence the FDR, below the nominal level at every</w:t>
      </w:r>
      <w:r>
        <w:t xml:space="preserve"> </w:t>
      </w:r>
      <m:oMath>
        <m:r>
          <m:t>m</m:t>
        </m:r>
      </m:oMath>
      <w:r>
        <w:t xml:space="preserve">, since only a proportion</w:t>
      </w:r>
      <w:r>
        <w:t xml:space="preserve"> </w:t>
      </w:r>
      <m:oMath>
        <m:sSub>
          <m:e>
            <m:r>
              <m:t>π</m:t>
            </m:r>
          </m:e>
          <m:sub>
            <m:r>
              <m:t>0</m:t>
            </m:r>
            <m:r>
              <m:rPr>
                <m:nor/>
                <m:sty m:val="p"/>
              </m:rPr>
              <m:t>true</m:t>
            </m:r>
          </m:sub>
        </m:sSub>
        <m:r>
          <m:rPr>
            <m:sty m:val="p"/>
          </m:rPr>
          <m:t>=</m:t>
        </m:r>
        <m:r>
          <m:t>0.7</m:t>
        </m:r>
      </m:oMath>
      <w:r>
        <w:t xml:space="preserve"> </w:t>
      </w:r>
      <w:r>
        <w:t xml:space="preserve">of the effects are truly null. The joint directional rule is the most liberal, with the FDR reaching</w:t>
      </w:r>
      <w:r>
        <w:t xml:space="preserve"> </w:t>
      </w:r>
      <m:oMath>
        <m:r>
          <m:t>0.22</m:t>
        </m:r>
      </m:oMath>
      <w:r>
        <w:t xml:space="preserve"> </w:t>
      </w:r>
      <w:r>
        <w:t xml:space="preserve">and the FWER rising to</w:t>
      </w:r>
      <w:r>
        <w:t xml:space="preserve"> </w:t>
      </w:r>
      <m:oMath>
        <m:r>
          <m:t>0.57</m:t>
        </m:r>
      </m:oMath>
      <w:r>
        <w:t xml:space="preserve"> </w:t>
      </w:r>
      <w:r>
        <w:t xml:space="preserve">at the largest family size.</w:t>
      </w:r>
    </w:p>
    <w:p>
      <w:pPr>
        <w:pStyle w:val="BodyText"/>
      </w:pPr>
      <w:r>
        <w:t xml:space="preserve">The error criteria trade off power (rightmost panel of</w:t>
      </w:r>
      <w:r>
        <w:t xml:space="preserve"> </w:t>
      </w:r>
      <w:hyperlink w:anchor="fig-compare">
        <w:r>
          <w:rPr>
            <w:rStyle w:val="Hyperlink"/>
          </w:rPr>
          <w:t xml:space="preserve">Figure 6</w:t>
        </w:r>
      </w:hyperlink>
      <w:r>
        <w:t xml:space="preserve">): the joint directional rule detects the most true effects (around</w:t>
      </w:r>
      <w:r>
        <w:t xml:space="preserve"> </w:t>
      </w:r>
      <m:oMath>
        <m:r>
          <m:t>0.62</m:t>
        </m:r>
      </m:oMath>
      <w:r>
        <w:t xml:space="preserve">), the prior-odds rule maintains nearly constant power across</w:t>
      </w:r>
      <w:r>
        <w:t xml:space="preserve"> </w:t>
      </w:r>
      <m:oMath>
        <m:r>
          <m:t>m</m:t>
        </m:r>
      </m:oMath>
      <w:r>
        <w:t xml:space="preserve"> </w:t>
      </w:r>
      <w:r>
        <w:t xml:space="preserve">(around</w:t>
      </w:r>
      <w:r>
        <w:t xml:space="preserve"> </w:t>
      </w:r>
      <m:oMath>
        <m:r>
          <m:t>0.43</m:t>
        </m:r>
      </m:oMath>
      <w:r>
        <w:t xml:space="preserve">), and the simultaneous-band rule loses power as the family grows (from</w:t>
      </w:r>
      <w:r>
        <w:t xml:space="preserve"> </w:t>
      </w:r>
      <m:oMath>
        <m:r>
          <m:t>0.36</m:t>
        </m:r>
      </m:oMath>
      <w:r>
        <w:t xml:space="preserve"> </w:t>
      </w:r>
      <w:r>
        <w:t xml:space="preserve">at</w:t>
      </w:r>
      <w:r>
        <w:t xml:space="preserve"> </w:t>
      </w:r>
      <m:oMath>
        <m:r>
          <m:t>m</m:t>
        </m:r>
        <m:r>
          <m:rPr>
            <m:sty m:val="p"/>
          </m:rPr>
          <m:t>=</m:t>
        </m:r>
        <m:r>
          <m:t>4</m:t>
        </m:r>
      </m:oMath>
      <w:r>
        <w:t xml:space="preserve"> </w:t>
      </w:r>
      <w:r>
        <w:t xml:space="preserve">to</w:t>
      </w:r>
      <w:r>
        <w:t xml:space="preserve"> </w:t>
      </w:r>
      <m:oMath>
        <m:r>
          <m:t>0.18</m:t>
        </m:r>
      </m:oMath>
      <w:r>
        <w:t xml:space="preserve"> </w:t>
      </w:r>
      <w:r>
        <w:t xml:space="preserve">at</w:t>
      </w:r>
      <w:r>
        <w:t xml:space="preserve"> </w:t>
      </w:r>
      <m:oMath>
        <m:r>
          <m:t>m</m:t>
        </m:r>
        <m:r>
          <m:rPr>
            <m:sty m:val="p"/>
          </m:rPr>
          <m:t>=</m:t>
        </m:r>
        <m:r>
          <m:t>20</m:t>
        </m:r>
      </m:oMath>
      <w:r>
        <w:t xml:space="preserve">). Choosing among the procedures is therefore a deliberate trade between power and the error one most wants to limit.</w:t>
      </w:r>
    </w:p>
    <w:bookmarkStart w:id="74" w:name="fig-compare"/>
    <w:p>
      <w:pPr>
        <w:pStyle w:val="FigureTitle"/>
      </w:pPr>
      <w:r>
        <w:t xml:space="preserve">Figure 6</w:t>
      </w:r>
    </w:p>
    <w:p>
      <w:pPr>
        <w:pStyle w:val="Caption"/>
      </w:pPr>
      <w:r>
        <w:t xml:space="preserve">False Discovery Rate (FDR), Family-Wise Error Rate (FWER) and average power of three Bayesian rules as a function of the number of tests</w:t>
      </w:r>
      <w:r>
        <w:t xml:space="preserve"> </w:t>
      </w:r>
      <m:oMath>
        <m:r>
          <m:t>m</m:t>
        </m:r>
      </m:oMath>
      <w:r>
        <w:t xml:space="preserve">, all at</w:t>
      </w:r>
      <w:r>
        <w:t xml:space="preserve"> </w:t>
      </w:r>
      <m:oMath>
        <m:r>
          <m:t>α</m:t>
        </m:r>
        <m:r>
          <m:rPr>
            <m:sty m:val="p"/>
          </m:rPr>
          <m:t>=</m:t>
        </m:r>
        <m:r>
          <m:t>0.05</m:t>
        </m:r>
      </m:oMath>
      <w:r>
        <w:t xml:space="preserve">: the prior-odds procedure (adjusted</w:t>
      </w:r>
      <w:r>
        <w:t xml:space="preserve"> </w:t>
      </w:r>
      <m:oMath>
        <m:r>
          <m:t>p</m:t>
        </m:r>
        <m:r>
          <m:t>d</m:t>
        </m:r>
        <m:r>
          <m:rPr>
            <m:sty m:val="p"/>
          </m:rPr>
          <m:t>&gt;</m:t>
        </m:r>
        <m:r>
          <m:t>0.975</m:t>
        </m:r>
      </m:oMath>
      <w:r>
        <w:t xml:space="preserve">,</w:t>
      </w:r>
      <w:r>
        <w:t xml:space="preserve"> </w:t>
      </w:r>
      <m:oMath>
        <m:sSub>
          <m:e>
            <m:r>
              <m:t>π</m:t>
            </m:r>
          </m:e>
          <m:sub>
            <m:r>
              <m:t>0</m:t>
            </m:r>
          </m:sub>
        </m:sSub>
        <m:r>
          <m:rPr>
            <m:sty m:val="p"/>
          </m:rPr>
          <m:t>=</m:t>
        </m:r>
        <m:r>
          <m:t>0.7</m:t>
        </m:r>
      </m:oMath>
      <w:r>
        <w:t xml:space="preserve">), joint statements (strongest directional claims accepted while their joint probability is at least</w:t>
      </w:r>
      <w:r>
        <w:t xml:space="preserve"> </w:t>
      </w:r>
      <m:oMath>
        <m:r>
          <m:t>0.95</m:t>
        </m:r>
      </m:oMath>
      <w:r>
        <w:t xml:space="preserve">), and simultaneous credible intervals (</w:t>
      </w:r>
      <m:oMath>
        <m:r>
          <m:t>95</m:t>
        </m:r>
        <m:r>
          <m:rPr>
            <m:sty m:val="p"/>
          </m:rPr>
          <m:t>%</m:t>
        </m:r>
      </m:oMath>
      <w:r>
        <w:t xml:space="preserve"> </w:t>
      </w:r>
      <w:r>
        <w:t xml:space="preserve">band excluding zero). Sample size</w:t>
      </w:r>
      <w:r>
        <w:t xml:space="preserve"> </w:t>
      </w:r>
      <m:oMath>
        <m:r>
          <m:t>n</m:t>
        </m:r>
        <m:r>
          <m:rPr>
            <m:sty m:val="p"/>
          </m:rPr>
          <m:t>=</m:t>
        </m:r>
        <m:r>
          <m:t>50</m:t>
        </m:r>
      </m:oMath>
      <w:r>
        <w:t xml:space="preserve">; 10,000 replications per cell.</w:t>
      </w:r>
    </w:p>
    <w:p>
      <w:pPr>
        <w:pStyle w:val="FigureWithoutNote"/>
      </w:pPr>
      <w:r>
        <w:drawing>
          <wp:inline>
            <wp:extent cx="5943600" cy="1931670"/>
            <wp:effectExtent b="0" l="0" r="0" t="0"/>
            <wp:docPr descr="" title="" id="72" name="Picture"/>
            <a:graphic>
              <a:graphicData uri="http://schemas.openxmlformats.org/drawingml/2006/picture">
                <pic:pic>
                  <pic:nvPicPr>
                    <pic:cNvPr descr="manuscript_files/figure-docx/fig-compare-1.png" id="73" name="Picture"/>
                    <pic:cNvPicPr>
                      <a:picLocks noChangeArrowheads="1" noChangeAspect="1"/>
                    </pic:cNvPicPr>
                  </pic:nvPicPr>
                  <pic:blipFill>
                    <a:blip r:embed="rId71"/>
                    <a:stretch>
                      <a:fillRect/>
                    </a:stretch>
                  </pic:blipFill>
                  <pic:spPr bwMode="auto">
                    <a:xfrm>
                      <a:off x="0" y="0"/>
                      <a:ext cx="5943600" cy="1931670"/>
                    </a:xfrm>
                    <a:prstGeom prst="rect">
                      <a:avLst/>
                    </a:prstGeom>
                    <a:noFill/>
                    <a:ln w="9525">
                      <a:noFill/>
                      <a:headEnd/>
                      <a:tailEnd/>
                    </a:ln>
                  </pic:spPr>
                </pic:pic>
              </a:graphicData>
            </a:graphic>
          </wp:inline>
        </w:drawing>
      </w:r>
    </w:p>
    <w:bookmarkEnd w:id="74"/>
    <w:bookmarkEnd w:id="75"/>
    <w:bookmarkEnd w:id="76"/>
    <w:bookmarkEnd w:id="77"/>
    <w:bookmarkStart w:id="78" w:name="X7eb5f01a3d0b5a0b2ceaefa4ea1f492bfca0364"/>
    <w:p>
      <w:pPr>
        <w:pStyle w:val="Heading1"/>
      </w:pPr>
      <w:r>
        <w:t xml:space="preserve">Application: worked example with the R Package</w:t>
      </w:r>
      <w:r>
        <w:t xml:space="preserve"> </w:t>
      </w:r>
      <w:r>
        <w:rPr>
          <w:rStyle w:val="VerbatimChar"/>
        </w:rPr>
        <w:t xml:space="preserve">multibayes</w:t>
      </w:r>
    </w:p>
    <w:p>
      <w:pPr>
        <w:pStyle w:val="FirstParagraph"/>
      </w:pPr>
      <w:r>
        <w:t xml:space="preserve">The procedure is implemented in the</w:t>
      </w:r>
      <w:r>
        <w:t xml:space="preserve"> </w:t>
      </w:r>
      <w:r>
        <w:rPr>
          <w:rStyle w:val="VerbatimChar"/>
        </w:rPr>
        <w:t xml:space="preserve">multibayes</w:t>
      </w:r>
      <w:r>
        <w:t xml:space="preserve"> </w:t>
      </w:r>
      <w:r>
        <w:t xml:space="preserve">R package, which provides functions for computing adjusted</w:t>
      </w:r>
      <w:r>
        <w:t xml:space="preserve"> </w:t>
      </w:r>
      <m:oMath>
        <m:r>
          <m:t>p</m:t>
        </m:r>
        <m:r>
          <m:t>d</m:t>
        </m:r>
      </m:oMath>
      <w:r>
        <w:t xml:space="preserve"> </w:t>
      </w:r>
      <w:r>
        <w:t xml:space="preserve">values from either raw posterior draws or a vector of unadjusted</w:t>
      </w:r>
      <w:r>
        <w:t xml:space="preserve"> </w:t>
      </w:r>
      <m:oMath>
        <m:r>
          <m:t>p</m:t>
        </m:r>
        <m:r>
          <m:t>d</m:t>
        </m:r>
      </m:oMath>
      <w:r>
        <w:t xml:space="preserve"> </w:t>
      </w:r>
      <w:r>
        <w:t xml:space="preserve">values. The core function,</w:t>
      </w:r>
      <w:r>
        <w:t xml:space="preserve"> </w:t>
      </w:r>
      <w:r>
        <w:rPr>
          <w:rStyle w:val="VerbatimChar"/>
        </w:rPr>
        <w:t xml:space="preserve">pd.adjust()</w:t>
      </w:r>
      <w:r>
        <w:t xml:space="preserve">, accepts posterior draws directly and computes</w:t>
      </w:r>
      <w:r>
        <w:t xml:space="preserve"> </w:t>
      </w:r>
      <m:oMath>
        <m:r>
          <m:t>p</m:t>
        </m:r>
        <m:r>
          <m:t>d</m:t>
        </m:r>
      </m:oMath>
      <w:r>
        <w:t xml:space="preserve"> </w:t>
      </w:r>
      <w:r>
        <w:t xml:space="preserve">values internally when needed. The prior is supplied in either of two ways: directly as the per-test null prior</w:t>
      </w:r>
      <w:r>
        <w:t xml:space="preserve"> </w:t>
      </w:r>
      <m:oMath>
        <m:sSub>
          <m:e>
            <m:r>
              <m:t>π</m:t>
            </m:r>
          </m:e>
          <m:sub>
            <m:r>
              <m:t>0</m:t>
            </m:r>
          </m:sub>
        </m:sSub>
      </m:oMath>
      <w:r>
        <w:t xml:space="preserve">, or as the global-null prior</w:t>
      </w:r>
      <w:r>
        <w:t xml:space="preserve"> </w:t>
      </w:r>
      <m:oMath>
        <m:r>
          <m:rPr>
            <m:sty m:val="p"/>
          </m:rPr>
          <m:t>Pr</m:t>
        </m:r>
        <m:d>
          <m:dPr>
            <m:begChr m:val="("/>
            <m:sepChr m:val=""/>
            <m:endChr m:val=")"/>
            <m:grow/>
          </m:dPr>
          <m:e>
            <m:sSub>
              <m:e>
                <m:r>
                  <m:t>H</m:t>
                </m:r>
              </m:e>
              <m:sub>
                <m:r>
                  <m:t>0</m:t>
                </m:r>
              </m:sub>
            </m:sSub>
          </m:e>
        </m:d>
      </m:oMath>
      <w:r>
        <w:t xml:space="preserve">, from which</w:t>
      </w:r>
      <w:r>
        <w:t xml:space="preserve"> </w:t>
      </w:r>
      <m:oMath>
        <m:sSub>
          <m:e>
            <m:r>
              <m:t>π</m:t>
            </m:r>
          </m:e>
          <m:sub>
            <m:r>
              <m:t>0</m:t>
            </m:r>
          </m:sub>
        </m:sSub>
        <m:r>
          <m:rPr>
            <m:sty m:val="p"/>
          </m:rPr>
          <m:t>=</m:t>
        </m:r>
        <m:r>
          <m:rPr>
            <m:sty m:val="p"/>
          </m:rPr>
          <m:t>Pr</m:t>
        </m:r>
        <m:sSup>
          <m:e>
            <m:d>
              <m:dPr>
                <m:begChr m:val="("/>
                <m:sepChr m:val=""/>
                <m:endChr m:val=")"/>
                <m:grow/>
              </m:dPr>
              <m:e>
                <m:sSub>
                  <m:e>
                    <m:r>
                      <m:t>H</m:t>
                    </m:r>
                  </m:e>
                  <m:sub>
                    <m:r>
                      <m:t>0</m:t>
                    </m:r>
                  </m:sub>
                </m:sSub>
              </m:e>
            </m:d>
          </m:e>
          <m:sup>
            <m:r>
              <m:t>1</m:t>
            </m:r>
            <m:r>
              <m:rPr>
                <m:sty m:val="p"/>
              </m:rPr>
              <m:t>/</m:t>
            </m:r>
            <m:r>
              <m:t>m</m:t>
            </m:r>
          </m:sup>
        </m:sSup>
      </m:oMath>
      <w:r>
        <w:t xml:space="preserve"> </w:t>
      </w:r>
      <w:r>
        <w:t xml:space="preserve">is recovered under independence. The output includes the adjusted</w:t>
      </w:r>
      <w:r>
        <w:t xml:space="preserve"> </w:t>
      </w:r>
      <m:oMath>
        <m:r>
          <m:t>p</m:t>
        </m:r>
        <m:r>
          <m:t>d</m:t>
        </m:r>
      </m:oMath>
      <w:r>
        <w:t xml:space="preserve"> </w:t>
      </w:r>
      <w:r>
        <w:t xml:space="preserve">values, the tested null value, the per-test null probability</w:t>
      </w:r>
      <w:r>
        <w:t xml:space="preserve"> </w:t>
      </w:r>
      <m:oMath>
        <m:sSub>
          <m:e>
            <m:r>
              <m:t>π</m:t>
            </m:r>
          </m:e>
          <m:sub>
            <m:r>
              <m:t>0</m:t>
            </m:r>
          </m:sub>
        </m:sSub>
      </m:oMath>
      <w:r>
        <w:t xml:space="preserve">, and the number of tests</w:t>
      </w:r>
      <w:r>
        <w:t xml:space="preserve"> </w:t>
      </w:r>
      <m:oMath>
        <m:r>
          <m:t>m</m:t>
        </m:r>
      </m:oMath>
      <w:r>
        <w:t xml:space="preserve">. Unadjusted</w:t>
      </w:r>
      <w:r>
        <w:t xml:space="preserve"> </w:t>
      </w:r>
      <m:oMath>
        <m:r>
          <m:t>p</m:t>
        </m:r>
        <m:r>
          <m:t>d</m:t>
        </m:r>
      </m:oMath>
      <w:r>
        <w:t xml:space="preserve"> </w:t>
      </w:r>
      <w:r>
        <w:t xml:space="preserve">values are retained alongside adjusted ones to facilitate direct comparison; when posterior draws are provided as input, the posterior median for each parameter is also returned.</w:t>
      </w:r>
      <w:r>
        <w:t xml:space="preserve"> </w:t>
      </w:r>
      <w:r>
        <w:rPr>
          <w:rStyle w:val="VerbatimChar"/>
        </w:rPr>
        <w:t xml:space="preserve">pd.adjust()</w:t>
      </w:r>
      <w:r>
        <w:t xml:space="preserve"> </w:t>
      </w:r>
      <w:r>
        <w:t xml:space="preserve">returns the per-test correction, and</w:t>
      </w:r>
      <w:r>
        <w:t xml:space="preserve"> </w:t>
      </w:r>
      <w:r>
        <w:rPr>
          <w:rStyle w:val="VerbatimChar"/>
        </w:rPr>
        <w:t xml:space="preserve">order = TRUE</w:t>
      </w:r>
      <w:r>
        <w:t xml:space="preserve"> </w:t>
      </w:r>
      <w:r>
        <w:t xml:space="preserve">sorts the hypotheses by strength of evidence. The decision threshold may be given either as a</w:t>
      </w:r>
      <w:r>
        <w:t xml:space="preserve"> </w:t>
      </w:r>
      <m:oMath>
        <m:r>
          <m:t>p</m:t>
        </m:r>
        <m:r>
          <m:t>d</m:t>
        </m:r>
      </m:oMath>
      <w:r>
        <w:t xml:space="preserve"> </w:t>
      </w:r>
      <w:r>
        <w:t xml:space="preserve">cutoff</w:t>
      </w:r>
      <w:r>
        <w:t xml:space="preserve"> </w:t>
      </w:r>
      <m:oMath>
        <m:r>
          <m:t>c</m:t>
        </m:r>
      </m:oMath>
      <w:r>
        <w:t xml:space="preserve"> </w:t>
      </w:r>
      <w:r>
        <w:t xml:space="preserve">(argument</w:t>
      </w:r>
      <w:r>
        <w:t xml:space="preserve"> </w:t>
      </w:r>
      <w:r>
        <w:rPr>
          <w:rStyle w:val="VerbatimChar"/>
        </w:rPr>
        <w:t xml:space="preserve">threshold</w:t>
      </w:r>
      <w:r>
        <w:t xml:space="preserve">, default</w:t>
      </w:r>
      <w:r>
        <w:t xml:space="preserve"> </w:t>
      </w:r>
      <m:oMath>
        <m:r>
          <m:t>0.975</m:t>
        </m:r>
      </m:oMath>
      <w:r>
        <w:t xml:space="preserve">) or, equivalently, as a nominal per-test rate (argument</w:t>
      </w:r>
      <w:r>
        <w:t xml:space="preserve"> </w:t>
      </w:r>
      <w:r>
        <w:rPr>
          <w:rStyle w:val="VerbatimChar"/>
        </w:rPr>
        <w:t xml:space="preserve">alpha</w:t>
      </w:r>
      <w:r>
        <w:t xml:space="preserve">, with</w:t>
      </w:r>
      <w:r>
        <w:t xml:space="preserve"> </w:t>
      </w:r>
      <m:oMath>
        <m:r>
          <m:t>c</m:t>
        </m:r>
        <m:r>
          <m:rPr>
            <m:sty m:val="p"/>
          </m:rPr>
          <m:t>=</m:t>
        </m:r>
        <m:r>
          <m:t>1</m:t>
        </m:r>
        <m:r>
          <m:rPr>
            <m:sty m:val="p"/>
          </m:rPr>
          <m:t>−</m:t>
        </m:r>
        <m:r>
          <m:t>α</m:t>
        </m:r>
        <m:r>
          <m:rPr>
            <m:sty m:val="p"/>
          </m:rPr>
          <m:t>/</m:t>
        </m:r>
        <m:r>
          <m:t>2</m:t>
        </m:r>
      </m:oMath>
      <w:r>
        <w:t xml:space="preserve">); in either case the function reports the implied adjusted cutoff</w:t>
      </w:r>
      <w:r>
        <w:t xml:space="preserve"> </w:t>
      </w:r>
      <m:oMath>
        <m:sSup>
          <m:e>
            <m:r>
              <m:t>c</m:t>
            </m:r>
          </m:e>
          <m:sup>
            <m:r>
              <m:rPr>
                <m:sty m:val="p"/>
              </m:rPr>
              <m:t>*</m:t>
            </m:r>
          </m:sup>
        </m:sSup>
      </m:oMath>
      <w:r>
        <w:t xml:space="preserve"> </w:t>
      </w:r>
      <w:r>
        <w:t xml:space="preserve">on the raw</w:t>
      </w:r>
      <w:r>
        <w:t xml:space="preserve"> </w:t>
      </w:r>
      <m:oMath>
        <m:r>
          <m:t>p</m:t>
        </m:r>
        <m:r>
          <m:t>d</m:t>
        </m:r>
      </m:oMath>
      <w:r>
        <w:t xml:space="preserve">, which summarizes what the chosen</w:t>
      </w:r>
      <w:r>
        <w:t xml:space="preserve"> </w:t>
      </w:r>
      <m:oMath>
        <m:sSub>
          <m:e>
            <m:r>
              <m:t>π</m:t>
            </m:r>
          </m:e>
          <m:sub>
            <m:r>
              <m:t>0</m:t>
            </m:r>
          </m:sub>
        </m:sSub>
      </m:oMath>
      <w:r>
        <w:t xml:space="preserve"> </w:t>
      </w:r>
      <w:r>
        <w:t xml:space="preserve">implies.</w:t>
      </w:r>
    </w:p>
    <w:p>
      <w:pPr>
        <w:pStyle w:val="BodyText"/>
      </w:pPr>
      <w:r>
        <w:t xml:space="preserve">For this example, we use the openly available dataset from</w:t>
      </w:r>
      <w:r>
        <w:t xml:space="preserve"> </w:t>
      </w:r>
      <w:r>
        <w:t xml:space="preserve">Lin et al. (</w:t>
      </w:r>
      <w:hyperlink w:anchor="ref-Lin2020">
        <w:r>
          <w:rPr>
            <w:rStyle w:val="Hyperlink"/>
          </w:rPr>
          <w:t xml:space="preserve">2020</w:t>
        </w:r>
      </w:hyperlink>
      <w:r>
        <w:t xml:space="preserve">)</w:t>
      </w:r>
      <w:r>
        <w:t xml:space="preserve">, who investigated the effect of ego depletion on conflict resolution across four studies. In their paradigm, an initial high-demand (vs. low-demand) task was followed by a Stroop task. For simplicity, we focus on Study 1, which tested the effects of congruency and ego depletion (within subjects). The dataset is readily accessible via the</w:t>
      </w:r>
      <w:r>
        <w:t xml:space="preserve"> </w:t>
      </w:r>
      <w:r>
        <w:rPr>
          <w:rStyle w:val="VerbatimChar"/>
        </w:rPr>
        <w:t xml:space="preserve">afex</w:t>
      </w:r>
      <w:r>
        <w:t xml:space="preserve"> </w:t>
      </w:r>
      <w:r>
        <w:t xml:space="preserve">package</w:t>
      </w:r>
      <w:r>
        <w:t xml:space="preserve"> </w:t>
      </w:r>
      <w:r>
        <w:t xml:space="preserve">(</w:t>
      </w:r>
      <w:hyperlink w:anchor="ref-Singmann2016">
        <w:r>
          <w:rPr>
            <w:rStyle w:val="Hyperlink"/>
          </w:rPr>
          <w:t xml:space="preserve">Singmann et al., 2016</w:t>
        </w:r>
      </w:hyperlink>
      <w:r>
        <w:t xml:space="preserve">)</w:t>
      </w:r>
      <w:r>
        <w:t xml:space="preserve"> </w:t>
      </w:r>
      <w:r>
        <w:t xml:space="preserve">and was chosen for this reason; this example is not intended as a critique of the original work. This dataset includes data from 253 participants; for this example, we randomly selected 80 participants.</w:t>
      </w:r>
    </w:p>
    <w:p>
      <w:pPr>
        <w:pStyle w:val="SourceCode"/>
      </w:pPr>
      <w:r>
        <w:rPr>
          <w:rStyle w:val="CommentTok"/>
        </w:rPr>
        <w:t xml:space="preserve"># install.packages('remotes')</w:t>
      </w:r>
      <w:r>
        <w:br/>
      </w:r>
      <w:r>
        <w:rPr>
          <w:rStyle w:val="NormalTok"/>
        </w:rPr>
        <w:t xml:space="preserve">remotes</w:t>
      </w:r>
      <w:r>
        <w:rPr>
          <w:rStyle w:val="SpecialCharTok"/>
        </w:rPr>
        <w:t xml:space="preserve">::</w:t>
      </w:r>
      <w:r>
        <w:rPr>
          <w:rStyle w:val="FunctionTok"/>
        </w:rPr>
        <w:t xml:space="preserve">install_github</w:t>
      </w:r>
      <w:r>
        <w:rPr>
          <w:rStyle w:val="NormalTok"/>
        </w:rPr>
        <w:t xml:space="preserve">(</w:t>
      </w:r>
      <w:r>
        <w:rPr>
          <w:rStyle w:val="StringTok"/>
        </w:rPr>
        <w:t xml:space="preserve">"mar-cald/multibayes"</w:t>
      </w:r>
      <w:r>
        <w:rPr>
          <w:rStyle w:val="NormalTok"/>
        </w:rPr>
        <w:t xml:space="preserve">)</w:t>
      </w:r>
      <w:r>
        <w:br/>
      </w:r>
      <w:r>
        <w:rPr>
          <w:rStyle w:val="FunctionTok"/>
        </w:rPr>
        <w:t xml:space="preserve">library</w:t>
      </w:r>
      <w:r>
        <w:rPr>
          <w:rStyle w:val="NormalTok"/>
        </w:rPr>
        <w:t xml:space="preserve">(multibayes)</w:t>
      </w:r>
      <w:r>
        <w:br/>
      </w:r>
      <w:r>
        <w:rPr>
          <w:rStyle w:val="FunctionTok"/>
        </w:rPr>
        <w:t xml:space="preserve">library</w:t>
      </w:r>
      <w:r>
        <w:rPr>
          <w:rStyle w:val="NormalTok"/>
        </w:rPr>
        <w:t xml:space="preserve">(brms)</w:t>
      </w:r>
      <w:r>
        <w:br/>
      </w:r>
      <w:r>
        <w:rPr>
          <w:rStyle w:val="FunctionTok"/>
        </w:rPr>
        <w:t xml:space="preserve">library</w:t>
      </w:r>
      <w:r>
        <w:rPr>
          <w:rStyle w:val="NormalTok"/>
        </w:rPr>
        <w:t xml:space="preserve">(dplyr)</w:t>
      </w:r>
      <w:r>
        <w:br/>
      </w:r>
      <w:r>
        <w:br/>
      </w:r>
      <w:r>
        <w:rPr>
          <w:rStyle w:val="NormalTok"/>
        </w:rPr>
        <w:t xml:space="preserve">data_stroop </w:t>
      </w:r>
      <w:r>
        <w:rPr>
          <w:rStyle w:val="OtherTok"/>
        </w:rPr>
        <w:t xml:space="preserve">&lt;-</w:t>
      </w:r>
      <w:r>
        <w:rPr>
          <w:rStyle w:val="NormalTok"/>
        </w:rPr>
        <w:t xml:space="preserve"> </w:t>
      </w:r>
      <w:r>
        <w:rPr>
          <w:rStyle w:val="FunctionTok"/>
        </w:rPr>
        <w:t xml:space="preserve">subset</w:t>
      </w:r>
      <w:r>
        <w:rPr>
          <w:rStyle w:val="NormalTok"/>
        </w:rPr>
        <w:t xml:space="preserve">(afex</w:t>
      </w:r>
      <w:r>
        <w:rPr>
          <w:rStyle w:val="SpecialCharTok"/>
        </w:rPr>
        <w:t xml:space="preserve">::</w:t>
      </w:r>
      <w:r>
        <w:rPr>
          <w:rStyle w:val="NormalTok"/>
        </w:rPr>
        <w:t xml:space="preserve">stroop, </w:t>
      </w:r>
      <w:r>
        <w:rPr>
          <w:rStyle w:val="AttributeTok"/>
        </w:rPr>
        <w:t xml:space="preserve">subset =</w:t>
      </w:r>
      <w:r>
        <w:rPr>
          <w:rStyle w:val="NormalTok"/>
        </w:rPr>
        <w:t xml:space="preserve"> study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&amp;</w:t>
      </w:r>
      <w:r>
        <w:rPr>
          <w:rStyle w:val="NormalTok"/>
        </w:rPr>
        <w:t xml:space="preserve"> pno </w:t>
      </w:r>
      <w:r>
        <w:rPr>
          <w:rStyle w:val="SpecialCharTok"/>
        </w:rPr>
        <w:t xml:space="preserve">%in%</w:t>
      </w:r>
      <w:r>
        <w:rPr>
          <w:rStyle w:val="NormalTok"/>
        </w:rPr>
        <w:t xml:space="preserve"> </w:t>
      </w:r>
      <w:r>
        <w:rPr>
          <w:rStyle w:val="FunctionTok"/>
        </w:rPr>
        <w:t xml:space="preserve">sample</w:t>
      </w:r>
      <w:r>
        <w:rPr>
          <w:rStyle w:val="NormalTok"/>
        </w:rPr>
        <w:t xml:space="preserve">(</w:t>
      </w:r>
      <w:r>
        <w:rPr>
          <w:rStyle w:val="FunctionTok"/>
        </w:rPr>
        <w:t xml:space="preserve">levels</w:t>
      </w:r>
      <w:r>
        <w:rPr>
          <w:rStyle w:val="NormalTok"/>
        </w:rPr>
        <w:t xml:space="preserve">(pno),</w:t>
      </w:r>
      <w:r>
        <w:br/>
      </w:r>
      <w:r>
        <w:rPr>
          <w:rStyle w:val="NormalTok"/>
        </w:rPr>
        <w:t xml:space="preserve">    </w:t>
      </w:r>
      <w:r>
        <w:rPr>
          <w:rStyle w:val="AttributeTok"/>
        </w:rPr>
        <w:t xml:space="preserve">size =</w:t>
      </w:r>
      <w:r>
        <w:rPr>
          <w:rStyle w:val="NormalTok"/>
        </w:rPr>
        <w:t xml:space="preserve"> </w:t>
      </w:r>
      <w:r>
        <w:rPr>
          <w:rStyle w:val="DecValTok"/>
        </w:rPr>
        <w:t xml:space="preserve">80</w:t>
      </w:r>
      <w:r>
        <w:rPr>
          <w:rStyle w:val="NormalTok"/>
        </w:rPr>
        <w:t xml:space="preserve">)) </w:t>
      </w:r>
      <w:r>
        <w:rPr>
          <w:rStyle w:val="SpecialCharTok"/>
        </w:rPr>
        <w:t xml:space="preserve">|&gt;</w:t>
      </w:r>
      <w:r>
        <w:br/>
      </w:r>
      <w:r>
        <w:rPr>
          <w:rStyle w:val="NormalTok"/>
        </w:rPr>
        <w:t xml:space="preserve">    </w:t>
      </w:r>
      <w:r>
        <w:rPr>
          <w:rStyle w:val="CommentTok"/>
        </w:rPr>
        <w:t xml:space="preserve"># remove useless levels id</w:t>
      </w:r>
      <w:r>
        <w:br/>
      </w:r>
      <w:r>
        <w:rPr>
          <w:rStyle w:val="NormalTok"/>
        </w:rPr>
        <w:t xml:space="preserve">dplyr</w:t>
      </w:r>
      <w:r>
        <w:rPr>
          <w:rStyle w:val="SpecialCharTok"/>
        </w:rPr>
        <w:t xml:space="preserve">::</w:t>
      </w:r>
      <w:r>
        <w:rPr>
          <w:rStyle w:val="FunctionTok"/>
        </w:rPr>
        <w:t xml:space="preserve">mutate</w:t>
      </w:r>
      <w:r>
        <w:rPr>
          <w:rStyle w:val="NormalTok"/>
        </w:rPr>
        <w:t xml:space="preserve">(</w:t>
      </w:r>
      <w:r>
        <w:rPr>
          <w:rStyle w:val="AttributeTok"/>
        </w:rPr>
        <w:t xml:space="preserve">id =</w:t>
      </w:r>
      <w:r>
        <w:rPr>
          <w:rStyle w:val="NormalTok"/>
        </w:rPr>
        <w:t xml:space="preserve"> </w:t>
      </w:r>
      <w:r>
        <w:rPr>
          <w:rStyle w:val="FunctionTok"/>
        </w:rPr>
        <w:t xml:space="preserve">droplevels</w:t>
      </w:r>
      <w:r>
        <w:rPr>
          <w:rStyle w:val="NormalTok"/>
        </w:rPr>
        <w:t xml:space="preserve">(pno)) </w:t>
      </w:r>
      <w:r>
        <w:rPr>
          <w:rStyle w:val="SpecialCharTok"/>
        </w:rPr>
        <w:t xml:space="preserve">|&gt;</w:t>
      </w:r>
      <w:r>
        <w:br/>
      </w:r>
      <w:r>
        <w:rPr>
          <w:rStyle w:val="NormalTok"/>
        </w:rPr>
        <w:t xml:space="preserve">    </w:t>
      </w:r>
      <w:r>
        <w:rPr>
          <w:rStyle w:val="CommentTok"/>
        </w:rPr>
        <w:t xml:space="preserve"># select relevant variables</w:t>
      </w:r>
      <w:r>
        <w:br/>
      </w:r>
      <w:r>
        <w:rPr>
          <w:rStyle w:val="NormalTok"/>
        </w:rPr>
        <w:t xml:space="preserve">dplyr</w:t>
      </w:r>
      <w:r>
        <w:rPr>
          <w:rStyle w:val="SpecialCharTok"/>
        </w:rPr>
        <w:t xml:space="preserve">::</w:t>
      </w:r>
      <w:r>
        <w:rPr>
          <w:rStyle w:val="FunctionTok"/>
        </w:rPr>
        <w:t xml:space="preserve">select</w:t>
      </w:r>
      <w:r>
        <w:rPr>
          <w:rStyle w:val="NormalTok"/>
        </w:rPr>
        <w:t xml:space="preserve">(id, condition, congruency, trialnum, acc, rt) </w:t>
      </w:r>
      <w:r>
        <w:rPr>
          <w:rStyle w:val="SpecialCharTok"/>
        </w:rPr>
        <w:t xml:space="preserve">|&gt;</w:t>
      </w:r>
      <w:r>
        <w:br/>
      </w:r>
      <w:r>
        <w:rPr>
          <w:rStyle w:val="NormalTok"/>
        </w:rPr>
        <w:t xml:space="preserve">    </w:t>
      </w:r>
      <w:r>
        <w:rPr>
          <w:rStyle w:val="CommentTok"/>
        </w:rPr>
        <w:t xml:space="preserve"># previous cong</w:t>
      </w:r>
      <w:r>
        <w:br/>
      </w:r>
      <w:r>
        <w:rPr>
          <w:rStyle w:val="FunctionTok"/>
        </w:rPr>
        <w:t xml:space="preserve">group_by</w:t>
      </w:r>
      <w:r>
        <w:rPr>
          <w:rStyle w:val="NormalTok"/>
        </w:rPr>
        <w:t xml:space="preserve">(id, condition)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prev_cong =</w:t>
      </w:r>
      <w:r>
        <w:rPr>
          <w:rStyle w:val="NormalTok"/>
        </w:rPr>
        <w:t xml:space="preserve"> </w:t>
      </w:r>
      <w:r>
        <w:rPr>
          <w:rStyle w:val="FunctionTok"/>
        </w:rPr>
        <w:t xml:space="preserve">lag</w:t>
      </w:r>
      <w:r>
        <w:rPr>
          <w:rStyle w:val="NormalTok"/>
        </w:rPr>
        <w:t xml:space="preserve">(congruency), </w:t>
      </w:r>
      <w:r>
        <w:rPr>
          <w:rStyle w:val="AttributeTok"/>
        </w:rPr>
        <w:t xml:space="preserve">trial =</w:t>
      </w:r>
      <w:r>
        <w:rPr>
          <w:rStyle w:val="NormalTok"/>
        </w:rPr>
        <w:t xml:space="preserve"> </w:t>
      </w:r>
      <w:r>
        <w:rPr>
          <w:rStyle w:val="FunctionTok"/>
        </w:rPr>
        <w:t xml:space="preserve">scale</w:t>
      </w:r>
      <w:r>
        <w:rPr>
          <w:rStyle w:val="NormalTok"/>
        </w:rPr>
        <w:t xml:space="preserve">(trialnum)[,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ungroup</w:t>
      </w:r>
      <w:r>
        <w:rPr>
          <w:rStyle w:val="NormalTok"/>
        </w:rPr>
        <w:t xml:space="preserve">() </w:t>
      </w:r>
      <w:r>
        <w:rPr>
          <w:rStyle w:val="SpecialCharTok"/>
        </w:rPr>
        <w:t xml:space="preserve">|&gt;</w:t>
      </w:r>
      <w:r>
        <w:br/>
      </w:r>
      <w:r>
        <w:rPr>
          <w:rStyle w:val="NormalTok"/>
        </w:rPr>
        <w:t xml:space="preserve">    </w:t>
      </w:r>
      <w:r>
        <w:rPr>
          <w:rStyle w:val="FunctionTok"/>
        </w:rPr>
        <w:t xml:space="preserve">na.omit</w:t>
      </w:r>
      <w:r>
        <w:rPr>
          <w:rStyle w:val="NormalTok"/>
        </w:rPr>
        <w:t xml:space="preserve">()</w:t>
      </w:r>
    </w:p>
    <w:p>
      <w:pPr>
        <w:pStyle w:val="FirstParagraph"/>
      </w:pPr>
      <w:r>
        <w:t xml:space="preserve">Given the repeated-measures structure of the data and the large number of trials per participant, we fit a multilevel generalized linear model using</w:t>
      </w:r>
      <w:r>
        <w:t xml:space="preserve"> </w:t>
      </w:r>
      <w:r>
        <w:rPr>
          <w:rStyle w:val="VerbatimChar"/>
        </w:rPr>
        <w:t xml:space="preserve">brms</w:t>
      </w:r>
      <w:r>
        <w:t xml:space="preserve"> </w:t>
      </w:r>
      <w:r>
        <w:t xml:space="preserve">(</w:t>
      </w:r>
      <w:hyperlink w:anchor="ref-Paul2017">
        <w:r>
          <w:rPr>
            <w:rStyle w:val="Hyperlink"/>
          </w:rPr>
          <w:t xml:space="preserve">Bürkner, 2017</w:t>
        </w:r>
      </w:hyperlink>
      <w:r>
        <w:t xml:space="preserve">)</w:t>
      </w:r>
      <w:r>
        <w:t xml:space="preserve"> </w:t>
      </w:r>
      <w:r>
        <w:t xml:space="preserve">on reaction time (RT) data. A Lognormal model was specified, with default flat priors; these were adopted not as a principled recommendation, but to illustrate the method’s behavior under the most common applied scenario, which also represents the condition where the prior-odds adjustment is most suggested.</w:t>
      </w:r>
    </w:p>
    <w:p>
      <w:pPr>
        <w:pStyle w:val="BodyText"/>
      </w:pPr>
      <w:r>
        <w:t xml:space="preserve">The model includes the effect of congruency (congruent vs. incongruent), previous congruency (congruent vs. incongruent), condition (depletion vs. control), and trial number (scaled within participant and condition). The sequential congruency effect was modeled as the interaction between congruency and previous congruency; the hypothesis that depletion amplifies the congruency effect over time was captured by the three-way congruency</w:t>
      </w:r>
      <w:r>
        <w:t xml:space="preserve"> </w:t>
      </w:r>
      <m:oMath>
        <m:r>
          <m:rPr>
            <m:sty m:val="p"/>
          </m:rPr>
          <m:t>×</m:t>
        </m:r>
      </m:oMath>
      <w:r>
        <w:t xml:space="preserve"> </w:t>
      </w:r>
      <w:r>
        <w:t xml:space="preserve">condition</w:t>
      </w:r>
      <w:r>
        <w:t xml:space="preserve"> </w:t>
      </w:r>
      <m:oMath>
        <m:r>
          <m:rPr>
            <m:sty m:val="p"/>
          </m:rPr>
          <m:t>×</m:t>
        </m:r>
      </m:oMath>
      <w:r>
        <w:t xml:space="preserve"> </w:t>
      </w:r>
      <w:r>
        <w:t xml:space="preserve">trial interaction. This yielded nine hypotheses (Table 1).</w:t>
      </w:r>
    </w:p>
    <w:p>
      <w:pPr>
        <w:pStyle w:val="BodyText"/>
      </w:pPr>
      <w:r>
        <w:t xml:space="preserve">Although the theoretical hypotheses are directional (e.g., incongruent trials are expected to slow responses),</w:t>
      </w:r>
      <w:r>
        <w:t xml:space="preserve"> </w:t>
      </w:r>
      <m:oMath>
        <m:r>
          <m:t>p</m:t>
        </m:r>
        <m:r>
          <m:t>d</m:t>
        </m:r>
      </m:oMath>
      <w:r>
        <w:t xml:space="preserve"> </w:t>
      </w:r>
      <w:r>
        <w:t xml:space="preserve">is computed uniformly as</w:t>
      </w:r>
      <w:r>
        <w:t xml:space="preserve"> </w:t>
      </w:r>
      <m:oMath>
        <m:r>
          <m:rPr>
            <m:sty m:val="p"/>
          </m:rPr>
          <m:t>max</m:t>
        </m:r>
        <m:r>
          <m:t>​</m:t>
        </m:r>
        <m:d>
          <m:dPr>
            <m:begChr m:val="("/>
            <m:sepChr m:val=""/>
            <m:endChr m:val=")"/>
            <m:grow/>
          </m:dPr>
          <m:e>
            <m:r>
              <m:rPr>
                <m:sty m:val="p"/>
              </m:rPr>
              <m:t>Pr</m:t>
            </m:r>
            <m:d>
              <m:dPr>
                <m:begChr m:val="("/>
                <m:sepChr m:val=""/>
                <m:endChr m:val=")"/>
                <m:grow/>
              </m:dPr>
              <m:e>
                <m:acc>
                  <m:accPr>
                    <m:chr m:val="̂"/>
                  </m:accPr>
                  <m:e>
                    <m:r>
                      <m:t>θ</m:t>
                    </m:r>
                  </m:e>
                </m:acc>
                <m:r>
                  <m:rPr>
                    <m:sty m:val="p"/>
                  </m:rPr>
                  <m:t>&gt;</m:t>
                </m:r>
                <m:sSub>
                  <m:e>
                    <m:r>
                      <m:t>θ</m:t>
                    </m:r>
                  </m:e>
                  <m:sub>
                    <m:r>
                      <m:rPr>
                        <m:nor/>
                        <m:sty m:val="p"/>
                      </m:rPr>
                      <m:t>null</m:t>
                    </m:r>
                  </m:sub>
                </m:sSub>
              </m:e>
            </m:d>
            <m:r>
              <m:rPr>
                <m:sty m:val="p"/>
              </m:rPr>
              <m:t>,</m:t>
            </m:r>
            <m:r>
              <m:t> </m:t>
            </m:r>
            <m:r>
              <m:rPr>
                <m:sty m:val="p"/>
              </m:rPr>
              <m:t>Pr</m:t>
            </m:r>
            <m:d>
              <m:dPr>
                <m:begChr m:val="("/>
                <m:sepChr m:val=""/>
                <m:endChr m:val=")"/>
                <m:grow/>
              </m:dPr>
              <m:e>
                <m:acc>
                  <m:accPr>
                    <m:chr m:val="̂"/>
                  </m:accPr>
                  <m:e>
                    <m:r>
                      <m:t>θ</m:t>
                    </m:r>
                  </m:e>
                </m:acc>
                <m:r>
                  <m:rPr>
                    <m:sty m:val="p"/>
                  </m:rPr>
                  <m:t>&lt;</m:t>
                </m:r>
                <m:sSub>
                  <m:e>
                    <m:r>
                      <m:t>θ</m:t>
                    </m:r>
                  </m:e>
                  <m:sub>
                    <m:r>
                      <m:rPr>
                        <m:nor/>
                        <m:sty m:val="p"/>
                      </m:rPr>
                      <m:t>null</m:t>
                    </m:r>
                  </m:sub>
                </m:sSub>
              </m:e>
            </m:d>
          </m:e>
        </m:d>
      </m:oMath>
      <w:r>
        <w:t xml:space="preserve"> </w:t>
      </w:r>
      <w:r>
        <w:t xml:space="preserve">for all hypotheses.</w:t>
      </w:r>
    </w:p>
    <w:p>
      <w:pPr>
        <w:pStyle w:val="TableCaption"/>
      </w:pPr>
      <w:r>
        <w:t xml:space="preserve">Tested hypotheses for RT, evaluated on the log scale of the posterior.</w:t>
      </w:r>
    </w:p>
    <w:tbl>
      <w:tblPr>
        <w:tblStyle w:val="Table"/>
        <w:tblW w:type="auto" w:w="0"/>
        <w:tblLook w:firstRow="1" w:lastRow="0" w:firstColumn="0" w:lastColumn="0" w:noHBand="0" w:noVBand="0" w:val="0020"/>
        <w:tblCaption w:val="Tested hypotheses for RT, evaluated on the log scale of the posterior."/>
      </w:tblPr>
      <w:tblGrid>
        <w:gridCol w:w="3960"/>
        <w:gridCol w:w="3960"/>
      </w:tblGrid>
      <w:tr>
        <w:trPr>
          <w:tblHeader w:val="on"/>
        </w:trPr>
        <w:tc>
          <w:tcPr/>
          <w:p>
            <w:pPr>
              <w:pStyle w:val="Compact"/>
            </w:pPr>
            <w:r>
              <w:rPr>
                <w:b/>
                <w:bCs/>
              </w:rPr>
              <w:t xml:space="preserve">Hypothesis</w:t>
            </w:r>
          </w:p>
        </w:tc>
        <w:tc>
          <w:tcPr/>
          <w:p>
            <w:pPr>
              <w:pStyle w:val="Compact"/>
              <w:jc w:val="center"/>
            </w:pPr>
            <m:oMath>
              <m:sSub>
                <m:e>
                  <m:r>
                    <m:t>θ</m:t>
                  </m:r>
                </m:e>
                <m:sub>
                  <m:r>
                    <m:rPr>
                      <m:nor/>
                      <m:sty m:val="p"/>
                    </m:rPr>
                    <m:t>null</m:t>
                  </m:r>
                </m:sub>
              </m:sSub>
            </m:oMath>
          </w:p>
        </w:tc>
      </w:tr>
      <w:tr>
        <w:tc>
          <w:tcPr/>
          <w:p>
            <w:pPr>
              <w:pStyle w:val="Compact"/>
            </w:pPr>
            <m:oMath>
              <m:sSub>
                <m:e>
                  <m:r>
                    <m:t>H</m:t>
                  </m:r>
                </m:e>
                <m:sub>
                  <m:r>
                    <m:t>1</m:t>
                  </m:r>
                </m:sub>
              </m:sSub>
            </m:oMath>
            <w:r>
              <w:t xml:space="preserve">: congruency effect</w:t>
            </w:r>
          </w:p>
        </w:tc>
        <w:tc>
          <w:tcPr/>
          <w:p>
            <w:pPr>
              <w:pStyle w:val="Compact"/>
              <w:jc w:val="center"/>
            </w:pPr>
            <w:r>
              <w:t xml:space="preserve">0</w:t>
            </w:r>
          </w:p>
        </w:tc>
      </w:tr>
      <w:tr>
        <w:tc>
          <w:tcPr/>
          <w:p>
            <w:pPr>
              <w:pStyle w:val="Compact"/>
            </w:pPr>
            <m:oMath>
              <m:sSub>
                <m:e>
                  <m:r>
                    <m:t>H</m:t>
                  </m:r>
                </m:e>
                <m:sub>
                  <m:r>
                    <m:t>2</m:t>
                  </m:r>
                </m:sub>
              </m:sSub>
            </m:oMath>
            <w:r>
              <w:t xml:space="preserve">: previous congruency effect</w:t>
            </w:r>
          </w:p>
        </w:tc>
        <w:tc>
          <w:tcPr/>
          <w:p>
            <w:pPr>
              <w:pStyle w:val="Compact"/>
              <w:jc w:val="center"/>
            </w:pPr>
            <w:r>
              <w:t xml:space="preserve">0</w:t>
            </w:r>
          </w:p>
        </w:tc>
      </w:tr>
      <w:tr>
        <w:tc>
          <w:tcPr/>
          <w:p>
            <w:pPr>
              <w:pStyle w:val="Compact"/>
            </w:pPr>
            <m:oMath>
              <m:sSub>
                <m:e>
                  <m:r>
                    <m:t>H</m:t>
                  </m:r>
                </m:e>
                <m:sub>
                  <m:r>
                    <m:t>3</m:t>
                  </m:r>
                </m:sub>
              </m:sSub>
            </m:oMath>
            <w:r>
              <w:t xml:space="preserve">: condition effect</w:t>
            </w:r>
          </w:p>
        </w:tc>
        <w:tc>
          <w:tcPr/>
          <w:p>
            <w:pPr>
              <w:pStyle w:val="Compact"/>
              <w:jc w:val="center"/>
            </w:pPr>
            <w:r>
              <w:t xml:space="preserve">0</w:t>
            </w:r>
          </w:p>
        </w:tc>
      </w:tr>
      <w:tr>
        <w:tc>
          <w:tcPr/>
          <w:p>
            <w:pPr>
              <w:pStyle w:val="Compact"/>
            </w:pPr>
            <m:oMath>
              <m:sSub>
                <m:e>
                  <m:r>
                    <m:t>H</m:t>
                  </m:r>
                </m:e>
                <m:sub>
                  <m:r>
                    <m:t>4</m:t>
                  </m:r>
                </m:sub>
              </m:sSub>
            </m:oMath>
            <w:r>
              <w:t xml:space="preserve">: trial number effect</w:t>
            </w:r>
          </w:p>
        </w:tc>
        <w:tc>
          <w:tcPr/>
          <w:p>
            <w:pPr>
              <w:pStyle w:val="Compact"/>
              <w:jc w:val="center"/>
            </w:pPr>
            <w:r>
              <w:t xml:space="preserve">0</w:t>
            </w:r>
          </w:p>
        </w:tc>
      </w:tr>
      <w:tr>
        <w:tc>
          <w:tcPr/>
          <w:p>
            <w:pPr>
              <w:pStyle w:val="Compact"/>
            </w:pPr>
            <m:oMath>
              <m:sSub>
                <m:e>
                  <m:r>
                    <m:t>H</m:t>
                  </m:r>
                </m:e>
                <m:sub>
                  <m:r>
                    <m:t>5</m:t>
                  </m:r>
                </m:sub>
              </m:sSub>
            </m:oMath>
            <w:r>
              <w:t xml:space="preserve">: congruency</w:t>
            </w:r>
            <w:r>
              <w:t xml:space="preserve"> </w:t>
            </w:r>
            <m:oMath>
              <m:r>
                <m:rPr>
                  <m:sty m:val="p"/>
                </m:rPr>
                <m:t>×</m:t>
              </m:r>
            </m:oMath>
            <w:r>
              <w:t xml:space="preserve"> </w:t>
            </w:r>
            <w:r>
              <w:t xml:space="preserve">previous congruency interaction</w:t>
            </w:r>
          </w:p>
        </w:tc>
        <w:tc>
          <w:tcPr/>
          <w:p>
            <w:pPr>
              <w:pStyle w:val="Compact"/>
              <w:jc w:val="center"/>
            </w:pPr>
            <w:r>
              <w:t xml:space="preserve">0</w:t>
            </w:r>
          </w:p>
        </w:tc>
      </w:tr>
      <w:tr>
        <w:tc>
          <w:tcPr/>
          <w:p>
            <w:pPr>
              <w:pStyle w:val="Compact"/>
            </w:pPr>
            <m:oMath>
              <m:sSub>
                <m:e>
                  <m:r>
                    <m:t>H</m:t>
                  </m:r>
                </m:e>
                <m:sub>
                  <m:r>
                    <m:t>6</m:t>
                  </m:r>
                </m:sub>
              </m:sSub>
            </m:oMath>
            <w:r>
              <w:t xml:space="preserve">: congruency</w:t>
            </w:r>
            <w:r>
              <w:t xml:space="preserve"> </w:t>
            </w:r>
            <m:oMath>
              <m:r>
                <m:rPr>
                  <m:sty m:val="p"/>
                </m:rPr>
                <m:t>×</m:t>
              </m:r>
            </m:oMath>
            <w:r>
              <w:t xml:space="preserve"> </w:t>
            </w:r>
            <w:r>
              <w:t xml:space="preserve">condition interaction</w:t>
            </w:r>
          </w:p>
        </w:tc>
        <w:tc>
          <w:tcPr/>
          <w:p>
            <w:pPr>
              <w:pStyle w:val="Compact"/>
              <w:jc w:val="center"/>
            </w:pPr>
            <w:r>
              <w:t xml:space="preserve">0</w:t>
            </w:r>
          </w:p>
        </w:tc>
      </w:tr>
      <w:tr>
        <w:tc>
          <w:tcPr/>
          <w:p>
            <w:pPr>
              <w:pStyle w:val="Compact"/>
            </w:pPr>
            <m:oMath>
              <m:sSub>
                <m:e>
                  <m:r>
                    <m:t>H</m:t>
                  </m:r>
                </m:e>
                <m:sub>
                  <m:r>
                    <m:t>7</m:t>
                  </m:r>
                </m:sub>
              </m:sSub>
            </m:oMath>
            <w:r>
              <w:t xml:space="preserve">: congruency</w:t>
            </w:r>
            <w:r>
              <w:t xml:space="preserve"> </w:t>
            </w:r>
            <m:oMath>
              <m:r>
                <m:rPr>
                  <m:sty m:val="p"/>
                </m:rPr>
                <m:t>×</m:t>
              </m:r>
            </m:oMath>
            <w:r>
              <w:t xml:space="preserve"> </w:t>
            </w:r>
            <w:r>
              <w:t xml:space="preserve">trial interaction</w:t>
            </w:r>
          </w:p>
        </w:tc>
        <w:tc>
          <w:tcPr/>
          <w:p>
            <w:pPr>
              <w:pStyle w:val="Compact"/>
              <w:jc w:val="center"/>
            </w:pPr>
            <w:r>
              <w:t xml:space="preserve">0</w:t>
            </w:r>
          </w:p>
        </w:tc>
      </w:tr>
      <w:tr>
        <w:tc>
          <w:tcPr/>
          <w:p>
            <w:pPr>
              <w:pStyle w:val="Compact"/>
            </w:pPr>
            <m:oMath>
              <m:sSub>
                <m:e>
                  <m:r>
                    <m:t>H</m:t>
                  </m:r>
                </m:e>
                <m:sub>
                  <m:r>
                    <m:t>8</m:t>
                  </m:r>
                </m:sub>
              </m:sSub>
            </m:oMath>
            <w:r>
              <w:t xml:space="preserve">: trial</w:t>
            </w:r>
            <w:r>
              <w:t xml:space="preserve"> </w:t>
            </w:r>
            <m:oMath>
              <m:r>
                <m:rPr>
                  <m:sty m:val="p"/>
                </m:rPr>
                <m:t>×</m:t>
              </m:r>
            </m:oMath>
            <w:r>
              <w:t xml:space="preserve"> </w:t>
            </w:r>
            <w:r>
              <w:t xml:space="preserve">condition interaction</w:t>
            </w:r>
          </w:p>
        </w:tc>
        <w:tc>
          <w:tcPr/>
          <w:p>
            <w:pPr>
              <w:pStyle w:val="Compact"/>
              <w:jc w:val="center"/>
            </w:pPr>
            <w:r>
              <w:t xml:space="preserve">0</w:t>
            </w:r>
          </w:p>
        </w:tc>
      </w:tr>
      <w:tr>
        <w:tc>
          <w:tcPr/>
          <w:p>
            <w:pPr>
              <w:pStyle w:val="Compact"/>
            </w:pPr>
            <m:oMath>
              <m:sSub>
                <m:e>
                  <m:r>
                    <m:t>H</m:t>
                  </m:r>
                </m:e>
                <m:sub>
                  <m:r>
                    <m:t>9</m:t>
                  </m:r>
                </m:sub>
              </m:sSub>
            </m:oMath>
            <w:r>
              <w:t xml:space="preserve">: congruency</w:t>
            </w:r>
            <w:r>
              <w:t xml:space="preserve"> </w:t>
            </w:r>
            <m:oMath>
              <m:r>
                <m:rPr>
                  <m:sty m:val="p"/>
                </m:rPr>
                <m:t>×</m:t>
              </m:r>
            </m:oMath>
            <w:r>
              <w:t xml:space="preserve"> </w:t>
            </w:r>
            <w:r>
              <w:t xml:space="preserve">condition</w:t>
            </w:r>
            <w:r>
              <w:t xml:space="preserve"> </w:t>
            </w:r>
            <m:oMath>
              <m:r>
                <m:rPr>
                  <m:sty m:val="p"/>
                </m:rPr>
                <m:t>×</m:t>
              </m:r>
            </m:oMath>
            <w:r>
              <w:t xml:space="preserve"> </w:t>
            </w:r>
            <w:r>
              <w:t xml:space="preserve">trial interaction</w:t>
            </w:r>
          </w:p>
        </w:tc>
        <w:tc>
          <w:tcPr/>
          <w:p>
            <w:pPr>
              <w:pStyle w:val="Compact"/>
              <w:jc w:val="center"/>
            </w:pPr>
            <w:r>
              <w:t xml:space="preserve">0</w:t>
            </w:r>
          </w:p>
        </w:tc>
      </w:tr>
    </w:tbl>
    <w:p>
      <w:pPr>
        <w:pStyle w:val="BodyText"/>
      </w:pPr>
      <w:r>
        <w:t xml:space="preserve">We retained only correct trials preceded by a correct trial (i.e., error and post-error trials were excluded), yielding</w:t>
      </w:r>
      <w:r>
        <w:t xml:space="preserve"> </w:t>
      </w:r>
      <m:oMath>
        <m:r>
          <m:t>5</m:t>
        </m:r>
        <m:r>
          <m:rPr>
            <m:sty m:val="p"/>
          </m:rPr>
          <m:t>,</m:t>
        </m:r>
        <m:r>
          <m:t>965</m:t>
        </m:r>
      </m:oMath>
      <w:r>
        <w:t xml:space="preserve"> </w:t>
      </w:r>
      <w:r>
        <w:t xml:space="preserve">observations.</w:t>
      </w:r>
    </w:p>
    <w:p>
      <w:pPr>
        <w:pStyle w:val="SourceCode"/>
      </w:pPr>
      <w:r>
        <w:rPr>
          <w:rStyle w:val="NormalTok"/>
        </w:rPr>
        <w:t xml:space="preserve">data_rt </w:t>
      </w:r>
      <w:r>
        <w:rPr>
          <w:rStyle w:val="OtherTok"/>
        </w:rPr>
        <w:t xml:space="preserve">&lt;-</w:t>
      </w:r>
      <w:r>
        <w:rPr>
          <w:rStyle w:val="NormalTok"/>
        </w:rPr>
        <w:t xml:space="preserve"> data_stroop </w:t>
      </w:r>
      <w:r>
        <w:rPr>
          <w:rStyle w:val="SpecialCharTok"/>
        </w:rPr>
        <w:t xml:space="preserve">|&gt;</w:t>
      </w:r>
      <w:r>
        <w:br/>
      </w:r>
      <w:r>
        <w:rPr>
          <w:rStyle w:val="NormalTok"/>
        </w:rPr>
        <w:t xml:space="preserve">    </w:t>
      </w:r>
      <w:r>
        <w:rPr>
          <w:rStyle w:val="FunctionTok"/>
        </w:rPr>
        <w:t xml:space="preserve">group_by</w:t>
      </w:r>
      <w:r>
        <w:rPr>
          <w:rStyle w:val="NormalTok"/>
        </w:rPr>
        <w:t xml:space="preserve">(id) </w:t>
      </w:r>
      <w:r>
        <w:rPr>
          <w:rStyle w:val="SpecialCharTok"/>
        </w:rPr>
        <w:t xml:space="preserve">|&gt;</w:t>
      </w:r>
      <w:r>
        <w:br/>
      </w:r>
      <w:r>
        <w:rPr>
          <w:rStyle w:val="NormalTok"/>
        </w:rPr>
        <w:t xml:space="preserve">    </w:t>
      </w:r>
      <w:r>
        <w:rPr>
          <w:rStyle w:val="FunctionTok"/>
        </w:rPr>
        <w:t xml:space="preserve">filter</w:t>
      </w:r>
      <w:r>
        <w:rPr>
          <w:rStyle w:val="NormalTok"/>
        </w:rPr>
        <w:t xml:space="preserve">(acc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&amp;</w:t>
      </w:r>
      <w:r>
        <w:rPr>
          <w:rStyle w:val="NormalTok"/>
        </w:rPr>
        <w:t xml:space="preserve"> </w:t>
      </w:r>
      <w:r>
        <w:rPr>
          <w:rStyle w:val="FunctionTok"/>
        </w:rPr>
        <w:t xml:space="preserve">lag</w:t>
      </w:r>
      <w:r>
        <w:rPr>
          <w:rStyle w:val="NormalTok"/>
        </w:rPr>
        <w:t xml:space="preserve">(acc)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ungroup</w:t>
      </w:r>
      <w:r>
        <w:rPr>
          <w:rStyle w:val="NormalTok"/>
        </w:rPr>
        <w:t xml:space="preserve">()</w:t>
      </w:r>
      <w:r>
        <w:br/>
      </w:r>
      <w:r>
        <w:br/>
      </w:r>
      <w:r>
        <w:rPr>
          <w:rStyle w:val="CommentTok"/>
        </w:rPr>
        <w:t xml:space="preserve"># set contrast</w:t>
      </w:r>
      <w:r>
        <w:br/>
      </w:r>
      <w:r>
        <w:rPr>
          <w:rStyle w:val="FunctionTok"/>
        </w:rPr>
        <w:t xml:space="preserve">contrasts</w:t>
      </w:r>
      <w:r>
        <w:rPr>
          <w:rStyle w:val="NormalTok"/>
        </w:rPr>
        <w:t xml:space="preserve">(data_rt</w:t>
      </w:r>
      <w:r>
        <w:rPr>
          <w:rStyle w:val="SpecialCharTok"/>
        </w:rPr>
        <w:t xml:space="preserve">$</w:t>
      </w:r>
      <w:r>
        <w:rPr>
          <w:rStyle w:val="NormalTok"/>
        </w:rPr>
        <w:t xml:space="preserve">congruency) </w:t>
      </w:r>
      <w:r>
        <w:rPr>
          <w:rStyle w:val="OtherTok"/>
        </w:rPr>
        <w:t xml:space="preserve">&lt;-</w:t>
      </w:r>
      <w:r>
        <w:rPr>
          <w:rStyle w:val="NormalTok"/>
        </w:rPr>
        <w:t xml:space="preserve"> </w:t>
      </w:r>
      <w:r>
        <w:rPr>
          <w:rStyle w:val="FunctionTok"/>
        </w:rPr>
        <w:t xml:space="preserve">contr.sum</w:t>
      </w:r>
      <w:r>
        <w:rPr>
          <w:rStyle w:val="NormalTok"/>
        </w:rPr>
        <w:t xml:space="preserve">(</w:t>
      </w:r>
      <w:r>
        <w:rPr>
          <w:rStyle w:val="DecValTok"/>
        </w:rPr>
        <w:t xml:space="preserve">2</w:t>
      </w:r>
      <w:r>
        <w:rPr>
          <w:rStyle w:val="NormalTok"/>
        </w:rPr>
        <w:t xml:space="preserve">)</w:t>
      </w:r>
      <w:r>
        <w:rPr>
          <w:rStyle w:val="SpecialCharTok"/>
        </w:rPr>
        <w:t xml:space="preserve">/</w:t>
      </w:r>
      <w:r>
        <w:rPr>
          <w:rStyle w:val="DecValTok"/>
        </w:rPr>
        <w:t xml:space="preserve">2</w:t>
      </w:r>
      <w:r>
        <w:br/>
      </w:r>
      <w:r>
        <w:rPr>
          <w:rStyle w:val="FunctionTok"/>
        </w:rPr>
        <w:t xml:space="preserve">contrasts</w:t>
      </w:r>
      <w:r>
        <w:rPr>
          <w:rStyle w:val="NormalTok"/>
        </w:rPr>
        <w:t xml:space="preserve">(data_rt</w:t>
      </w:r>
      <w:r>
        <w:rPr>
          <w:rStyle w:val="SpecialCharTok"/>
        </w:rPr>
        <w:t xml:space="preserve">$</w:t>
      </w:r>
      <w:r>
        <w:rPr>
          <w:rStyle w:val="NormalTok"/>
        </w:rPr>
        <w:t xml:space="preserve">prev_cong) </w:t>
      </w:r>
      <w:r>
        <w:rPr>
          <w:rStyle w:val="OtherTok"/>
        </w:rPr>
        <w:t xml:space="preserve">&lt;-</w:t>
      </w:r>
      <w:r>
        <w:rPr>
          <w:rStyle w:val="NormalTok"/>
        </w:rPr>
        <w:t xml:space="preserve"> </w:t>
      </w:r>
      <w:r>
        <w:rPr>
          <w:rStyle w:val="FunctionTok"/>
        </w:rPr>
        <w:t xml:space="preserve">contr.sum</w:t>
      </w:r>
      <w:r>
        <w:rPr>
          <w:rStyle w:val="NormalTok"/>
        </w:rPr>
        <w:t xml:space="preserve">(</w:t>
      </w:r>
      <w:r>
        <w:rPr>
          <w:rStyle w:val="DecValTok"/>
        </w:rPr>
        <w:t xml:space="preserve">2</w:t>
      </w:r>
      <w:r>
        <w:rPr>
          <w:rStyle w:val="NormalTok"/>
        </w:rPr>
        <w:t xml:space="preserve">)</w:t>
      </w:r>
      <w:r>
        <w:rPr>
          <w:rStyle w:val="SpecialCharTok"/>
        </w:rPr>
        <w:t xml:space="preserve">/</w:t>
      </w:r>
      <w:r>
        <w:rPr>
          <w:rStyle w:val="DecValTok"/>
        </w:rPr>
        <w:t xml:space="preserve">2</w:t>
      </w:r>
      <w:r>
        <w:br/>
      </w:r>
      <w:r>
        <w:rPr>
          <w:rStyle w:val="FunctionTok"/>
        </w:rPr>
        <w:t xml:space="preserve">contrasts</w:t>
      </w:r>
      <w:r>
        <w:rPr>
          <w:rStyle w:val="NormalTok"/>
        </w:rPr>
        <w:t xml:space="preserve">(data_rt</w:t>
      </w:r>
      <w:r>
        <w:rPr>
          <w:rStyle w:val="SpecialCharTok"/>
        </w:rPr>
        <w:t xml:space="preserve">$</w:t>
      </w:r>
      <w:r>
        <w:rPr>
          <w:rStyle w:val="NormalTok"/>
        </w:rPr>
        <w:t xml:space="preserve">condition) </w:t>
      </w:r>
      <w:r>
        <w:rPr>
          <w:rStyle w:val="OtherTok"/>
        </w:rPr>
        <w:t xml:space="preserve">&lt;-</w:t>
      </w:r>
      <w:r>
        <w:rPr>
          <w:rStyle w:val="NormalTok"/>
        </w:rPr>
        <w:t xml:space="preserve"> </w:t>
      </w:r>
      <w:r>
        <w:rPr>
          <w:rStyle w:val="FunctionTok"/>
        </w:rPr>
        <w:t xml:space="preserve">contr.sum</w:t>
      </w:r>
      <w:r>
        <w:rPr>
          <w:rStyle w:val="NormalTok"/>
        </w:rPr>
        <w:t xml:space="preserve">(</w:t>
      </w:r>
      <w:r>
        <w:rPr>
          <w:rStyle w:val="DecValTok"/>
        </w:rPr>
        <w:t xml:space="preserve">2</w:t>
      </w:r>
      <w:r>
        <w:rPr>
          <w:rStyle w:val="NormalTok"/>
        </w:rPr>
        <w:t xml:space="preserve">)</w:t>
      </w:r>
      <w:r>
        <w:rPr>
          <w:rStyle w:val="SpecialCharTok"/>
        </w:rPr>
        <w:t xml:space="preserve">/</w:t>
      </w:r>
      <w:r>
        <w:rPr>
          <w:rStyle w:val="DecValTok"/>
        </w:rPr>
        <w:t xml:space="preserve">2</w:t>
      </w:r>
      <w:r>
        <w:br/>
      </w:r>
      <w:r>
        <w:br/>
      </w:r>
      <w:r>
        <w:rPr>
          <w:rStyle w:val="NormalTok"/>
        </w:rPr>
        <w:t xml:space="preserve">mod_rt </w:t>
      </w:r>
      <w:r>
        <w:rPr>
          <w:rStyle w:val="OtherTok"/>
        </w:rPr>
        <w:t xml:space="preserve">&lt;-</w:t>
      </w:r>
      <w:r>
        <w:rPr>
          <w:rStyle w:val="NormalTok"/>
        </w:rPr>
        <w:t xml:space="preserve"> </w:t>
      </w:r>
      <w:r>
        <w:rPr>
          <w:rStyle w:val="FunctionTok"/>
        </w:rPr>
        <w:t xml:space="preserve">brm</w:t>
      </w:r>
      <w:r>
        <w:rPr>
          <w:rStyle w:val="NormalTok"/>
        </w:rPr>
        <w:t xml:space="preserve">(</w:t>
      </w:r>
      <w:r>
        <w:rPr>
          <w:rStyle w:val="AttributeTok"/>
        </w:rPr>
        <w:t xml:space="preserve">formula =</w:t>
      </w:r>
      <w:r>
        <w:rPr>
          <w:rStyle w:val="NormalTok"/>
        </w:rPr>
        <w:t xml:space="preserve"> rt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congruency </w:t>
      </w:r>
      <w:r>
        <w:rPr>
          <w:rStyle w:val="SpecialCharTok"/>
        </w:rPr>
        <w:t xml:space="preserve">*</w:t>
      </w:r>
      <w:r>
        <w:rPr>
          <w:rStyle w:val="NormalTok"/>
        </w:rPr>
        <w:t xml:space="preserve"> prev_cong </w:t>
      </w:r>
      <w:r>
        <w:rPr>
          <w:rStyle w:val="SpecialCharTok"/>
        </w:rPr>
        <w:t xml:space="preserve">+</w:t>
      </w:r>
      <w:r>
        <w:rPr>
          <w:rStyle w:val="NormalTok"/>
        </w:rPr>
        <w:t xml:space="preserve"> congruency </w:t>
      </w:r>
      <w:r>
        <w:rPr>
          <w:rStyle w:val="SpecialCharTok"/>
        </w:rPr>
        <w:t xml:space="preserve">*</w:t>
      </w:r>
      <w:r>
        <w:br/>
      </w:r>
      <w:r>
        <w:rPr>
          <w:rStyle w:val="NormalTok"/>
        </w:rPr>
        <w:t xml:space="preserve">    trial </w:t>
      </w:r>
      <w:r>
        <w:rPr>
          <w:rStyle w:val="SpecialCharTok"/>
        </w:rPr>
        <w:t xml:space="preserve">*</w:t>
      </w:r>
      <w:r>
        <w:rPr>
          <w:rStyle w:val="NormalTok"/>
        </w:rPr>
        <w:t xml:space="preserve"> condition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congruency </w:t>
      </w:r>
      <w:r>
        <w:rPr>
          <w:rStyle w:val="SpecialCharTok"/>
        </w:rPr>
        <w:t xml:space="preserve">+</w:t>
      </w:r>
      <w:r>
        <w:rPr>
          <w:rStyle w:val="NormalTok"/>
        </w:rPr>
        <w:t xml:space="preserve"> prev_cong </w:t>
      </w:r>
      <w:r>
        <w:rPr>
          <w:rStyle w:val="SpecialCharTok"/>
        </w:rPr>
        <w:t xml:space="preserve">+</w:t>
      </w:r>
      <w:r>
        <w:rPr>
          <w:rStyle w:val="NormalTok"/>
        </w:rPr>
        <w:t xml:space="preserve"> trial </w:t>
      </w:r>
      <w:r>
        <w:rPr>
          <w:rStyle w:val="SpecialCharTok"/>
        </w:rPr>
        <w:t xml:space="preserve">+</w:t>
      </w:r>
      <w:r>
        <w:rPr>
          <w:rStyle w:val="NormalTok"/>
        </w:rPr>
        <w:t xml:space="preserve"> condition </w:t>
      </w:r>
      <w:r>
        <w:rPr>
          <w:rStyle w:val="SpecialCharTok"/>
        </w:rPr>
        <w:t xml:space="preserve">||</w:t>
      </w:r>
      <w:r>
        <w:br/>
      </w:r>
      <w:r>
        <w:rPr>
          <w:rStyle w:val="NormalTok"/>
        </w:rPr>
        <w:t xml:space="preserve">    id), </w:t>
      </w:r>
      <w:r>
        <w:rPr>
          <w:rStyle w:val="AttributeTok"/>
        </w:rPr>
        <w:t xml:space="preserve">family =</w:t>
      </w:r>
      <w:r>
        <w:rPr>
          <w:rStyle w:val="NormalTok"/>
        </w:rPr>
        <w:t xml:space="preserve"> </w:t>
      </w:r>
      <w:r>
        <w:rPr>
          <w:rStyle w:val="FunctionTok"/>
        </w:rPr>
        <w:t xml:space="preserve">lognormal</w:t>
      </w:r>
      <w:r>
        <w:rPr>
          <w:rStyle w:val="NormalTok"/>
        </w:rPr>
        <w:t xml:space="preserve">(), </w:t>
      </w:r>
      <w:r>
        <w:rPr>
          <w:rStyle w:val="AttributeTok"/>
        </w:rPr>
        <w:t xml:space="preserve">data =</w:t>
      </w:r>
      <w:r>
        <w:rPr>
          <w:rStyle w:val="NormalTok"/>
        </w:rPr>
        <w:t xml:space="preserve"> data_rt, </w:t>
      </w:r>
      <w:r>
        <w:rPr>
          <w:rStyle w:val="AttributeTok"/>
        </w:rPr>
        <w:t xml:space="preserve">cores =</w:t>
      </w:r>
      <w:r>
        <w:rPr>
          <w:rStyle w:val="NormalTok"/>
        </w:rPr>
        <w:t xml:space="preserve"> </w:t>
      </w:r>
      <w:r>
        <w:rPr>
          <w:rStyle w:val="DecValTok"/>
        </w:rPr>
        <w:t xml:space="preserve">3</w:t>
      </w:r>
      <w:r>
        <w:rPr>
          <w:rStyle w:val="NormalTok"/>
        </w:rPr>
        <w:t xml:space="preserve">, </w:t>
      </w:r>
      <w:r>
        <w:rPr>
          <w:rStyle w:val="AttributeTok"/>
        </w:rPr>
        <w:t xml:space="preserve">chains =</w:t>
      </w:r>
      <w:r>
        <w:rPr>
          <w:rStyle w:val="NormalTok"/>
        </w:rPr>
        <w:t xml:space="preserve"> </w:t>
      </w:r>
      <w:r>
        <w:rPr>
          <w:rStyle w:val="DecValTok"/>
        </w:rPr>
        <w:t xml:space="preserve">3</w:t>
      </w:r>
      <w:r>
        <w:rPr>
          <w:rStyle w:val="NormalTok"/>
        </w:rPr>
        <w:t xml:space="preserve">, </w:t>
      </w:r>
      <w:r>
        <w:rPr>
          <w:rStyle w:val="AttributeTok"/>
        </w:rPr>
        <w:t xml:space="preserve">iter =</w:t>
      </w:r>
      <w:r>
        <w:rPr>
          <w:rStyle w:val="NormalTok"/>
        </w:rPr>
        <w:t xml:space="preserve"> </w:t>
      </w:r>
      <w:r>
        <w:rPr>
          <w:rStyle w:val="DecValTok"/>
        </w:rPr>
        <w:t xml:space="preserve">8000</w:t>
      </w:r>
      <w:r>
        <w:rPr>
          <w:rStyle w:val="NormalTok"/>
        </w:rPr>
        <w:t xml:space="preserve">)</w:t>
      </w:r>
    </w:p>
    <w:p>
      <w:pPr>
        <w:pStyle w:val="FirstParagraph"/>
      </w:pPr>
      <w:r>
        <w:t xml:space="preserve">Since</w:t>
      </w:r>
      <w:r>
        <w:t xml:space="preserve"> </w:t>
      </w:r>
      <w:r>
        <w:rPr>
          <w:rStyle w:val="VerbatimChar"/>
        </w:rPr>
        <w:t xml:space="preserve">pd.adjust()</w:t>
      </w:r>
      <w:r>
        <w:t xml:space="preserve"> </w:t>
      </w:r>
      <w:r>
        <w:t xml:space="preserve">computes</w:t>
      </w:r>
      <w:r>
        <w:t xml:space="preserve"> </w:t>
      </w:r>
      <m:oMath>
        <m:r>
          <m:t>p</m:t>
        </m:r>
        <m:r>
          <m:t>d</m:t>
        </m:r>
      </m:oMath>
      <w:r>
        <w:t xml:space="preserve"> </w:t>
      </w:r>
      <w:r>
        <w:t xml:space="preserve">values automatically from a matrix of posterior draws, we extracted the relevant draws from the model.</w:t>
      </w:r>
    </w:p>
    <w:p>
      <w:pPr>
        <w:pStyle w:val="SourceCode"/>
      </w:pPr>
      <w:r>
        <w:rPr>
          <w:rStyle w:val="NormalTok"/>
        </w:rPr>
        <w:t xml:space="preserve">draws_rt </w:t>
      </w:r>
      <w:r>
        <w:rPr>
          <w:rStyle w:val="OtherTok"/>
        </w:rPr>
        <w:t xml:space="preserve">&lt;-</w:t>
      </w:r>
      <w:r>
        <w:rPr>
          <w:rStyle w:val="NormalTok"/>
        </w:rPr>
        <w:t xml:space="preserve"> </w:t>
      </w:r>
      <w:r>
        <w:rPr>
          <w:rStyle w:val="FunctionTok"/>
        </w:rPr>
        <w:t xml:space="preserve">as.data.frame</w:t>
      </w:r>
      <w:r>
        <w:rPr>
          <w:rStyle w:val="NormalTok"/>
        </w:rPr>
        <w:t xml:space="preserve">(mod_rt)</w:t>
      </w:r>
      <w:r>
        <w:br/>
      </w:r>
      <w:r>
        <w:rPr>
          <w:rStyle w:val="NormalTok"/>
        </w:rPr>
        <w:t xml:space="preserve">par_names </w:t>
      </w:r>
      <w:r>
        <w:rPr>
          <w:rStyle w:val="OtherTok"/>
        </w:rPr>
        <w:t xml:space="preserve">&lt;-</w:t>
      </w:r>
      <w:r>
        <w:rPr>
          <w:rStyle w:val="NormalTok"/>
        </w:rPr>
        <w:t xml:space="preserve"> </w:t>
      </w:r>
      <w:r>
        <w:rPr>
          <w:rStyle w:val="FunctionTok"/>
        </w:rPr>
        <w:t xml:space="preserve">colnames</w:t>
      </w:r>
      <w:r>
        <w:rPr>
          <w:rStyle w:val="NormalTok"/>
        </w:rPr>
        <w:t xml:space="preserve">(draws_rt)[</w:t>
      </w:r>
      <w:r>
        <w:rPr>
          <w:rStyle w:val="DecValTok"/>
        </w:rPr>
        <w:t xml:space="preserve">2</w:t>
      </w:r>
      <w:r>
        <w:rPr>
          <w:rStyle w:val="SpecialCharTok"/>
        </w:rPr>
        <w:t xml:space="preserve">:</w:t>
      </w:r>
      <w:r>
        <w:rPr>
          <w:rStyle w:val="DecValTok"/>
        </w:rPr>
        <w:t xml:space="preserve">10</w:t>
      </w:r>
      <w:r>
        <w:rPr>
          <w:rStyle w:val="NormalTok"/>
        </w:rPr>
        <w:t xml:space="preserve">]</w:t>
      </w:r>
      <w:r>
        <w:br/>
      </w:r>
      <w:r>
        <w:rPr>
          <w:rStyle w:val="NormalTok"/>
        </w:rPr>
        <w:t xml:space="preserve">draws_rt </w:t>
      </w:r>
      <w:r>
        <w:rPr>
          <w:rStyle w:val="OtherTok"/>
        </w:rPr>
        <w:t xml:space="preserve">&lt;-</w:t>
      </w:r>
      <w:r>
        <w:rPr>
          <w:rStyle w:val="NormalTok"/>
        </w:rPr>
        <w:t xml:space="preserve"> draws_rt[, par_names]</w:t>
      </w:r>
      <w:r>
        <w:br/>
      </w:r>
      <w:r>
        <w:rPr>
          <w:rStyle w:val="FunctionTok"/>
        </w:rPr>
        <w:t xml:space="preserve">pd.adjust</w:t>
      </w:r>
      <w:r>
        <w:rPr>
          <w:rStyle w:val="NormalTok"/>
        </w:rPr>
        <w:t xml:space="preserve">(</w:t>
      </w:r>
      <w:r>
        <w:rPr>
          <w:rStyle w:val="AttributeTok"/>
        </w:rPr>
        <w:t xml:space="preserve">draws =</w:t>
      </w:r>
      <w:r>
        <w:rPr>
          <w:rStyle w:val="NormalTok"/>
        </w:rPr>
        <w:t xml:space="preserve"> draws_rt, </w:t>
      </w:r>
      <w:r>
        <w:rPr>
          <w:rStyle w:val="AttributeTok"/>
        </w:rPr>
        <w:t xml:space="preserve">pi0 =</w:t>
      </w:r>
      <w:r>
        <w:rPr>
          <w:rStyle w:val="NormalTok"/>
        </w:rPr>
        <w:t xml:space="preserve"> </w:t>
      </w:r>
      <w:r>
        <w:rPr>
          <w:rStyle w:val="FloatTok"/>
        </w:rPr>
        <w:t xml:space="preserve">0.7</w:t>
      </w:r>
      <w:r>
        <w:rPr>
          <w:rStyle w:val="NormalTok"/>
        </w:rPr>
        <w:t xml:space="preserve">, </w:t>
      </w:r>
      <w:r>
        <w:rPr>
          <w:rStyle w:val="AttributeTok"/>
        </w:rPr>
        <w:t xml:space="preserve">null.value =</w:t>
      </w:r>
      <w:r>
        <w:rPr>
          <w:rStyle w:val="NormalTok"/>
        </w:rPr>
        <w:t xml:space="preserve"> </w:t>
      </w:r>
      <w:r>
        <w:rPr>
          <w:rStyle w:val="DecValTok"/>
        </w:rPr>
        <w:t xml:space="preserve">0</w:t>
      </w:r>
      <w:r>
        <w:rPr>
          <w:rStyle w:val="NormalTok"/>
        </w:rPr>
        <w:t xml:space="preserve">)</w:t>
      </w:r>
    </w:p>
    <w:p>
      <w:pPr>
        <w:pStyle w:val="SourceCode"/>
      </w:pPr>
      <w:r>
        <w:rPr>
          <w:rStyle w:val="VerbatimChar"/>
        </w:rPr>
        <w:t xml:space="preserve">Prior-odds adjusted probability of direction</w:t>
      </w:r>
      <w:r>
        <w:br/>
      </w:r>
      <w:r>
        <w:rPr>
          <w:rStyle w:val="VerbatimChar"/>
        </w:rPr>
        <w:t xml:space="preserve">Tests: 9  |  pi0 = 0.7</w:t>
      </w:r>
      <w:r>
        <w:br/>
      </w:r>
      <w:r>
        <w:rPr>
          <w:rStyle w:val="VerbatimChar"/>
        </w:rPr>
        <w:t xml:space="preserve">Decision: raw pd &gt; 0.9891 (adjusted from 0.975); effective per-test</w:t>
      </w:r>
      <w:r>
        <w:br/>
      </w:r>
      <w:r>
        <w:rPr>
          <w:rStyle w:val="VerbatimChar"/>
        </w:rPr>
        <w:t xml:space="preserve">alpha 0.0217 (from 0.05)</w:t>
      </w:r>
      <w:r>
        <w:br/>
      </w:r>
      <w:r>
        <w:br/>
      </w:r>
      <w:r>
        <w:rPr>
          <w:rStyle w:val="VerbatimChar"/>
        </w:rPr>
        <w:t xml:space="preserve">                               median.est null.value     pd pd.adj</w:t>
      </w:r>
      <w:r>
        <w:br/>
      </w:r>
      <w:r>
        <w:rPr>
          <w:rStyle w:val="VerbatimChar"/>
        </w:rPr>
        <w:t xml:space="preserve">b_congruency1                     -0.1439          0 1.0000 1.0000</w:t>
      </w:r>
      <w:r>
        <w:br/>
      </w:r>
      <w:r>
        <w:rPr>
          <w:rStyle w:val="VerbatimChar"/>
        </w:rPr>
        <w:t xml:space="preserve">b_prev_cong1                      -0.0166          0 0.9803 0.9553</w:t>
      </w:r>
      <w:r>
        <w:br/>
      </w:r>
      <w:r>
        <w:rPr>
          <w:rStyle w:val="VerbatimChar"/>
        </w:rPr>
        <w:t xml:space="preserve">b_trial                            0.0119          0 0.9369 0.8642</w:t>
      </w:r>
      <w:r>
        <w:br/>
      </w:r>
      <w:r>
        <w:rPr>
          <w:rStyle w:val="VerbatimChar"/>
        </w:rPr>
        <w:t xml:space="preserve">b_condition1                       0.0063          0 0.6509 0.5000</w:t>
      </w:r>
      <w:r>
        <w:br/>
      </w:r>
      <w:r>
        <w:rPr>
          <w:rStyle w:val="VerbatimChar"/>
        </w:rPr>
        <w:t xml:space="preserve">b_congruency1:prev_cong1           0.0223          0 0.9583 0.9079</w:t>
      </w:r>
      <w:r>
        <w:br/>
      </w:r>
      <w:r>
        <w:rPr>
          <w:rStyle w:val="VerbatimChar"/>
        </w:rPr>
        <w:t xml:space="preserve">b_congruency1:trial               -0.0033          0 0.7206 0.5250</w:t>
      </w:r>
      <w:r>
        <w:br/>
      </w:r>
      <w:r>
        <w:rPr>
          <w:rStyle w:val="VerbatimChar"/>
        </w:rPr>
        <w:t xml:space="preserve">b_congruency1:condition1          -0.0166          0 0.9291 0.8488</w:t>
      </w:r>
      <w:r>
        <w:br/>
      </w:r>
      <w:r>
        <w:rPr>
          <w:rStyle w:val="VerbatimChar"/>
        </w:rPr>
        <w:t xml:space="preserve">b_trial:condition1                 0.0071          0 0.8936 0.7825</w:t>
      </w:r>
      <w:r>
        <w:br/>
      </w:r>
      <w:r>
        <w:rPr>
          <w:rStyle w:val="VerbatimChar"/>
        </w:rPr>
        <w:t xml:space="preserve">b_congruency1:trial:condition1    -0.0028          0 0.5961 0.5000</w:t>
      </w:r>
      <w:r>
        <w:br/>
      </w:r>
      <w:r>
        <w:rPr>
          <w:rStyle w:val="VerbatimChar"/>
        </w:rPr>
        <w:t xml:space="preserve">                               direction</w:t>
      </w:r>
      <w:r>
        <w:br/>
      </w:r>
      <w:r>
        <w:rPr>
          <w:rStyle w:val="VerbatimChar"/>
        </w:rPr>
        <w:t xml:space="preserve">b_congruency1                  two.sided</w:t>
      </w:r>
      <w:r>
        <w:br/>
      </w:r>
      <w:r>
        <w:rPr>
          <w:rStyle w:val="VerbatimChar"/>
        </w:rPr>
        <w:t xml:space="preserve">b_prev_cong1                   two.sided</w:t>
      </w:r>
      <w:r>
        <w:br/>
      </w:r>
      <w:r>
        <w:rPr>
          <w:rStyle w:val="VerbatimChar"/>
        </w:rPr>
        <w:t xml:space="preserve">b_trial                        two.sided</w:t>
      </w:r>
      <w:r>
        <w:br/>
      </w:r>
      <w:r>
        <w:rPr>
          <w:rStyle w:val="VerbatimChar"/>
        </w:rPr>
        <w:t xml:space="preserve">b_condition1                   two.sided</w:t>
      </w:r>
      <w:r>
        <w:br/>
      </w:r>
      <w:r>
        <w:rPr>
          <w:rStyle w:val="VerbatimChar"/>
        </w:rPr>
        <w:t xml:space="preserve">b_congruency1:prev_cong1       two.sided</w:t>
      </w:r>
      <w:r>
        <w:br/>
      </w:r>
      <w:r>
        <w:rPr>
          <w:rStyle w:val="VerbatimChar"/>
        </w:rPr>
        <w:t xml:space="preserve">b_congruency1:trial            two.sided</w:t>
      </w:r>
      <w:r>
        <w:br/>
      </w:r>
      <w:r>
        <w:rPr>
          <w:rStyle w:val="VerbatimChar"/>
        </w:rPr>
        <w:t xml:space="preserve">b_congruency1:condition1       two.sided</w:t>
      </w:r>
      <w:r>
        <w:br/>
      </w:r>
      <w:r>
        <w:rPr>
          <w:rStyle w:val="VerbatimChar"/>
        </w:rPr>
        <w:t xml:space="preserve">b_trial:condition1             two.sided</w:t>
      </w:r>
      <w:r>
        <w:br/>
      </w:r>
      <w:r>
        <w:rPr>
          <w:rStyle w:val="VerbatimChar"/>
        </w:rPr>
        <w:t xml:space="preserve">b_congruency1:trial:condition1 two.sided</w:t>
      </w:r>
    </w:p>
    <w:p>
      <w:pPr>
        <w:pStyle w:val="FirstParagraph"/>
      </w:pPr>
      <w:r>
        <w:t xml:space="preserve">The function was called with a per-test null prior of</w:t>
      </w:r>
      <w:r>
        <w:t xml:space="preserve"> </w:t>
      </w:r>
      <m:oMath>
        <m:sSub>
          <m:e>
            <m:r>
              <m:t>π</m:t>
            </m:r>
          </m:e>
          <m:sub>
            <m:r>
              <m:t>0</m:t>
            </m:r>
          </m:sub>
        </m:sSub>
        <m:r>
          <m:rPr>
            <m:sty m:val="p"/>
          </m:rPr>
          <m:t>=</m:t>
        </m:r>
        <m:r>
          <m:t>0.7</m:t>
        </m:r>
      </m:oMath>
      <w:r>
        <w:t xml:space="preserve"> </w:t>
      </w:r>
      <w:r>
        <w:t xml:space="preserve">(shown in the printed header), encoding the skeptical expectation that roughly 70% of the tested effects are null. The header also reports the equivalent decision this implies: at the default cutoff</w:t>
      </w:r>
      <w:r>
        <w:t xml:space="preserve"> </w:t>
      </w:r>
      <m:oMath>
        <m:r>
          <m:t>c</m:t>
        </m:r>
        <m:r>
          <m:rPr>
            <m:sty m:val="p"/>
          </m:rPr>
          <m:t>=</m:t>
        </m:r>
        <m:r>
          <m:t>0.975</m:t>
        </m:r>
      </m:oMath>
      <w:r>
        <w:t xml:space="preserve">, a raw</w:t>
      </w:r>
      <w:r>
        <w:t xml:space="preserve"> </w:t>
      </w:r>
      <m:oMath>
        <m:r>
          <m:t>p</m:t>
        </m:r>
        <m:r>
          <m:t>d</m:t>
        </m:r>
      </m:oMath>
      <w:r>
        <w:t xml:space="preserve"> </w:t>
      </w:r>
      <w:r>
        <w:t xml:space="preserve">must now exceed the stricter adjusted threshold</w:t>
      </w:r>
      <w:r>
        <w:t xml:space="preserve"> </w:t>
      </w:r>
      <m:oMath>
        <m:sSup>
          <m:e>
            <m:r>
              <m:t>c</m:t>
            </m:r>
          </m:e>
          <m:sup>
            <m:r>
              <m:rPr>
                <m:sty m:val="p"/>
              </m:rPr>
              <m:t>*</m:t>
            </m:r>
          </m:sup>
        </m:sSup>
        <m:r>
          <m:rPr>
            <m:sty m:val="p"/>
          </m:rPr>
          <m:t>=</m:t>
        </m:r>
        <m:r>
          <m:t>0.989</m:t>
        </m:r>
      </m:oMath>
      <w:r>
        <w:t xml:space="preserve">.</w:t>
      </w:r>
    </w:p>
    <w:p>
      <w:pPr>
        <w:pStyle w:val="BodyText"/>
      </w:pPr>
      <w:r>
        <w:t xml:space="preserve">The adjustment’s effect varies with the strength of the underlying evidence. The predictor</w:t>
      </w:r>
      <w:r>
        <w:t xml:space="preserve"> </w:t>
      </w:r>
      <w:r>
        <w:rPr>
          <w:rStyle w:val="VerbatimChar"/>
        </w:rPr>
        <w:t xml:space="preserve">b_congruency1</w:t>
      </w:r>
      <w:r>
        <w:t xml:space="preserve"> </w:t>
      </w:r>
      <w:r>
        <w:t xml:space="preserve">carries</w:t>
      </w:r>
      <w:r>
        <w:t xml:space="preserve"> </w:t>
      </w:r>
      <m:oMath>
        <m:r>
          <m:t>p</m:t>
        </m:r>
        <m:r>
          <m:t>d</m:t>
        </m:r>
        <m:r>
          <m:rPr>
            <m:sty m:val="p"/>
          </m:rPr>
          <m:t>=</m:t>
        </m:r>
        <m:r>
          <m:t>1</m:t>
        </m:r>
      </m:oMath>
      <w:r>
        <w:t xml:space="preserve"> </w:t>
      </w:r>
      <w:r>
        <w:t xml:space="preserve">and is left untouched (</w:t>
      </w:r>
      <m:oMath>
        <m:r>
          <m:t>p</m:t>
        </m:r>
        <m:sSub>
          <m:e>
            <m:r>
              <m:t>d</m:t>
            </m:r>
          </m:e>
          <m:sub>
            <m:r>
              <m:rPr>
                <m:nor/>
                <m:sty m:val="p"/>
              </m:rPr>
              <m:t>adj</m:t>
            </m:r>
          </m:sub>
        </m:sSub>
        <m:r>
          <m:rPr>
            <m:sty m:val="p"/>
          </m:rPr>
          <m:t>=</m:t>
        </m:r>
        <m:r>
          <m:t>1</m:t>
        </m:r>
      </m:oMath>
      <w:r>
        <w:t xml:space="preserve">). Terms with lower but still substantial evidence are pulled down only mildly:</w:t>
      </w:r>
      <w:r>
        <w:t xml:space="preserve"> </w:t>
      </w:r>
      <w:r>
        <w:rPr>
          <w:rStyle w:val="VerbatimChar"/>
        </w:rPr>
        <w:t xml:space="preserve">b_prev_cong1</w:t>
      </w:r>
      <w:r>
        <w:t xml:space="preserve"> </w:t>
      </w:r>
      <w:r>
        <w:t xml:space="preserve">(</w:t>
      </w:r>
      <m:oMath>
        <m:r>
          <m:t>0.980</m:t>
        </m:r>
        <m:r>
          <m:rPr>
            <m:sty m:val="p"/>
          </m:rPr>
          <m:t>→</m:t>
        </m:r>
        <m:r>
          <m:t>0.955</m:t>
        </m:r>
      </m:oMath>
      <w:r>
        <w:t xml:space="preserve">),</w:t>
      </w:r>
      <w:r>
        <w:t xml:space="preserve"> </w:t>
      </w:r>
      <w:r>
        <w:rPr>
          <w:rStyle w:val="VerbatimChar"/>
        </w:rPr>
        <w:t xml:space="preserve">b_trial</w:t>
      </w:r>
      <w:r>
        <w:t xml:space="preserve"> </w:t>
      </w:r>
      <w:r>
        <w:t xml:space="preserve">(</w:t>
      </w:r>
      <m:oMath>
        <m:r>
          <m:t>0.937</m:t>
        </m:r>
        <m:r>
          <m:rPr>
            <m:sty m:val="p"/>
          </m:rPr>
          <m:t>→</m:t>
        </m:r>
        <m:r>
          <m:t>0.864</m:t>
        </m:r>
      </m:oMath>
      <w:r>
        <w:t xml:space="preserve">),</w:t>
      </w:r>
      <w:r>
        <w:t xml:space="preserve"> </w:t>
      </w:r>
      <w:r>
        <w:rPr>
          <w:rStyle w:val="VerbatimChar"/>
        </w:rPr>
        <w:t xml:space="preserve">b_congruency1:prev_cong1</w:t>
      </w:r>
      <w:r>
        <w:t xml:space="preserve"> </w:t>
      </w:r>
      <w:r>
        <w:t xml:space="preserve">(</w:t>
      </w:r>
      <m:oMath>
        <m:r>
          <m:t>0.958</m:t>
        </m:r>
        <m:r>
          <m:rPr>
            <m:sty m:val="p"/>
          </m:rPr>
          <m:t>→</m:t>
        </m:r>
        <m:r>
          <m:t>0.908</m:t>
        </m:r>
      </m:oMath>
      <w:r>
        <w:t xml:space="preserve">),</w:t>
      </w:r>
      <w:r>
        <w:t xml:space="preserve"> </w:t>
      </w:r>
      <w:r>
        <w:rPr>
          <w:rStyle w:val="VerbatimChar"/>
        </w:rPr>
        <w:t xml:space="preserve">b_congruency1:condition1</w:t>
      </w:r>
      <w:r>
        <w:t xml:space="preserve"> </w:t>
      </w:r>
      <w:r>
        <w:t xml:space="preserve">(</w:t>
      </w:r>
      <m:oMath>
        <m:r>
          <m:t>0.929</m:t>
        </m:r>
        <m:r>
          <m:rPr>
            <m:sty m:val="p"/>
          </m:rPr>
          <m:t>→</m:t>
        </m:r>
        <m:r>
          <m:t>0.849</m:t>
        </m:r>
      </m:oMath>
      <w:r>
        <w:t xml:space="preserve">), and</w:t>
      </w:r>
      <w:r>
        <w:t xml:space="preserve"> </w:t>
      </w:r>
      <w:r>
        <w:rPr>
          <w:rStyle w:val="VerbatimChar"/>
        </w:rPr>
        <w:t xml:space="preserve">b_trial:condition1</w:t>
      </w:r>
      <w:r>
        <w:t xml:space="preserve"> </w:t>
      </w:r>
      <w:r>
        <w:t xml:space="preserve">(</w:t>
      </w:r>
      <m:oMath>
        <m:r>
          <m:t>0.894</m:t>
        </m:r>
        <m:r>
          <m:rPr>
            <m:sty m:val="p"/>
          </m:rPr>
          <m:t>→</m:t>
        </m:r>
        <m:r>
          <m:t>0.783</m:t>
        </m:r>
      </m:oMath>
      <w:r>
        <w:t xml:space="preserve">). In contrast, parameters with weak evidence are shrunk substantially toward</w:t>
      </w:r>
      <w:r>
        <w:t xml:space="preserve"> </w:t>
      </w:r>
      <m:oMath>
        <m:r>
          <m:t>0.5</m:t>
        </m:r>
      </m:oMath>
      <w:r>
        <w:t xml:space="preserve">:</w:t>
      </w:r>
      <w:r>
        <w:t xml:space="preserve"> </w:t>
      </w:r>
      <w:r>
        <w:rPr>
          <w:rStyle w:val="VerbatimChar"/>
        </w:rPr>
        <w:t xml:space="preserve">b_condition1</w:t>
      </w:r>
      <w:r>
        <w:t xml:space="preserve"> </w:t>
      </w:r>
      <w:r>
        <w:t xml:space="preserve">(</w:t>
      </w:r>
      <m:oMath>
        <m:r>
          <m:t>0.651</m:t>
        </m:r>
        <m:r>
          <m:rPr>
            <m:sty m:val="p"/>
          </m:rPr>
          <m:t>→</m:t>
        </m:r>
        <m:r>
          <m:t>0.500</m:t>
        </m:r>
      </m:oMath>
      <w:r>
        <w:t xml:space="preserve">),</w:t>
      </w:r>
      <w:r>
        <w:t xml:space="preserve"> </w:t>
      </w:r>
      <w:r>
        <w:rPr>
          <w:rStyle w:val="VerbatimChar"/>
        </w:rPr>
        <w:t xml:space="preserve">b_congruency1:trial</w:t>
      </w:r>
      <w:r>
        <w:t xml:space="preserve"> </w:t>
      </w:r>
      <w:r>
        <w:t xml:space="preserve">(</w:t>
      </w:r>
      <m:oMath>
        <m:r>
          <m:t>0.721</m:t>
        </m:r>
        <m:r>
          <m:rPr>
            <m:sty m:val="p"/>
          </m:rPr>
          <m:t>→</m:t>
        </m:r>
        <m:r>
          <m:t>0.525</m:t>
        </m:r>
      </m:oMath>
      <w:r>
        <w:t xml:space="preserve">), and the three-way interaction</w:t>
      </w:r>
      <w:r>
        <w:t xml:space="preserve"> </w:t>
      </w:r>
      <w:r>
        <w:rPr>
          <w:rStyle w:val="VerbatimChar"/>
        </w:rPr>
        <w:t xml:space="preserve">b_congruency1:trial:condition1</w:t>
      </w:r>
      <w:r>
        <w:t xml:space="preserve"> </w:t>
      </w:r>
      <w:r>
        <w:t xml:space="preserve">(</w:t>
      </w:r>
      <m:oMath>
        <m:r>
          <m:t>0.596</m:t>
        </m:r>
        <m:r>
          <m:rPr>
            <m:sty m:val="p"/>
          </m:rPr>
          <m:t>→</m:t>
        </m:r>
        <m:r>
          <m:t>0.500</m:t>
        </m:r>
      </m:oMath>
      <w:r>
        <w:t xml:space="preserve">).</w:t>
      </w:r>
    </w:p>
    <w:p>
      <w:pPr>
        <w:pStyle w:val="BodyText"/>
      </w:pPr>
      <w:r>
        <w:t xml:space="preserve">A companion function,</w:t>
      </w:r>
      <w:r>
        <w:t xml:space="preserve"> </w:t>
      </w:r>
      <w:r>
        <w:rPr>
          <w:rStyle w:val="VerbatimChar"/>
        </w:rPr>
        <w:t xml:space="preserve">joint()</w:t>
      </w:r>
      <w:r>
        <w:t xml:space="preserve">, computes by default the joint posterior probability of the</w:t>
      </w:r>
      <w:r>
        <w:t xml:space="preserve"> </w:t>
      </w:r>
      <m:oMath>
        <m:r>
          <m:t>k</m:t>
        </m:r>
      </m:oMath>
      <w:r>
        <w:t xml:space="preserve"> </w:t>
      </w:r>
      <w:r>
        <w:t xml:space="preserve">strongest directional claims, for each</w:t>
      </w:r>
      <w:r>
        <w:t xml:space="preserve"> </w:t>
      </w:r>
      <m:oMath>
        <m:r>
          <m:t>k</m:t>
        </m:r>
      </m:oMath>
      <w:r>
        <w:t xml:space="preserve">:</w:t>
      </w:r>
    </w:p>
    <w:p>
      <w:pPr>
        <w:pStyle w:val="SourceCode"/>
      </w:pPr>
      <w:r>
        <w:rPr>
          <w:rStyle w:val="FunctionTok"/>
        </w:rPr>
        <w:t xml:space="preserve">joint</w:t>
      </w:r>
      <w:r>
        <w:rPr>
          <w:rStyle w:val="NormalTok"/>
        </w:rPr>
        <w:t xml:space="preserve">(draws_rt, </w:t>
      </w:r>
      <w:r>
        <w:rPr>
          <w:rStyle w:val="AttributeTok"/>
        </w:rPr>
        <w:t xml:space="preserve">null.value =</w:t>
      </w:r>
      <w:r>
        <w:rPr>
          <w:rStyle w:val="NormalTok"/>
        </w:rPr>
        <w:t xml:space="preserve"> </w:t>
      </w:r>
      <w:r>
        <w:rPr>
          <w:rStyle w:val="DecValTok"/>
        </w:rPr>
        <w:t xml:space="preserve">0</w:t>
      </w:r>
      <w:r>
        <w:rPr>
          <w:rStyle w:val="NormalTok"/>
        </w:rPr>
        <w:t xml:space="preserve">)</w:t>
      </w:r>
    </w:p>
    <w:p>
      <w:pPr>
        <w:pStyle w:val="SourceCode"/>
      </w:pPr>
      <w:r>
        <w:rPr>
          <w:rStyle w:val="VerbatimChar"/>
        </w:rPr>
        <w:t xml:space="preserve">                               median.est null.value     pd direction</w:t>
      </w:r>
      <w:r>
        <w:br/>
      </w:r>
      <w:r>
        <w:rPr>
          <w:rStyle w:val="VerbatimChar"/>
        </w:rPr>
        <w:t xml:space="preserve">b_congruency1                     -0.1439          0 1.0000 two.sided</w:t>
      </w:r>
      <w:r>
        <w:br/>
      </w:r>
      <w:r>
        <w:rPr>
          <w:rStyle w:val="VerbatimChar"/>
        </w:rPr>
        <w:t xml:space="preserve">b_prev_cong1                      -0.0166          0 0.9803 two.sided</w:t>
      </w:r>
      <w:r>
        <w:br/>
      </w:r>
      <w:r>
        <w:rPr>
          <w:rStyle w:val="VerbatimChar"/>
        </w:rPr>
        <w:t xml:space="preserve">b_congruency1:prev_cong1           0.0223          0 0.9583 two.sided</w:t>
      </w:r>
      <w:r>
        <w:br/>
      </w:r>
      <w:r>
        <w:rPr>
          <w:rStyle w:val="VerbatimChar"/>
        </w:rPr>
        <w:t xml:space="preserve">b_trial                            0.0119          0 0.9369 two.sided</w:t>
      </w:r>
      <w:r>
        <w:br/>
      </w:r>
      <w:r>
        <w:rPr>
          <w:rStyle w:val="VerbatimChar"/>
        </w:rPr>
        <w:t xml:space="preserve">b_congruency1:condition1          -0.0166          0 0.9291 two.sided</w:t>
      </w:r>
      <w:r>
        <w:br/>
      </w:r>
      <w:r>
        <w:rPr>
          <w:rStyle w:val="VerbatimChar"/>
        </w:rPr>
        <w:t xml:space="preserve">b_trial:condition1                 0.0071          0 0.8936 two.sided</w:t>
      </w:r>
      <w:r>
        <w:br/>
      </w:r>
      <w:r>
        <w:rPr>
          <w:rStyle w:val="VerbatimChar"/>
        </w:rPr>
        <w:t xml:space="preserve">b_congruency1:trial               -0.0033          0 0.7206 two.sided</w:t>
      </w:r>
      <w:r>
        <w:br/>
      </w:r>
      <w:r>
        <w:rPr>
          <w:rStyle w:val="VerbatimChar"/>
        </w:rPr>
        <w:t xml:space="preserve">b_condition1                       0.0063          0 0.6509 two.sided</w:t>
      </w:r>
      <w:r>
        <w:br/>
      </w:r>
      <w:r>
        <w:rPr>
          <w:rStyle w:val="VerbatimChar"/>
        </w:rPr>
        <w:t xml:space="preserve">b_congruency1:trial:condition1    -0.0028          0 0.5961 two.sided</w:t>
      </w:r>
      <w:r>
        <w:br/>
      </w:r>
      <w:r>
        <w:rPr>
          <w:rStyle w:val="VerbatimChar"/>
        </w:rPr>
        <w:t xml:space="preserve">                               joint_cum</w:t>
      </w:r>
      <w:r>
        <w:br/>
      </w:r>
      <w:r>
        <w:rPr>
          <w:rStyle w:val="VerbatimChar"/>
        </w:rPr>
        <w:t xml:space="preserve">b_congruency1                     1.0000</w:t>
      </w:r>
      <w:r>
        <w:br/>
      </w:r>
      <w:r>
        <w:rPr>
          <w:rStyle w:val="VerbatimChar"/>
        </w:rPr>
        <w:t xml:space="preserve">b_prev_cong1                      0.9803</w:t>
      </w:r>
      <w:r>
        <w:br/>
      </w:r>
      <w:r>
        <w:rPr>
          <w:rStyle w:val="VerbatimChar"/>
        </w:rPr>
        <w:t xml:space="preserve">b_congruency1:prev_cong1          0.9412</w:t>
      </w:r>
      <w:r>
        <w:br/>
      </w:r>
      <w:r>
        <w:rPr>
          <w:rStyle w:val="VerbatimChar"/>
        </w:rPr>
        <w:t xml:space="preserve">b_trial                           0.8812</w:t>
      </w:r>
      <w:r>
        <w:br/>
      </w:r>
      <w:r>
        <w:rPr>
          <w:rStyle w:val="VerbatimChar"/>
        </w:rPr>
        <w:t xml:space="preserve">b_congruency1:condition1          0.8191</w:t>
      </w:r>
      <w:r>
        <w:br/>
      </w:r>
      <w:r>
        <w:rPr>
          <w:rStyle w:val="VerbatimChar"/>
        </w:rPr>
        <w:t xml:space="preserve">b_trial:condition1                0.7340</w:t>
      </w:r>
      <w:r>
        <w:br/>
      </w:r>
      <w:r>
        <w:rPr>
          <w:rStyle w:val="VerbatimChar"/>
        </w:rPr>
        <w:t xml:space="preserve">b_congruency1:trial               0.5366</w:t>
      </w:r>
      <w:r>
        <w:br/>
      </w:r>
      <w:r>
        <w:rPr>
          <w:rStyle w:val="VerbatimChar"/>
        </w:rPr>
        <w:t xml:space="preserve">b_condition1                      0.3532</w:t>
      </w:r>
      <w:r>
        <w:br/>
      </w:r>
      <w:r>
        <w:rPr>
          <w:rStyle w:val="VerbatimChar"/>
        </w:rPr>
        <w:t xml:space="preserve">b_congruency1:trial:condition1    0.2232</w:t>
      </w:r>
    </w:p>
    <w:p>
      <w:pPr>
        <w:pStyle w:val="FirstParagraph"/>
      </w:pPr>
      <w:r>
        <w:t xml:space="preserve">The rows are sorted by decreasing</w:t>
      </w:r>
      <w:r>
        <w:t xml:space="preserve"> </w:t>
      </w:r>
      <m:oMath>
        <m:r>
          <m:t>p</m:t>
        </m:r>
        <m:r>
          <m:t>d</m:t>
        </m:r>
      </m:oMath>
      <w:r>
        <w:t xml:space="preserve">, and the</w:t>
      </w:r>
      <w:r>
        <w:t xml:space="preserve"> </w:t>
      </w:r>
      <w:r>
        <w:rPr>
          <w:rStyle w:val="VerbatimChar"/>
        </w:rPr>
        <w:t xml:space="preserve">joint_cum</w:t>
      </w:r>
      <w:r>
        <w:t xml:space="preserve"> </w:t>
      </w:r>
      <w:r>
        <w:t xml:space="preserve">column reports the posterior probability that the top</w:t>
      </w:r>
      <w:r>
        <w:t xml:space="preserve"> </w:t>
      </w:r>
      <m:oMath>
        <m:r>
          <m:t>k</m:t>
        </m:r>
      </m:oMath>
      <w:r>
        <w:t xml:space="preserve"> </w:t>
      </w:r>
      <w:r>
        <w:t xml:space="preserve">claims hold simultaneously; a high value supports accepting that set of claims as a whole. Here the two strongest claims hold jointly with probability</w:t>
      </w:r>
      <w:r>
        <w:t xml:space="preserve"> </w:t>
      </w:r>
      <m:oMath>
        <m:r>
          <m:t>0.98</m:t>
        </m:r>
      </m:oMath>
      <w:r>
        <w:t xml:space="preserve"> </w:t>
      </w:r>
      <w:r>
        <w:t xml:space="preserve">and the three strongest with</w:t>
      </w:r>
      <w:r>
        <w:t xml:space="preserve"> </w:t>
      </w:r>
      <m:oMath>
        <m:r>
          <m:t>0.94</m:t>
        </m:r>
      </m:oMath>
      <w:r>
        <w:t xml:space="preserve">; the joint probability then declines as weaker claims are added, indicating how many of the leading effects can be reported as a jointly supported set.</w:t>
      </w:r>
    </w:p>
    <w:p>
      <w:pPr>
        <w:pStyle w:val="BodyText"/>
      </w:pPr>
      <w:r>
        <w:t xml:space="preserve">Setting</w:t>
      </w:r>
      <w:r>
        <w:t xml:space="preserve"> </w:t>
      </w:r>
      <w:r>
        <w:rPr>
          <w:rStyle w:val="VerbatimChar"/>
        </w:rPr>
        <w:t xml:space="preserve">interval = TRUE</w:t>
      </w:r>
      <w:r>
        <w:t xml:space="preserve"> </w:t>
      </w:r>
      <w:r>
        <w:t xml:space="preserve">returns simultaneous equi-tailed credible intervals instead:</w:t>
      </w:r>
    </w:p>
    <w:p>
      <w:pPr>
        <w:pStyle w:val="SourceCode"/>
      </w:pPr>
      <w:r>
        <w:rPr>
          <w:rStyle w:val="FunctionTok"/>
        </w:rPr>
        <w:t xml:space="preserve">joint</w:t>
      </w:r>
      <w:r>
        <w:rPr>
          <w:rStyle w:val="NormalTok"/>
        </w:rPr>
        <w:t xml:space="preserve">(draws_rt, </w:t>
      </w:r>
      <w:r>
        <w:rPr>
          <w:rStyle w:val="AttributeTok"/>
        </w:rPr>
        <w:t xml:space="preserve">interval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lower          est        upper</w:t>
      </w:r>
      <w:r>
        <w:br/>
      </w:r>
      <w:r>
        <w:rPr>
          <w:rStyle w:val="VerbatimChar"/>
        </w:rPr>
        <w:t xml:space="preserve">b_congruency1                  -0.191547431 -0.143902841 -0.097013276</w:t>
      </w:r>
      <w:r>
        <w:br/>
      </w:r>
      <w:r>
        <w:rPr>
          <w:rStyle w:val="VerbatimChar"/>
        </w:rPr>
        <w:t xml:space="preserve">b_prev_cong1                   -0.040931203 -0.016649556  0.006550712</w:t>
      </w:r>
      <w:r>
        <w:br/>
      </w:r>
      <w:r>
        <w:rPr>
          <w:rStyle w:val="VerbatimChar"/>
        </w:rPr>
        <w:t xml:space="preserve">b_trial                        -0.010103453  0.011930699  0.034360234</w:t>
      </w:r>
      <w:r>
        <w:br/>
      </w:r>
      <w:r>
        <w:rPr>
          <w:rStyle w:val="VerbatimChar"/>
        </w:rPr>
        <w:t xml:space="preserve">b_condition1                   -0.041911018  0.006263499  0.055382483</w:t>
      </w:r>
      <w:r>
        <w:br/>
      </w:r>
      <w:r>
        <w:rPr>
          <w:rStyle w:val="VerbatimChar"/>
        </w:rPr>
        <w:t xml:space="preserve">b_congruency1:prev_cong1       -0.012481840  0.022342004  0.056749925</w:t>
      </w:r>
      <w:r>
        <w:br/>
      </w:r>
      <w:r>
        <w:rPr>
          <w:rStyle w:val="VerbatimChar"/>
        </w:rPr>
        <w:t xml:space="preserve">b_congruency1:trial            -0.019082492 -0.003316115  0.012417422</w:t>
      </w:r>
      <w:r>
        <w:br/>
      </w:r>
      <w:r>
        <w:rPr>
          <w:rStyle w:val="VerbatimChar"/>
        </w:rPr>
        <w:t xml:space="preserve">b_congruency1:condition1       -0.048854131 -0.016551526  0.015382114</w:t>
      </w:r>
      <w:r>
        <w:br/>
      </w:r>
      <w:r>
        <w:rPr>
          <w:rStyle w:val="VerbatimChar"/>
        </w:rPr>
        <w:t xml:space="preserve">b_trial:condition1             -0.008945797  0.007125574  0.023144055</w:t>
      </w:r>
      <w:r>
        <w:br/>
      </w:r>
      <w:r>
        <w:rPr>
          <w:rStyle w:val="VerbatimChar"/>
        </w:rPr>
        <w:t xml:space="preserve">b_congruency1:trial:condition1 -0.034805697 -0.002829134  0.028034847</w:t>
      </w:r>
      <w:r>
        <w:br/>
      </w:r>
      <w:r>
        <w:rPr>
          <w:rStyle w:val="VerbatimChar"/>
        </w:rPr>
        <w:t xml:space="preserve">                               prob</w:t>
      </w:r>
      <w:r>
        <w:br/>
      </w:r>
      <w:r>
        <w:rPr>
          <w:rStyle w:val="VerbatimChar"/>
        </w:rPr>
        <w:t xml:space="preserve">b_congruency1                  0.95</w:t>
      </w:r>
      <w:r>
        <w:br/>
      </w:r>
      <w:r>
        <w:rPr>
          <w:rStyle w:val="VerbatimChar"/>
        </w:rPr>
        <w:t xml:space="preserve">b_prev_cong1                   0.95</w:t>
      </w:r>
      <w:r>
        <w:br/>
      </w:r>
      <w:r>
        <w:rPr>
          <w:rStyle w:val="VerbatimChar"/>
        </w:rPr>
        <w:t xml:space="preserve">b_trial                        0.95</w:t>
      </w:r>
      <w:r>
        <w:br/>
      </w:r>
      <w:r>
        <w:rPr>
          <w:rStyle w:val="VerbatimChar"/>
        </w:rPr>
        <w:t xml:space="preserve">b_condition1                   0.95</w:t>
      </w:r>
      <w:r>
        <w:br/>
      </w:r>
      <w:r>
        <w:rPr>
          <w:rStyle w:val="VerbatimChar"/>
        </w:rPr>
        <w:t xml:space="preserve">b_congruency1:prev_cong1       0.95</w:t>
      </w:r>
      <w:r>
        <w:br/>
      </w:r>
      <w:r>
        <w:rPr>
          <w:rStyle w:val="VerbatimChar"/>
        </w:rPr>
        <w:t xml:space="preserve">b_congruency1:trial            0.95</w:t>
      </w:r>
      <w:r>
        <w:br/>
      </w:r>
      <w:r>
        <w:rPr>
          <w:rStyle w:val="VerbatimChar"/>
        </w:rPr>
        <w:t xml:space="preserve">b_congruency1:condition1       0.95</w:t>
      </w:r>
      <w:r>
        <w:br/>
      </w:r>
      <w:r>
        <w:rPr>
          <w:rStyle w:val="VerbatimChar"/>
        </w:rPr>
        <w:t xml:space="preserve">b_trial:condition1             0.95</w:t>
      </w:r>
      <w:r>
        <w:br/>
      </w:r>
      <w:r>
        <w:rPr>
          <w:rStyle w:val="VerbatimChar"/>
        </w:rPr>
        <w:t xml:space="preserve">b_congruency1:trial:condition1 0.95</w:t>
      </w:r>
    </w:p>
    <w:p>
      <w:pPr>
        <w:pStyle w:val="FirstParagraph"/>
      </w:pPr>
      <w:r>
        <w:t xml:space="preserve">Under this stricter criterion, only</w:t>
      </w:r>
      <w:r>
        <w:t xml:space="preserve"> </w:t>
      </w:r>
      <w:r>
        <w:rPr>
          <w:rStyle w:val="VerbatimChar"/>
        </w:rPr>
        <w:t xml:space="preserve">b_congruency1</w:t>
      </w:r>
      <w:r>
        <w:t xml:space="preserve"> </w:t>
      </w:r>
      <w:r>
        <w:t xml:space="preserve">excludes zero (simultaneous band</w:t>
      </w:r>
      <w:r>
        <w:t xml:space="preserve"> </w:t>
      </w:r>
      <m:oMath>
        <m:d>
          <m:dPr>
            <m:begChr m:val="["/>
            <m:sepChr m:val=""/>
            <m:endChr m:val="]"/>
            <m:grow/>
          </m:dPr>
          <m:e>
            <m:r>
              <m:rPr>
                <m:sty m:val="p"/>
              </m:rPr>
              <m:t>−</m:t>
            </m:r>
            <m:r>
              <m:t>0.19</m:t>
            </m:r>
            <m:r>
              <m:rPr>
                <m:sty m:val="p"/>
              </m:rPr>
              <m:t>,</m:t>
            </m:r>
            <m:r>
              <m:rPr>
                <m:sty m:val="p"/>
              </m:rPr>
              <m:t>−</m:t>
            </m:r>
            <m:r>
              <m:t>0.10</m:t>
            </m:r>
          </m:e>
        </m:d>
      </m:oMath>
      <w:r>
        <w:t xml:space="preserve">).</w:t>
      </w:r>
    </w:p>
    <w:bookmarkEnd w:id="78"/>
    <w:bookmarkStart w:id="88" w:name="discussion"/>
    <w:p>
      <w:pPr>
        <w:pStyle w:val="Heading1"/>
      </w:pPr>
      <w:r>
        <w:t xml:space="preserve">Discussion</w:t>
      </w:r>
    </w:p>
    <w:p>
      <w:pPr>
        <w:pStyle w:val="FirstParagraph"/>
      </w:pPr>
      <w:r>
        <w:t xml:space="preserve">The probability of direction (</w:t>
      </w:r>
      <m:oMath>
        <m:r>
          <m:t>p</m:t>
        </m:r>
        <m:r>
          <m:t>d</m:t>
        </m:r>
      </m:oMath>
      <w:r>
        <w:t xml:space="preserve">) is the posterior mass on the data-favored side of a reference null value, equivalently, the larger of the two one-sided posterior probabilities. Under within-model prior symmetry each such data-selected hypothesis is evaluated under prior odds of one, so that the procedure attributes equal a priori plausibility to the direction selected after inspection of the data. In this scenario, if multiple hypothesis are tested, the procedure becomes a priori almost certain that at least one favored direction is genuine. The approach developed here addresses this by recasting multiplicity as a problem of prior specification: building on the foundational work of</w:t>
      </w:r>
      <w:r>
        <w:t xml:space="preserve"> </w:t>
      </w:r>
      <w:r>
        <w:t xml:space="preserve">Jeffreys (</w:t>
      </w:r>
      <w:hyperlink w:anchor="ref-Jeffreys1938">
        <w:r>
          <w:rPr>
            <w:rStyle w:val="Hyperlink"/>
          </w:rPr>
          <w:t xml:space="preserve">1938</w:t>
        </w:r>
      </w:hyperlink>
      <w:r>
        <w:t xml:space="preserve">; see also</w:t>
      </w:r>
      <w:r>
        <w:t xml:space="preserve"> </w:t>
      </w:r>
      <w:hyperlink w:anchor="ref-Westfall1997">
        <w:r>
          <w:rPr>
            <w:rStyle w:val="Hyperlink"/>
          </w:rPr>
          <w:t xml:space="preserve">Westfall et al., 1997</w:t>
        </w:r>
      </w:hyperlink>
      <w:r>
        <w:t xml:space="preserve">)</w:t>
      </w:r>
      <w:r>
        <w:t xml:space="preserve"> </w:t>
      </w:r>
      <w:r>
        <w:t xml:space="preserve">and Bayesian approaches to FDR control</w:t>
      </w:r>
      <w:r>
        <w:t xml:space="preserve"> </w:t>
      </w:r>
      <w:r>
        <w:t xml:space="preserve">(</w:t>
      </w:r>
      <w:hyperlink w:anchor="ref-Abraham2022">
        <w:r>
          <w:rPr>
            <w:rStyle w:val="Hyperlink"/>
          </w:rPr>
          <w:t xml:space="preserve">Abraham et al., 2022</w:t>
        </w:r>
      </w:hyperlink>
      <w:r>
        <w:t xml:space="preserve">;</w:t>
      </w:r>
      <w:r>
        <w:t xml:space="preserve"> </w:t>
      </w:r>
      <w:hyperlink w:anchor="ref-Efron2001">
        <w:r>
          <w:rPr>
            <w:rStyle w:val="Hyperlink"/>
          </w:rPr>
          <w:t xml:space="preserve">Efron et al., 2001</w:t>
        </w:r>
      </w:hyperlink>
      <w:r>
        <w:t xml:space="preserve">;</w:t>
      </w:r>
      <w:r>
        <w:t xml:space="preserve"> </w:t>
      </w:r>
      <w:hyperlink w:anchor="ref-Guo2010">
        <w:r>
          <w:rPr>
            <w:rStyle w:val="Hyperlink"/>
          </w:rPr>
          <w:t xml:space="preserve">Guo &amp; Heitjan, 2010</w:t>
        </w:r>
      </w:hyperlink>
      <w:r>
        <w:t xml:space="preserve">;</w:t>
      </w:r>
      <w:r>
        <w:t xml:space="preserve"> </w:t>
      </w:r>
      <w:hyperlink w:anchor="ref-Scott2006">
        <w:r>
          <w:rPr>
            <w:rStyle w:val="Hyperlink"/>
          </w:rPr>
          <w:t xml:space="preserve">Scott &amp; Berger, 2006</w:t>
        </w:r>
      </w:hyperlink>
      <w:r>
        <w:t xml:space="preserve">;</w:t>
      </w:r>
      <w:r>
        <w:t xml:space="preserve"> </w:t>
      </w:r>
      <w:hyperlink w:anchor="ref-Scott2010">
        <w:r>
          <w:rPr>
            <w:rStyle w:val="Hyperlink"/>
          </w:rPr>
          <w:t xml:space="preserve">Scott &amp; Berger, 2010</w:t>
        </w:r>
      </w:hyperlink>
      <w:r>
        <w:t xml:space="preserve">;</w:t>
      </w:r>
      <w:r>
        <w:t xml:space="preserve"> </w:t>
      </w:r>
      <w:hyperlink w:anchor="ref-Stephens2017">
        <w:r>
          <w:rPr>
            <w:rStyle w:val="Hyperlink"/>
          </w:rPr>
          <w:t xml:space="preserve">Stephens, 2017</w:t>
        </w:r>
      </w:hyperlink>
      <w:r>
        <w:t xml:space="preserve">;</w:t>
      </w:r>
      <w:r>
        <w:t xml:space="preserve"> </w:t>
      </w:r>
      <w:hyperlink w:anchor="ref-Storey2002">
        <w:r>
          <w:rPr>
            <w:rStyle w:val="Hyperlink"/>
          </w:rPr>
          <w:t xml:space="preserve">Storey, 2002</w:t>
        </w:r>
      </w:hyperlink>
      <w:r>
        <w:t xml:space="preserve">,</w:t>
      </w:r>
      <w:r>
        <w:t xml:space="preserve"> </w:t>
      </w:r>
      <w:hyperlink w:anchor="ref-Storey2003">
        <w:r>
          <w:rPr>
            <w:rStyle w:val="Hyperlink"/>
          </w:rPr>
          <w:t xml:space="preserve">2003</w:t>
        </w:r>
      </w:hyperlink>
      <w:r>
        <w:t xml:space="preserve">)</w:t>
      </w:r>
      <w:r>
        <w:t xml:space="preserve">, the correction requires researchers to specify the prior proportion of effects expected to be null. Making this prior explicit serves two purposes. For researchers using diffuse within-model priors, it provides a principled way to encode skepticism at the family level without committing to informative priors on individual parameters. For researchers who judge the implicit prior appropriate and decline the adjustment, it nonetheless renders that commitment transparent.</w:t>
      </w:r>
    </w:p>
    <w:p>
      <w:pPr>
        <w:pStyle w:val="BodyText"/>
      </w:pPr>
      <w:r>
        <w:t xml:space="preserve">Related corrections have been implemented for specific testing contexts, such as post-hoc tests in JASP</w:t>
      </w:r>
      <w:r>
        <w:t xml:space="preserve"> </w:t>
      </w:r>
      <w:r>
        <w:t xml:space="preserve">(</w:t>
      </w:r>
      <w:hyperlink w:anchor="ref-deJong2019">
        <w:r>
          <w:rPr>
            <w:rStyle w:val="Hyperlink"/>
          </w:rPr>
          <w:t xml:space="preserve">Jong, 2019</w:t>
        </w:r>
      </w:hyperlink>
      <w:r>
        <w:t xml:space="preserve">;</w:t>
      </w:r>
      <w:r>
        <w:t xml:space="preserve"> </w:t>
      </w:r>
      <w:hyperlink w:anchor="ref-Bergh2020">
        <w:r>
          <w:rPr>
            <w:rStyle w:val="Hyperlink"/>
          </w:rPr>
          <w:t xml:space="preserve">van den Bergh et al., 2020</w:t>
        </w:r>
      </w:hyperlink>
      <w:r>
        <w:t xml:space="preserve">)</w:t>
      </w:r>
      <w:r>
        <w:t xml:space="preserve">. The present procedure extends this logic to</w:t>
      </w:r>
      <w:r>
        <w:t xml:space="preserve"> </w:t>
      </w:r>
      <m:oMath>
        <m:r>
          <m:t>p</m:t>
        </m:r>
        <m:r>
          <m:t>d</m:t>
        </m:r>
      </m:oMath>
      <w:r>
        <w:t xml:space="preserve"> </w:t>
      </w:r>
      <w:r>
        <w:t xml:space="preserve">and provides a general-purpose implementation for applied use, applicable to directly to posterior draws or any posterior-derived</w:t>
      </w:r>
      <w:r>
        <w:t xml:space="preserve"> </w:t>
      </w:r>
      <m:oMath>
        <m:r>
          <m:t>p</m:t>
        </m:r>
        <m:r>
          <m:t>d</m:t>
        </m:r>
      </m:oMath>
      <w:r>
        <w:t xml:space="preserve">, including cases where</w:t>
      </w:r>
      <w:r>
        <w:t xml:space="preserve"> </w:t>
      </w:r>
      <m:oMath>
        <m:r>
          <m:t>p</m:t>
        </m:r>
        <m:r>
          <m:t>d</m:t>
        </m:r>
      </m:oMath>
      <w:r>
        <w:t xml:space="preserve"> </w:t>
      </w:r>
      <w:r>
        <w:t xml:space="preserve">values arise from multiple separate analyses within the same manuscript</w:t>
      </w:r>
      <w:r>
        <w:t xml:space="preserve"> </w:t>
      </w:r>
      <w:r>
        <w:t xml:space="preserve">(</w:t>
      </w:r>
      <w:hyperlink w:anchor="ref-Philippe2021">
        <w:r>
          <w:rPr>
            <w:rStyle w:val="Hyperlink"/>
          </w:rPr>
          <w:t xml:space="preserve">Blondé et al., 2021</w:t>
        </w:r>
      </w:hyperlink>
      <w:r>
        <w:t xml:space="preserve">;</w:t>
      </w:r>
      <w:r>
        <w:t xml:space="preserve"> </w:t>
      </w:r>
      <w:hyperlink w:anchor="ref-Ciranka2026">
        <w:r>
          <w:rPr>
            <w:rStyle w:val="Hyperlink"/>
          </w:rPr>
          <w:t xml:space="preserve">Ciranka et al., 2026</w:t>
        </w:r>
      </w:hyperlink>
      <w:r>
        <w:t xml:space="preserve">)</w:t>
      </w:r>
      <w:r>
        <w:t xml:space="preserve">. This raises the question of how to define the hypothesis family to which the correction applies</w:t>
      </w:r>
      <w:r>
        <w:t xml:space="preserve"> </w:t>
      </w:r>
      <w:r>
        <w:t xml:space="preserve">(</w:t>
      </w:r>
      <w:hyperlink w:anchor="ref-Hochberg1987">
        <w:r>
          <w:rPr>
            <w:rStyle w:val="Hyperlink"/>
          </w:rPr>
          <w:t xml:space="preserve">Hochberg &amp; Tamhane, 1987</w:t>
        </w:r>
      </w:hyperlink>
      <w:r>
        <w:t xml:space="preserve">;</w:t>
      </w:r>
      <w:r>
        <w:t xml:space="preserve"> </w:t>
      </w:r>
      <w:hyperlink w:anchor="ref-Shaffer1995">
        <w:r>
          <w:rPr>
            <w:rStyle w:val="Hyperlink"/>
          </w:rPr>
          <w:t xml:space="preserve">Shaffer, 1995</w:t>
        </w:r>
      </w:hyperlink>
      <w:r>
        <w:t xml:space="preserve">)</w:t>
      </w:r>
      <w:r>
        <w:t xml:space="preserve">. Although no universal consensus exists regarding what constitutes a family, we favor the criteria proposed by</w:t>
      </w:r>
      <w:r>
        <w:t xml:space="preserve"> </w:t>
      </w:r>
      <w:r>
        <w:t xml:space="preserve">Westfall et al. (</w:t>
      </w:r>
      <w:hyperlink w:anchor="ref-Westfall2011">
        <w:r>
          <w:rPr>
            <w:rStyle w:val="Hyperlink"/>
          </w:rPr>
          <w:t xml:space="preserve">2011</w:t>
        </w:r>
      </w:hyperlink>
      <w:r>
        <w:t xml:space="preserve">)</w:t>
      </w:r>
      <w:r>
        <w:t xml:space="preserve">, where a family is a set of questions that</w:t>
      </w:r>
      <w:r>
        <w:t xml:space="preserve"> </w:t>
      </w:r>
      <w:r>
        <w:rPr>
          <w:i/>
          <w:iCs/>
        </w:rPr>
        <w:t xml:space="preserve">“form a natural and coherent unit, [are] considered simultaneously in the decision-making process, and/or present a set over which one plays pick-the-winner”</w:t>
      </w:r>
      <w:r>
        <w:t xml:space="preserve">. Regardless of the chosen definition, authors should clearly specify their chosen family and explain how it serves the study’s substantive goals.</w:t>
      </w:r>
    </w:p>
    <w:p>
      <w:pPr>
        <w:pStyle w:val="BodyText"/>
      </w:pPr>
      <w:r>
        <w:t xml:space="preserve">We further recommend that researchers justify their choice of</w:t>
      </w:r>
      <w:r>
        <w:t xml:space="preserve"> </w:t>
      </w:r>
      <m:oMath>
        <m:sSub>
          <m:e>
            <m:r>
              <m:t>π</m:t>
            </m:r>
          </m:e>
          <m:sub>
            <m:r>
              <m:t>0</m:t>
            </m:r>
          </m:sub>
        </m:sSub>
      </m:oMath>
      <w:r>
        <w:t xml:space="preserve">, the prior proportion of effects expected to be null, by drawing on theory, expert elicitation, or domain expertise</w:t>
      </w:r>
      <w:r>
        <w:t xml:space="preserve"> </w:t>
      </w:r>
      <w:r>
        <w:t xml:space="preserve">(</w:t>
      </w:r>
      <w:hyperlink w:anchor="ref-Hagan2019">
        <w:r>
          <w:rPr>
            <w:rStyle w:val="Hyperlink"/>
          </w:rPr>
          <w:t xml:space="preserve">O’Hagan, 2019</w:t>
        </w:r>
      </w:hyperlink>
      <w:r>
        <w:t xml:space="preserve">)</w:t>
      </w:r>
      <w:r>
        <w:t xml:space="preserve">. More generally, a high prior probability suits exploratory settings with many uncertain hypotheses, while a lower value is warranted in confirmatory settings. For applied reporting, the unadjusted</w:t>
      </w:r>
      <w:r>
        <w:t xml:space="preserve"> </w:t>
      </w:r>
      <m:oMath>
        <m:r>
          <m:t>p</m:t>
        </m:r>
        <m:r>
          <m:t>d</m:t>
        </m:r>
      </m:oMath>
      <w:r>
        <w:t xml:space="preserve"> </w:t>
      </w:r>
      <w:r>
        <w:t xml:space="preserve">should accompany one multiplicity-adjusted measure, with the number of tests and</w:t>
      </w:r>
      <w:r>
        <w:t xml:space="preserve"> </w:t>
      </w:r>
      <m:oMath>
        <m:sSub>
          <m:e>
            <m:r>
              <m:t>π</m:t>
            </m:r>
          </m:e>
          <m:sub>
            <m:r>
              <m:t>0</m:t>
            </m:r>
          </m:sub>
        </m:sSub>
      </m:oMath>
      <w:r>
        <w:t xml:space="preserve"> </w:t>
      </w:r>
      <w:r>
        <w:t xml:space="preserve">clearly stated.</w:t>
      </w:r>
    </w:p>
    <w:p>
      <w:pPr>
        <w:pStyle w:val="BodyText"/>
      </w:pPr>
      <w:r>
        <w:t xml:space="preserve">Although our approach derives from the Bayesian FDR literature, it differs from it in a fundamental respect. There,</w:t>
      </w:r>
      <w:r>
        <w:t xml:space="preserve"> </w:t>
      </w:r>
      <m:oMath>
        <m:sSub>
          <m:e>
            <m:r>
              <m:t>π</m:t>
            </m:r>
          </m:e>
          <m:sub>
            <m:r>
              <m:t>0</m:t>
            </m:r>
          </m:sub>
        </m:sSub>
      </m:oMath>
      <w:r>
        <w:t xml:space="preserve"> </w:t>
      </w:r>
      <w:r>
        <w:t xml:space="preserve">itself carries a prior distribution and is typically estimated from the data; here, it is specified by the user. The good frequentist properties of our procedure therefore hold only when the user-specified</w:t>
      </w:r>
      <w:r>
        <w:t xml:space="preserve"> </w:t>
      </w:r>
      <m:oMath>
        <m:sSub>
          <m:e>
            <m:r>
              <m:t>π</m:t>
            </m:r>
          </m:e>
          <m:sub>
            <m:r>
              <m:t>0</m:t>
            </m:r>
          </m:sub>
        </m:sSub>
      </m:oMath>
      <w:r>
        <w:t xml:space="preserve"> </w:t>
      </w:r>
      <w:r>
        <w:t xml:space="preserve">is approximately correct. A researcher may instead deliberately adopt a more skeptical prior, tightening control of Type I error at the cost of higher Type II error; the optimal value depends on the relative costs of the two.</w:t>
      </w:r>
    </w:p>
    <w:p>
      <w:pPr>
        <w:pStyle w:val="BodyText"/>
      </w:pPr>
      <w:r>
        <w:t xml:space="preserve">Two limitations of the present framework warrant attention. First, the procedure assumes that all hypotheses are exchangeable. Exchangeability means each hypothesis receives the same prior penalty, even when some effects are regarded as more plausible a priori than others. Because the penalty shrinks weak evidence far more than strong evidence, genuine effects with strong support still survive; the price of a uniform proportion is therefore a modest loss of power on hypotheses one believes more likely to be true, rather than a loss of error control, which is preserved as long as the specified proportion is reasonable. Accommodating differential prior plausibility would require specifying and calibrating a separate</w:t>
      </w:r>
      <w:r>
        <w:t xml:space="preserve"> </w:t>
      </w:r>
      <m:oMath>
        <m:sSub>
          <m:e>
            <m:r>
              <m:t>π</m:t>
            </m:r>
          </m:e>
          <m:sub>
            <m:r>
              <m:t>0</m:t>
            </m:r>
          </m:sub>
        </m:sSub>
      </m:oMath>
      <w:r>
        <w:t xml:space="preserve"> </w:t>
      </w:r>
      <w:r>
        <w:t xml:space="preserve">for each test, with the realized error rate then governed by every individual value.</w:t>
      </w:r>
    </w:p>
    <w:p>
      <w:pPr>
        <w:pStyle w:val="BodyText"/>
      </w:pPr>
      <w:r>
        <w:t xml:space="preserve">Second, it does not provide evidence for a point null hypothesis. The procedure evaluates directional claims defined by inequalities (e.g.,</w:t>
      </w:r>
      <w:r>
        <w:t xml:space="preserve"> </w:t>
      </w:r>
      <m:oMath>
        <m:r>
          <m:t>θ</m:t>
        </m:r>
        <m:r>
          <m:rPr>
            <m:sty m:val="p"/>
          </m:rPr>
          <m:t>&gt;</m:t>
        </m:r>
        <m:sSub>
          <m:e>
            <m:r>
              <m:t>θ</m:t>
            </m:r>
          </m:e>
          <m:sub>
            <m:r>
              <m:rPr>
                <m:nor/>
                <m:sty m:val="p"/>
              </m:rPr>
              <m:t>null</m:t>
            </m:r>
          </m:sub>
        </m:sSub>
      </m:oMath>
      <w:r>
        <w:t xml:space="preserve"> </w:t>
      </w:r>
      <w:r>
        <w:t xml:space="preserve">vs. </w:t>
      </w:r>
      <m:oMath>
        <m:r>
          <m:t>θ</m:t>
        </m:r>
        <m:r>
          <m:rPr>
            <m:sty m:val="p"/>
          </m:rPr>
          <m:t>≤</m:t>
        </m:r>
        <m:sSub>
          <m:e>
            <m:r>
              <m:t>θ</m:t>
            </m:r>
          </m:e>
          <m:sub>
            <m:r>
              <m:rPr>
                <m:nor/>
                <m:sty m:val="p"/>
              </m:rPr>
              <m:t>null</m:t>
            </m:r>
          </m:sub>
        </m:sSub>
      </m:oMath>
      <w:r>
        <w:t xml:space="preserve">), and while the complementary hypothesis includes the null value, that value receives no special status; non-rejection therefore reflects the absence of a directional discovery, not evidence in favor of</w:t>
      </w:r>
      <w:r>
        <w:t xml:space="preserve"> </w:t>
      </w:r>
      <m:oMath>
        <m:r>
          <m:t>θ</m:t>
        </m:r>
        <m:r>
          <m:rPr>
            <m:sty m:val="p"/>
          </m:rPr>
          <m:t>=</m:t>
        </m:r>
        <m:sSub>
          <m:e>
            <m:r>
              <m:t>θ</m:t>
            </m:r>
          </m:e>
          <m:sub>
            <m:r>
              <m:rPr>
                <m:nor/>
                <m:sty m:val="p"/>
              </m:rPr>
              <m:t>null</m:t>
            </m:r>
          </m:sub>
        </m:sSub>
      </m:oMath>
      <w:r>
        <w:t xml:space="preserve">. It bears noting, however, that the prior-odds correction itself is not new, it applies a classical multiplicity strategy</w:t>
      </w:r>
      <w:r>
        <w:t xml:space="preserve"> </w:t>
      </w:r>
      <w:r>
        <w:t xml:space="preserve">(</w:t>
      </w:r>
      <w:hyperlink w:anchor="ref-Jeffreys1938">
        <w:r>
          <w:rPr>
            <w:rStyle w:val="Hyperlink"/>
          </w:rPr>
          <w:t xml:space="preserve">Jeffreys, 1938</w:t>
        </w:r>
      </w:hyperlink>
      <w:r>
        <w:t xml:space="preserve">;</w:t>
      </w:r>
      <w:r>
        <w:t xml:space="preserve"> </w:t>
      </w:r>
      <w:hyperlink w:anchor="ref-deJong2019">
        <w:r>
          <w:rPr>
            <w:rStyle w:val="Hyperlink"/>
          </w:rPr>
          <w:t xml:space="preserve">Jong, 2019</w:t>
        </w:r>
      </w:hyperlink>
      <w:r>
        <w:t xml:space="preserve">;</w:t>
      </w:r>
      <w:r>
        <w:t xml:space="preserve"> </w:t>
      </w:r>
      <w:hyperlink w:anchor="ref-Westfall1997">
        <w:r>
          <w:rPr>
            <w:rStyle w:val="Hyperlink"/>
          </w:rPr>
          <w:t xml:space="preserve">Westfall et al., 1997</w:t>
        </w:r>
      </w:hyperlink>
      <w:r>
        <w:t xml:space="preserve">)</w:t>
      </w:r>
      <w:r>
        <w:t xml:space="preserve"> </w:t>
      </w:r>
      <w:r>
        <w:t xml:space="preserve">to the probability of direction, and, because it acts on the prior odds alone, it extends in principle to other Bayes factor approaches</w:t>
      </w:r>
      <w:r>
        <w:t xml:space="preserve"> </w:t>
      </w:r>
      <w:r>
        <w:t xml:space="preserve">(</w:t>
      </w:r>
      <w:hyperlink w:anchor="ref-Dienes2016">
        <w:r>
          <w:rPr>
            <w:rStyle w:val="Hyperlink"/>
          </w:rPr>
          <w:t xml:space="preserve">Dienes, 2016</w:t>
        </w:r>
      </w:hyperlink>
      <w:r>
        <w:t xml:space="preserve">;</w:t>
      </w:r>
      <w:r>
        <w:t xml:space="preserve"> </w:t>
      </w:r>
      <w:hyperlink w:anchor="ref-Heck2023">
        <w:r>
          <w:rPr>
            <w:rStyle w:val="Hyperlink"/>
          </w:rPr>
          <w:t xml:space="preserve">Heck et al., 2023</w:t>
        </w:r>
      </w:hyperlink>
      <w:r>
        <w:t xml:space="preserve">;</w:t>
      </w:r>
      <w:r>
        <w:t xml:space="preserve"> </w:t>
      </w:r>
      <w:hyperlink w:anchor="ref-Ly2016">
        <w:r>
          <w:rPr>
            <w:rStyle w:val="Hyperlink"/>
          </w:rPr>
          <w:t xml:space="preserve">Ly et al., 2016</w:t>
        </w:r>
      </w:hyperlink>
      <w:r>
        <w:t xml:space="preserve">;</w:t>
      </w:r>
      <w:r>
        <w:t xml:space="preserve"> </w:t>
      </w:r>
      <w:hyperlink w:anchor="ref-Morey2011">
        <w:r>
          <w:rPr>
            <w:rStyle w:val="Hyperlink"/>
          </w:rPr>
          <w:t xml:space="preserve">Morey &amp; Rouder, 2011</w:t>
        </w:r>
      </w:hyperlink>
      <w:r>
        <w:t xml:space="preserve">)</w:t>
      </w:r>
      <w:r>
        <w:t xml:space="preserve">. When joint modeling is feasible, an alternative is to integrate evidence across hypotheses through joint posterior probabilities</w:t>
      </w:r>
      <w:r>
        <w:t xml:space="preserve"> </w:t>
      </w:r>
      <w:r>
        <w:t xml:space="preserve">(</w:t>
      </w:r>
      <w:hyperlink w:anchor="ref-Box1992">
        <w:r>
          <w:rPr>
            <w:rStyle w:val="Hyperlink"/>
          </w:rPr>
          <w:t xml:space="preserve">Box &amp; Tiao, 1992</w:t>
        </w:r>
      </w:hyperlink>
      <w:r>
        <w:t xml:space="preserve">;</w:t>
      </w:r>
      <w:r>
        <w:t xml:space="preserve"> </w:t>
      </w:r>
      <w:hyperlink w:anchor="ref-Gelman2000">
        <w:r>
          <w:rPr>
            <w:rStyle w:val="Hyperlink"/>
          </w:rPr>
          <w:t xml:space="preserve">Gelman &amp; Tuerlinckx, 2000</w:t>
        </w:r>
      </w:hyperlink>
      <w:r>
        <w:t xml:space="preserve">;</w:t>
      </w:r>
      <w:r>
        <w:t xml:space="preserve"> </w:t>
      </w:r>
      <w:hyperlink w:anchor="ref-Pruzek2016">
        <w:r>
          <w:rPr>
            <w:rStyle w:val="Hyperlink"/>
          </w:rPr>
          <w:t xml:space="preserve">Pruzek, 2016</w:t>
        </w:r>
      </w:hyperlink>
      <w:r>
        <w:t xml:space="preserve">;</w:t>
      </w:r>
      <w:r>
        <w:t xml:space="preserve"> </w:t>
      </w:r>
      <w:hyperlink w:anchor="ref-Schnell2020">
        <w:r>
          <w:rPr>
            <w:rStyle w:val="Hyperlink"/>
          </w:rPr>
          <w:t xml:space="preserve">Schnell et al., 2020</w:t>
        </w:r>
      </w:hyperlink>
      <w:r>
        <w:t xml:space="preserve">)</w:t>
      </w:r>
      <w:r>
        <w:t xml:space="preserve">.</w:t>
      </w:r>
    </w:p>
    <w:p>
      <w:pPr>
        <w:pStyle w:val="BodyText"/>
      </w:pPr>
      <w:r>
        <w:t xml:space="preserve">As Bayesian methods become increasingly common in psychological research, often in pragmatic workflows relying on default priors and fixed decision thresholds, the implications of multiplicity should be explicitly recognized. Additionally, although priors may be well-calibrated at the level of individual parameters, they do not by themselves account for multiplicity when many parameters are considered simultaneously. Ignoring this aspect leads fixed</w:t>
      </w:r>
      <w:r>
        <w:t xml:space="preserve"> </w:t>
      </w:r>
      <m:oMath>
        <m:r>
          <m:t>p</m:t>
        </m:r>
        <m:r>
          <m:t>d</m:t>
        </m:r>
      </m:oMath>
      <w:r>
        <w:t xml:space="preserve"> </w:t>
      </w:r>
      <w:r>
        <w:t xml:space="preserve">thresholds to systematically overstate evidence for directional effects, especially as the number of tests grows. The adjustment proposed here addresses this gap by incorporating prior beliefs about the prevalence of null effects directly into</w:t>
      </w:r>
      <w:r>
        <w:t xml:space="preserve"> </w:t>
      </w:r>
      <m:oMath>
        <m:r>
          <m:t>p</m:t>
        </m:r>
        <m:r>
          <m:t>d</m:t>
        </m:r>
      </m:oMath>
      <w:r>
        <w:t xml:space="preserve">-based decisions. By doing so, it provides a principled and transparent way to account for multiplicity without altering the estimation model, yielding more reliable inferences in multi-parameter settings and reducing the risk that apparent effects reflect chance rather than substantive signals.</w:t>
      </w:r>
    </w:p>
    <w:bookmarkStart w:id="80" w:name="author-contributions"/>
    <w:p>
      <w:pPr>
        <w:pStyle w:val="Heading3"/>
      </w:pPr>
      <w:r>
        <w:t xml:space="preserve">Author Contributions</w:t>
      </w:r>
    </w:p>
    <w:p>
      <w:pPr>
        <w:pStyle w:val="FirstParagraph"/>
      </w:pPr>
      <w:r>
        <w:t xml:space="preserve">Author roles were classified using the Contributor Roles Taxonomy (CRediT;</w:t>
      </w:r>
      <w:r>
        <w:t xml:space="preserve"> </w:t>
      </w:r>
      <w:hyperlink r:id="rId79">
        <w:r>
          <w:rPr>
            <w:rStyle w:val="Hyperlink"/>
          </w:rPr>
          <w:t xml:space="preserve">https://credit.niso.org/</w:t>
        </w:r>
      </w:hyperlink>
      <w:r>
        <w:t xml:space="preserve">) as follows — Conceptualization: M. Calderan and G. Altoè; Methodology: M. Calderan, F. Gambarota, and L. Finos; Software: M. Calderan and F. Gambarota; Writing - Original Draft: M. Calderan; Writing - Review &amp; Editing: F. Gambarota, L. Finos, and G. Altoè; Visualization: M. Calderan; Supervision: L. Finos and G. Altoè. All authors approved the final version of the manuscript and agree to be accountable for the work.</w:t>
      </w:r>
    </w:p>
    <w:bookmarkEnd w:id="80"/>
    <w:bookmarkStart w:id="81" w:name="conflicts-of-interest"/>
    <w:p>
      <w:pPr>
        <w:pStyle w:val="Heading3"/>
      </w:pPr>
      <w:r>
        <w:t xml:space="preserve">Conflicts of Interest</w:t>
      </w:r>
    </w:p>
    <w:p>
      <w:pPr>
        <w:pStyle w:val="FirstParagraph"/>
      </w:pPr>
      <w:r>
        <w:t xml:space="preserve">The authors declare that there were no conflicts of interest with respect to the authorship or the publication of this article.</w:t>
      </w:r>
    </w:p>
    <w:bookmarkEnd w:id="81"/>
    <w:bookmarkStart w:id="82" w:name="acknowledgments"/>
    <w:p>
      <w:pPr>
        <w:pStyle w:val="Heading3"/>
      </w:pPr>
      <w:r>
        <w:t xml:space="preserve">Acknowledgments</w:t>
      </w:r>
    </w:p>
    <w:p>
      <w:pPr>
        <w:pStyle w:val="FirstParagraph"/>
      </w:pPr>
      <w:r>
        <w:t xml:space="preserve">We are grateful to Jelle Goeman, Giovanni Parmigiani and Enrico Toffalini for insightful comments and discussion throughout the development of this work. We also thank Laura Sità and Matteo Manente for helpful feedback on earlier versions of the manuscript. The</w:t>
      </w:r>
      <w:r>
        <w:t xml:space="preserve"> </w:t>
      </w:r>
      <w:r>
        <w:rPr>
          <w:rStyle w:val="VerbatimChar"/>
        </w:rPr>
        <w:t xml:space="preserve">multibayes</w:t>
      </w:r>
      <w:r>
        <w:t xml:space="preserve"> </w:t>
      </w:r>
      <w:r>
        <w:t xml:space="preserve">package code was reviewed and debugged with the assistance of AI tools.</w:t>
      </w:r>
    </w:p>
    <w:bookmarkEnd w:id="82"/>
    <w:bookmarkStart w:id="84" w:name="prior-versions"/>
    <w:p>
      <w:pPr>
        <w:pStyle w:val="Heading3"/>
      </w:pPr>
      <w:r>
        <w:t xml:space="preserve">Prior Versions</w:t>
      </w:r>
    </w:p>
    <w:p>
      <w:pPr>
        <w:pStyle w:val="FirstParagraph"/>
      </w:pPr>
      <w:r>
        <w:t xml:space="preserve">A version of this manuscript is posted as a preprint on PsyArXiv at</w:t>
      </w:r>
      <w:r>
        <w:t xml:space="preserve"> </w:t>
      </w:r>
      <w:hyperlink r:id="rId83">
        <w:r>
          <w:rPr>
            <w:rStyle w:val="Hyperlink"/>
          </w:rPr>
          <w:t xml:space="preserve">https://osf.io/preprints/psyarxiv/8zwx2_v2</w:t>
        </w:r>
      </w:hyperlink>
      <w:r>
        <w:t xml:space="preserve">. The submitted manuscript shares its full content with that preprint.</w:t>
      </w:r>
    </w:p>
    <w:bookmarkEnd w:id="84"/>
    <w:bookmarkStart w:id="87" w:name="open-materials"/>
    <w:p>
      <w:pPr>
        <w:pStyle w:val="Heading3"/>
      </w:pPr>
      <w:r>
        <w:t xml:space="preserve">Open Materials</w:t>
      </w:r>
    </w:p>
    <w:p>
      <w:pPr>
        <w:pStyle w:val="FirstParagraph"/>
      </w:pPr>
      <w:r>
        <w:t xml:space="preserve">Code is openly available in the</w:t>
      </w:r>
      <w:r>
        <w:t xml:space="preserve"> </w:t>
      </w:r>
      <w:r>
        <w:rPr>
          <w:i/>
          <w:iCs/>
        </w:rPr>
        <w:t xml:space="preserve">multibayes</w:t>
      </w:r>
      <w:r>
        <w:t xml:space="preserve"> </w:t>
      </w:r>
      <w:r>
        <w:t xml:space="preserve">repository on GitHub at</w:t>
      </w:r>
      <w:r>
        <w:t xml:space="preserve"> </w:t>
      </w:r>
      <w:hyperlink r:id="rId85">
        <w:r>
          <w:rPr>
            <w:rStyle w:val="Hyperlink"/>
          </w:rPr>
          <w:t xml:space="preserve">https://github.com/mar-cald/multibayes</w:t>
        </w:r>
      </w:hyperlink>
      <w:r>
        <w:t xml:space="preserve">, and in the OSF repository at</w:t>
      </w:r>
      <w:r>
        <w:t xml:space="preserve"> </w:t>
      </w:r>
      <w:hyperlink r:id="rId86">
        <w:r>
          <w:rPr>
            <w:rStyle w:val="Hyperlink"/>
          </w:rPr>
          <w:t xml:space="preserve">https://osf.io/q294m</w:t>
        </w:r>
      </w:hyperlink>
      <w:r>
        <w:t xml:space="preserve">.</w:t>
      </w:r>
    </w:p>
    <w:bookmarkEnd w:id="87"/>
    <w:bookmarkEnd w:id="88"/>
    <w:bookmarkStart w:id="230" w:name="refs"/>
    <w:p>
      <w:pPr>
        <w:pStyle w:val="Heading1"/>
      </w:pPr>
      <w:r>
        <w:t xml:space="preserve">References</w:t>
      </w:r>
    </w:p>
    <w:bookmarkStart w:id="229" w:name="refs"/>
    <w:bookmarkStart w:id="90" w:name="ref-Abraham2022"/>
    <w:p>
      <w:pPr>
        <w:pStyle w:val="Bibliography"/>
      </w:pPr>
      <w:r>
        <w:t xml:space="preserve">Abraham, K., Castillo, I., &amp; Roquain, É. (2022). Empirical bayes cumulative l-value multiple testing procedure for sparse sequences.</w:t>
      </w:r>
      <w:r>
        <w:t xml:space="preserve"> </w:t>
      </w:r>
      <w:r>
        <w:rPr>
          <w:i/>
          <w:iCs/>
        </w:rPr>
        <w:t xml:space="preserve">Electronic Journal of Statistics</w:t>
      </w:r>
      <w:r>
        <w:t xml:space="preserve">,</w:t>
      </w:r>
      <w:r>
        <w:t xml:space="preserve"> </w:t>
      </w:r>
      <w:r>
        <w:rPr>
          <w:i/>
          <w:iCs/>
        </w:rPr>
        <w:t xml:space="preserve">16</w:t>
      </w:r>
      <w:r>
        <w:t xml:space="preserve">(1), 2033–2081.</w:t>
      </w:r>
      <w:r>
        <w:t xml:space="preserve"> </w:t>
      </w:r>
      <w:hyperlink r:id="rId89">
        <w:r>
          <w:rPr>
            <w:rStyle w:val="Hyperlink"/>
          </w:rPr>
          <w:t xml:space="preserve">https://doi.org/10.1214/22-EJS1979</w:t>
        </w:r>
      </w:hyperlink>
    </w:p>
    <w:bookmarkEnd w:id="90"/>
    <w:bookmarkStart w:id="92" w:name="ref-Altoe2020"/>
    <w:p>
      <w:pPr>
        <w:pStyle w:val="Bibliography"/>
      </w:pPr>
      <w:r>
        <w:t xml:space="preserve">Altoè, G., Bertoldo, G., Zandonella Callegher, C., Toffalini, E., Calcagnì, A., Finos, L., &amp; Pastore, M. (2020). Enhancing statistical inference in psychological research via prospective and retrospective design analysis.</w:t>
      </w:r>
      <w:r>
        <w:t xml:space="preserve"> </w:t>
      </w:r>
      <w:r>
        <w:rPr>
          <w:i/>
          <w:iCs/>
        </w:rPr>
        <w:t xml:space="preserve">Frontiers in Psychology</w:t>
      </w:r>
      <w:r>
        <w:t xml:space="preserve">,</w:t>
      </w:r>
      <w:r>
        <w:t xml:space="preserve"> </w:t>
      </w:r>
      <w:r>
        <w:rPr>
          <w:i/>
          <w:iCs/>
        </w:rPr>
        <w:t xml:space="preserve">Volume 10 - 2019</w:t>
      </w:r>
      <w:r>
        <w:t xml:space="preserve">.</w:t>
      </w:r>
      <w:r>
        <w:t xml:space="preserve"> </w:t>
      </w:r>
      <w:hyperlink r:id="rId91">
        <w:r>
          <w:rPr>
            <w:rStyle w:val="Hyperlink"/>
          </w:rPr>
          <w:t xml:space="preserve">https://doi.org/10.3389/fpsyg.2019.02893</w:t>
        </w:r>
      </w:hyperlink>
    </w:p>
    <w:bookmarkEnd w:id="92"/>
    <w:bookmarkStart w:id="94" w:name="ref-Ben2022"/>
    <w:p>
      <w:pPr>
        <w:pStyle w:val="Bibliography"/>
      </w:pPr>
      <w:r>
        <w:t xml:space="preserve">Ben-Artzi, I., Luria, R., &amp; Shahar, N. (2022). Working memory capacity estimates moderate value learning for outcome-irrelevant features.</w:t>
      </w:r>
      <w:r>
        <w:t xml:space="preserve"> </w:t>
      </w:r>
      <w:r>
        <w:rPr>
          <w:i/>
          <w:iCs/>
        </w:rPr>
        <w:t xml:space="preserve">Scientific Reports</w:t>
      </w:r>
      <w:r>
        <w:t xml:space="preserve">,</w:t>
      </w:r>
      <w:r>
        <w:t xml:space="preserve"> </w:t>
      </w:r>
      <w:r>
        <w:rPr>
          <w:i/>
          <w:iCs/>
        </w:rPr>
        <w:t xml:space="preserve">12</w:t>
      </w:r>
      <w:r>
        <w:t xml:space="preserve">(1), 19677.</w:t>
      </w:r>
      <w:r>
        <w:t xml:space="preserve"> </w:t>
      </w:r>
      <w:hyperlink r:id="rId93">
        <w:r>
          <w:rPr>
            <w:rStyle w:val="Hyperlink"/>
          </w:rPr>
          <w:t xml:space="preserve">https://doi.org/10.1038/s41598-022-21832-x</w:t>
        </w:r>
      </w:hyperlink>
    </w:p>
    <w:bookmarkEnd w:id="94"/>
    <w:bookmarkStart w:id="96" w:name="ref-Benjamin2017"/>
    <w:p>
      <w:pPr>
        <w:pStyle w:val="Bibliography"/>
      </w:pPr>
      <w:r>
        <w:t xml:space="preserve">Benjamin, D. J., Berger, J. O., Johannesson, M., Nosek, B. A., Wagenmakers, E.-J., Berk, R., Bollen, K. A., Brembs, B., Brown, L., Camerer, C., Cesarini, D., Chambers, C. D., Clyde, M., Cook, T. D., De Boeck, P., Dienes, Z., Dreber, A., Easwaran, K., Efferson, C., … Johnson, V. E. (2017). Redefine statistical significance.</w:t>
      </w:r>
      <w:r>
        <w:t xml:space="preserve"> </w:t>
      </w:r>
      <w:r>
        <w:rPr>
          <w:i/>
          <w:iCs/>
        </w:rPr>
        <w:t xml:space="preserve">Nature Human Behaviour</w:t>
      </w:r>
      <w:r>
        <w:t xml:space="preserve">,</w:t>
      </w:r>
      <w:r>
        <w:t xml:space="preserve"> </w:t>
      </w:r>
      <w:r>
        <w:rPr>
          <w:i/>
          <w:iCs/>
        </w:rPr>
        <w:t xml:space="preserve">2</w:t>
      </w:r>
      <w:r>
        <w:t xml:space="preserve">(1), 6–10.</w:t>
      </w:r>
      <w:r>
        <w:t xml:space="preserve"> </w:t>
      </w:r>
      <w:hyperlink r:id="rId95">
        <w:r>
          <w:rPr>
            <w:rStyle w:val="Hyperlink"/>
          </w:rPr>
          <w:t xml:space="preserve">https://doi.org/10.1038/s41562-017-0189-z</w:t>
        </w:r>
      </w:hyperlink>
    </w:p>
    <w:bookmarkEnd w:id="96"/>
    <w:bookmarkStart w:id="98" w:name="ref-Benjamini1995"/>
    <w:p>
      <w:pPr>
        <w:pStyle w:val="Bibliography"/>
      </w:pPr>
      <w:r>
        <w:t xml:space="preserve">Benjamini, Y., &amp; Hochberg, Y. (1995). Controlling the</w:t>
      </w:r>
      <w:r>
        <w:t xml:space="preserve"> </w:t>
      </w:r>
      <w:r>
        <w:t xml:space="preserve">False Discovery Rate</w:t>
      </w:r>
      <w:r>
        <w:t xml:space="preserve">:</w:t>
      </w:r>
      <w:r>
        <w:t xml:space="preserve"> </w:t>
      </w:r>
      <w:r>
        <w:t xml:space="preserve">A Practical</w:t>
      </w:r>
      <w:r>
        <w:t xml:space="preserve"> </w:t>
      </w:r>
      <w:r>
        <w:t xml:space="preserve">and</w:t>
      </w:r>
      <w:r>
        <w:t xml:space="preserve"> </w:t>
      </w:r>
      <w:r>
        <w:t xml:space="preserve">Powerful Approach</w:t>
      </w:r>
      <w:r>
        <w:t xml:space="preserve"> </w:t>
      </w:r>
      <w:r>
        <w:t xml:space="preserve">to</w:t>
      </w:r>
      <w:r>
        <w:t xml:space="preserve"> </w:t>
      </w:r>
      <w:r>
        <w:t xml:space="preserve">Multiple Testing</w:t>
      </w:r>
      <w:r>
        <w:t xml:space="preserve">.</w:t>
      </w:r>
      <w:r>
        <w:t xml:space="preserve"> </w:t>
      </w:r>
      <w:r>
        <w:rPr>
          <w:i/>
          <w:iCs/>
        </w:rPr>
        <w:t xml:space="preserve">Journal of the Royal Statistical Society Series B: Statistical Methodology</w:t>
      </w:r>
      <w:r>
        <w:t xml:space="preserve">,</w:t>
      </w:r>
      <w:r>
        <w:t xml:space="preserve"> </w:t>
      </w:r>
      <w:r>
        <w:rPr>
          <w:i/>
          <w:iCs/>
        </w:rPr>
        <w:t xml:space="preserve">57</w:t>
      </w:r>
      <w:r>
        <w:t xml:space="preserve">(1), 289–300.</w:t>
      </w:r>
      <w:r>
        <w:t xml:space="preserve"> </w:t>
      </w:r>
      <w:hyperlink r:id="rId97">
        <w:r>
          <w:rPr>
            <w:rStyle w:val="Hyperlink"/>
          </w:rPr>
          <w:t xml:space="preserve">https://doi.org/10.1111/j.2517-6161.1995.tb02031.x</w:t>
        </w:r>
      </w:hyperlink>
    </w:p>
    <w:bookmarkEnd w:id="98"/>
    <w:bookmarkStart w:id="100" w:name="ref-berger2023"/>
    <w:p>
      <w:pPr>
        <w:pStyle w:val="Bibliography"/>
      </w:pPr>
      <w:r>
        <w:t xml:space="preserve">Berger, J. O. (2023). Four types of frequentism and their interplay with bayesianism.</w:t>
      </w:r>
      <w:r>
        <w:t xml:space="preserve"> </w:t>
      </w:r>
      <w:r>
        <w:rPr>
          <w:i/>
          <w:iCs/>
        </w:rPr>
        <w:t xml:space="preserve">The New England Journal of Statistics in Data Science</w:t>
      </w:r>
      <w:r>
        <w:t xml:space="preserve">,</w:t>
      </w:r>
      <w:r>
        <w:t xml:space="preserve"> </w:t>
      </w:r>
      <w:r>
        <w:rPr>
          <w:i/>
          <w:iCs/>
        </w:rPr>
        <w:t xml:space="preserve">1</w:t>
      </w:r>
      <w:r>
        <w:t xml:space="preserve">, 126–137.</w:t>
      </w:r>
      <w:r>
        <w:t xml:space="preserve"> </w:t>
      </w:r>
      <w:hyperlink r:id="rId99">
        <w:r>
          <w:rPr>
            <w:rStyle w:val="Hyperlink"/>
          </w:rPr>
          <w:t xml:space="preserve">https://doi.org/10.51387/22-NEJSDS4</w:t>
        </w:r>
      </w:hyperlink>
    </w:p>
    <w:bookmarkEnd w:id="100"/>
    <w:bookmarkStart w:id="102" w:name="ref-Berry1999"/>
    <w:p>
      <w:pPr>
        <w:pStyle w:val="Bibliography"/>
      </w:pPr>
      <w:r>
        <w:t xml:space="preserve">Berry, D. A., &amp; Hochberg, Y. (1999). Bayesian perspectives on multiple comparisons.</w:t>
      </w:r>
      <w:r>
        <w:t xml:space="preserve"> </w:t>
      </w:r>
      <w:r>
        <w:rPr>
          <w:i/>
          <w:iCs/>
        </w:rPr>
        <w:t xml:space="preserve">Journal of Statistical Planning and Inference</w:t>
      </w:r>
      <w:r>
        <w:t xml:space="preserve">,</w:t>
      </w:r>
      <w:r>
        <w:t xml:space="preserve"> </w:t>
      </w:r>
      <w:r>
        <w:rPr>
          <w:i/>
          <w:iCs/>
        </w:rPr>
        <w:t xml:space="preserve">82</w:t>
      </w:r>
      <w:r>
        <w:t xml:space="preserve">(1), 215–227.</w:t>
      </w:r>
      <w:r>
        <w:t xml:space="preserve"> </w:t>
      </w:r>
      <w:hyperlink r:id="rId101">
        <w:r>
          <w:rPr>
            <w:rStyle w:val="Hyperlink"/>
          </w:rPr>
          <w:t xml:space="preserve">https://doi.org/10.1016/S0378-3758(99)00044-0</w:t>
        </w:r>
      </w:hyperlink>
    </w:p>
    <w:bookmarkEnd w:id="102"/>
    <w:bookmarkStart w:id="104" w:name="ref-Philippe2021"/>
    <w:p>
      <w:pPr>
        <w:pStyle w:val="Bibliography"/>
      </w:pPr>
      <w:r>
        <w:t xml:space="preserve">Blondé, P., Makowski, D., Sperduti, M., &amp; Piolino, P. (2021). In</w:t>
      </w:r>
      <w:r>
        <w:t xml:space="preserve"> </w:t>
      </w:r>
      <w:r>
        <w:t xml:space="preserve">Medio Stat Virtus</w:t>
      </w:r>
      <w:r>
        <w:t xml:space="preserve">: Intermediate levels of mind wandering improve episodic memory encoding in a virtual environment.</w:t>
      </w:r>
      <w:r>
        <w:t xml:space="preserve"> </w:t>
      </w:r>
      <w:r>
        <w:rPr>
          <w:i/>
          <w:iCs/>
        </w:rPr>
        <w:t xml:space="preserve">Psychological Research</w:t>
      </w:r>
      <w:r>
        <w:t xml:space="preserve">,</w:t>
      </w:r>
      <w:r>
        <w:t xml:space="preserve"> </w:t>
      </w:r>
      <w:r>
        <w:rPr>
          <w:i/>
          <w:iCs/>
        </w:rPr>
        <w:t xml:space="preserve">85</w:t>
      </w:r>
      <w:r>
        <w:t xml:space="preserve">(4), 1613–1625.</w:t>
      </w:r>
      <w:r>
        <w:t xml:space="preserve"> </w:t>
      </w:r>
      <w:hyperlink r:id="rId103">
        <w:r>
          <w:rPr>
            <w:rStyle w:val="Hyperlink"/>
          </w:rPr>
          <w:t xml:space="preserve">https://doi.org/10.1007/s00426-020-01358-5</w:t>
        </w:r>
      </w:hyperlink>
    </w:p>
    <w:bookmarkEnd w:id="104"/>
    <w:bookmarkStart w:id="106" w:name="ref-Box1992"/>
    <w:p>
      <w:pPr>
        <w:pStyle w:val="Bibliography"/>
      </w:pPr>
      <w:r>
        <w:t xml:space="preserve">Box, G. E. P., &amp; Tiao, G. C. (1992).</w:t>
      </w:r>
      <w:r>
        <w:t xml:space="preserve"> </w:t>
      </w:r>
      <w:r>
        <w:rPr>
          <w:i/>
          <w:iCs/>
        </w:rPr>
        <w:t xml:space="preserve">Bayesian inference in statistical analysis</w:t>
      </w:r>
      <w:r>
        <w:t xml:space="preserve"> </w:t>
      </w:r>
      <w:r>
        <w:t xml:space="preserve">(1st ed.). Wiley.</w:t>
      </w:r>
      <w:r>
        <w:t xml:space="preserve"> </w:t>
      </w:r>
      <w:hyperlink r:id="rId105">
        <w:r>
          <w:rPr>
            <w:rStyle w:val="Hyperlink"/>
          </w:rPr>
          <w:t xml:space="preserve">https://doi.org/10.1002/9781118033197</w:t>
        </w:r>
      </w:hyperlink>
    </w:p>
    <w:bookmarkEnd w:id="106"/>
    <w:bookmarkStart w:id="108" w:name="ref-Bramley2022"/>
    <w:p>
      <w:pPr>
        <w:pStyle w:val="Bibliography"/>
      </w:pPr>
      <w:r>
        <w:t xml:space="preserve">Bramley, N. R., &amp; Ruggeri, A. (2022). Children’s active physical learning is as effective and goal-targeted as adults’.</w:t>
      </w:r>
      <w:r>
        <w:t xml:space="preserve"> </w:t>
      </w:r>
      <w:r>
        <w:rPr>
          <w:i/>
          <w:iCs/>
        </w:rPr>
        <w:t xml:space="preserve">Developmental Psychology</w:t>
      </w:r>
      <w:r>
        <w:t xml:space="preserve">,</w:t>
      </w:r>
      <w:r>
        <w:t xml:space="preserve"> </w:t>
      </w:r>
      <w:r>
        <w:rPr>
          <w:i/>
          <w:iCs/>
        </w:rPr>
        <w:t xml:space="preserve">58</w:t>
      </w:r>
      <w:r>
        <w:t xml:space="preserve">(12), 2310–2321.</w:t>
      </w:r>
      <w:r>
        <w:t xml:space="preserve"> </w:t>
      </w:r>
      <w:hyperlink r:id="rId107">
        <w:r>
          <w:rPr>
            <w:rStyle w:val="Hyperlink"/>
          </w:rPr>
          <w:t xml:space="preserve">https://doi.org/10.1037/dev0001435</w:t>
        </w:r>
      </w:hyperlink>
    </w:p>
    <w:bookmarkEnd w:id="108"/>
    <w:bookmarkStart w:id="110" w:name="ref-Brissenden2023"/>
    <w:p>
      <w:pPr>
        <w:pStyle w:val="Bibliography"/>
      </w:pPr>
      <w:r>
        <w:t xml:space="preserve">Brissenden, J. A., Adkins, T. J., Hsu, Y. T., &amp; Lee, T. G. (2023). Reward influences the allocation but not the availability of resources in visual working memory.</w:t>
      </w:r>
      <w:r>
        <w:t xml:space="preserve"> </w:t>
      </w:r>
      <w:r>
        <w:rPr>
          <w:i/>
          <w:iCs/>
        </w:rPr>
        <w:t xml:space="preserve">Journal of Experimental Psychology: General</w:t>
      </w:r>
      <w:r>
        <w:t xml:space="preserve">,</w:t>
      </w:r>
      <w:r>
        <w:t xml:space="preserve"> </w:t>
      </w:r>
      <w:r>
        <w:rPr>
          <w:i/>
          <w:iCs/>
        </w:rPr>
        <w:t xml:space="preserve">152</w:t>
      </w:r>
      <w:r>
        <w:t xml:space="preserve">(7), 1825–1839.</w:t>
      </w:r>
      <w:r>
        <w:t xml:space="preserve"> </w:t>
      </w:r>
      <w:hyperlink r:id="rId109">
        <w:r>
          <w:rPr>
            <w:rStyle w:val="Hyperlink"/>
          </w:rPr>
          <w:t xml:space="preserve">https://doi.org/10.1037/xge0001370</w:t>
        </w:r>
      </w:hyperlink>
    </w:p>
    <w:bookmarkEnd w:id="110"/>
    <w:bookmarkStart w:id="112" w:name="ref-Brissenden2024"/>
    <w:p>
      <w:pPr>
        <w:pStyle w:val="Bibliography"/>
      </w:pPr>
      <w:r>
        <w:t xml:space="preserve">Brissenden, J. A., Scerbak, T., Albin, R. L., &amp; Lee, T. G. (2024). Motivational vigor in parkinson’s disease requires the short and long duration response to levodopa.</w:t>
      </w:r>
      <w:r>
        <w:t xml:space="preserve"> </w:t>
      </w:r>
      <w:r>
        <w:rPr>
          <w:i/>
          <w:iCs/>
        </w:rPr>
        <w:t xml:space="preserve">Movement Disorders</w:t>
      </w:r>
      <w:r>
        <w:t xml:space="preserve">,</w:t>
      </w:r>
      <w:r>
        <w:t xml:space="preserve"> </w:t>
      </w:r>
      <w:r>
        <w:rPr>
          <w:i/>
          <w:iCs/>
        </w:rPr>
        <w:t xml:space="preserve">39</w:t>
      </w:r>
      <w:r>
        <w:t xml:space="preserve">(1), 76–84. https://doi.org/</w:t>
      </w:r>
      <w:hyperlink r:id="rId111">
        <w:r>
          <w:rPr>
            <w:rStyle w:val="Hyperlink"/>
          </w:rPr>
          <w:t xml:space="preserve">https://doi.org/10.1002/mds.29659</w:t>
        </w:r>
      </w:hyperlink>
    </w:p>
    <w:bookmarkEnd w:id="112"/>
    <w:bookmarkStart w:id="114" w:name="ref-Paul2017"/>
    <w:p>
      <w:pPr>
        <w:pStyle w:val="Bibliography"/>
      </w:pPr>
      <w:r>
        <w:t xml:space="preserve">Bürkner, P.-C. (2017).</w:t>
      </w:r>
      <w:r>
        <w:t xml:space="preserve"> </w:t>
      </w:r>
      <w:r>
        <w:t xml:space="preserve">brms</w:t>
      </w:r>
      <w:r>
        <w:t xml:space="preserve">: An</w:t>
      </w:r>
      <w:r>
        <w:t xml:space="preserve"> </w:t>
      </w:r>
      <w:r>
        <w:t xml:space="preserve">R</w:t>
      </w:r>
      <w:r>
        <w:t xml:space="preserve"> </w:t>
      </w:r>
      <w:r>
        <w:t xml:space="preserve">package for</w:t>
      </w:r>
      <w:r>
        <w:t xml:space="preserve"> </w:t>
      </w:r>
      <w:r>
        <w:t xml:space="preserve">Bayesian</w:t>
      </w:r>
      <w:r>
        <w:t xml:space="preserve"> </w:t>
      </w:r>
      <w:r>
        <w:t xml:space="preserve">multilevel models using</w:t>
      </w:r>
      <w:r>
        <w:t xml:space="preserve"> </w:t>
      </w:r>
      <w:r>
        <w:t xml:space="preserve">Stan</w:t>
      </w:r>
      <w:r>
        <w:t xml:space="preserve">.</w:t>
      </w:r>
      <w:r>
        <w:t xml:space="preserve"> </w:t>
      </w:r>
      <w:r>
        <w:rPr>
          <w:i/>
          <w:iCs/>
        </w:rPr>
        <w:t xml:space="preserve">Journal of Statistical Software</w:t>
      </w:r>
      <w:r>
        <w:t xml:space="preserve">,</w:t>
      </w:r>
      <w:r>
        <w:t xml:space="preserve"> </w:t>
      </w:r>
      <w:r>
        <w:rPr>
          <w:i/>
          <w:iCs/>
        </w:rPr>
        <w:t xml:space="preserve">80</w:t>
      </w:r>
      <w:r>
        <w:t xml:space="preserve">(1), 1–28.</w:t>
      </w:r>
      <w:r>
        <w:t xml:space="preserve"> </w:t>
      </w:r>
      <w:hyperlink r:id="rId113">
        <w:r>
          <w:rPr>
            <w:rStyle w:val="Hyperlink"/>
          </w:rPr>
          <w:t xml:space="preserve">https://doi.org/10.18637/jss.v080.i01</w:t>
        </w:r>
      </w:hyperlink>
    </w:p>
    <w:bookmarkEnd w:id="114"/>
    <w:bookmarkStart w:id="115" w:name="ref-Calderan2026"/>
    <w:p>
      <w:pPr>
        <w:pStyle w:val="Bibliography"/>
      </w:pPr>
      <w:r>
        <w:t xml:space="preserve">Calderan, M., &amp; Gambarota, F. (2026).</w:t>
      </w:r>
      <w:r>
        <w:t xml:space="preserve"> </w:t>
      </w:r>
      <w:r>
        <w:rPr>
          <w:i/>
          <w:iCs/>
        </w:rPr>
        <w:t xml:space="preserve">Multibayes: Bayesian multiplicity adjustments</w:t>
      </w:r>
      <w:r>
        <w:t xml:space="preserve">.</w:t>
      </w:r>
      <w:r>
        <w:t xml:space="preserve"> </w:t>
      </w:r>
      <w:hyperlink r:id="rId85">
        <w:r>
          <w:rPr>
            <w:rStyle w:val="Hyperlink"/>
          </w:rPr>
          <w:t xml:space="preserve">https://github.com/mar-cald/multibayes</w:t>
        </w:r>
      </w:hyperlink>
    </w:p>
    <w:bookmarkEnd w:id="115"/>
    <w:bookmarkStart w:id="117" w:name="ref-Casella1987"/>
    <w:p>
      <w:pPr>
        <w:pStyle w:val="Bibliography"/>
      </w:pPr>
      <w:r>
        <w:t xml:space="preserve">Casella, G., &amp; Berger, R. L. (1987). Reconciling bayesian and frequentist evidence in the one-sided testing problem.</w:t>
      </w:r>
      <w:r>
        <w:t xml:space="preserve"> </w:t>
      </w:r>
      <w:r>
        <w:rPr>
          <w:i/>
          <w:iCs/>
        </w:rPr>
        <w:t xml:space="preserve">Journal of the American Statistical Association</w:t>
      </w:r>
      <w:r>
        <w:t xml:space="preserve">,</w:t>
      </w:r>
      <w:r>
        <w:t xml:space="preserve"> </w:t>
      </w:r>
      <w:r>
        <w:rPr>
          <w:i/>
          <w:iCs/>
        </w:rPr>
        <w:t xml:space="preserve">82</w:t>
      </w:r>
      <w:r>
        <w:t xml:space="preserve">(397), 106–111.</w:t>
      </w:r>
      <w:r>
        <w:t xml:space="preserve"> </w:t>
      </w:r>
      <w:hyperlink r:id="rId116">
        <w:r>
          <w:rPr>
            <w:rStyle w:val="Hyperlink"/>
          </w:rPr>
          <w:t xml:space="preserve">https://doi.org/10.1080/01621459.1987.10478396</w:t>
        </w:r>
      </w:hyperlink>
    </w:p>
    <w:bookmarkEnd w:id="117"/>
    <w:bookmarkStart w:id="119" w:name="ref-Ciranka2026"/>
    <w:p>
      <w:pPr>
        <w:pStyle w:val="Bibliography"/>
      </w:pPr>
      <w:r>
        <w:t xml:space="preserve">Ciranka, S., Chevallier, C., &amp; Nettle, D. (2026). Low socioeconomic status amplifies the perceived rarity of large rewards.</w:t>
      </w:r>
      <w:r>
        <w:t xml:space="preserve"> </w:t>
      </w:r>
      <w:r>
        <w:rPr>
          <w:i/>
          <w:iCs/>
        </w:rPr>
        <w:t xml:space="preserve">Cognition</w:t>
      </w:r>
      <w:r>
        <w:t xml:space="preserve">,</w:t>
      </w:r>
      <w:r>
        <w:t xml:space="preserve"> </w:t>
      </w:r>
      <w:r>
        <w:rPr>
          <w:i/>
          <w:iCs/>
        </w:rPr>
        <w:t xml:space="preserve">270</w:t>
      </w:r>
      <w:r>
        <w:t xml:space="preserve">, 106409. https://doi.org/</w:t>
      </w:r>
      <w:hyperlink r:id="rId118">
        <w:r>
          <w:rPr>
            <w:rStyle w:val="Hyperlink"/>
          </w:rPr>
          <w:t xml:space="preserve">https://doi.org/10.1016/j.cognition.2025.106409</w:t>
        </w:r>
      </w:hyperlink>
    </w:p>
    <w:bookmarkEnd w:id="119"/>
    <w:bookmarkStart w:id="121" w:name="ref-Cohen1994"/>
    <w:p>
      <w:pPr>
        <w:pStyle w:val="Bibliography"/>
      </w:pPr>
      <w:r>
        <w:t xml:space="preserve">Cohen, J. (1994). The earth is round (p</w:t>
      </w:r>
      <w:r>
        <w:t xml:space="preserve"> </w:t>
      </w:r>
      <m:oMath>
        <m:r>
          <m:rPr>
            <m:sty m:val="p"/>
          </m:rPr>
          <m:t>&lt;</m:t>
        </m:r>
      </m:oMath>
      <w:r>
        <w:t xml:space="preserve"> </w:t>
      </w:r>
      <w:r>
        <w:t xml:space="preserve">.05).</w:t>
      </w:r>
      <w:r>
        <w:t xml:space="preserve"> </w:t>
      </w:r>
      <w:r>
        <w:rPr>
          <w:i/>
          <w:iCs/>
        </w:rPr>
        <w:t xml:space="preserve">American Psychologist</w:t>
      </w:r>
      <w:r>
        <w:t xml:space="preserve">,</w:t>
      </w:r>
      <w:r>
        <w:t xml:space="preserve"> </w:t>
      </w:r>
      <w:r>
        <w:rPr>
          <w:i/>
          <w:iCs/>
        </w:rPr>
        <w:t xml:space="preserve">49</w:t>
      </w:r>
      <w:r>
        <w:t xml:space="preserve">(12), 997–1003.</w:t>
      </w:r>
      <w:r>
        <w:t xml:space="preserve"> </w:t>
      </w:r>
      <w:hyperlink r:id="rId120">
        <w:r>
          <w:rPr>
            <w:rStyle w:val="Hyperlink"/>
          </w:rPr>
          <w:t xml:space="preserve">https://doi.org/10.1037/0003-066X.49.12.997</w:t>
        </w:r>
      </w:hyperlink>
    </w:p>
    <w:bookmarkEnd w:id="121"/>
    <w:bookmarkStart w:id="122" w:name="ref-Dawid1994"/>
    <w:p>
      <w:pPr>
        <w:pStyle w:val="Bibliography"/>
      </w:pPr>
      <w:r>
        <w:t xml:space="preserve">Dawid, A. P. (1994). Selection paradoxes of bayesian inference.</w:t>
      </w:r>
      <w:r>
        <w:t xml:space="preserve"> </w:t>
      </w:r>
      <w:r>
        <w:rPr>
          <w:i/>
          <w:iCs/>
        </w:rPr>
        <w:t xml:space="preserve">Lecture Notes-Monograph Series</w:t>
      </w:r>
      <w:r>
        <w:t xml:space="preserve">,</w:t>
      </w:r>
      <w:r>
        <w:t xml:space="preserve"> </w:t>
      </w:r>
      <w:r>
        <w:rPr>
          <w:i/>
          <w:iCs/>
        </w:rPr>
        <w:t xml:space="preserve">24</w:t>
      </w:r>
      <w:r>
        <w:t xml:space="preserve">, 211–220.</w:t>
      </w:r>
    </w:p>
    <w:bookmarkEnd w:id="122"/>
    <w:bookmarkStart w:id="124" w:name="ref-Dienes2016"/>
    <w:p>
      <w:pPr>
        <w:pStyle w:val="Bibliography"/>
      </w:pPr>
      <w:r>
        <w:t xml:space="preserve">Dienes, Z. (2016). How bayes factors change scientific practice.</w:t>
      </w:r>
      <w:r>
        <w:t xml:space="preserve"> </w:t>
      </w:r>
      <w:r>
        <w:rPr>
          <w:i/>
          <w:iCs/>
        </w:rPr>
        <w:t xml:space="preserve">Journal of Mathematical Psychology</w:t>
      </w:r>
      <w:r>
        <w:t xml:space="preserve">,</w:t>
      </w:r>
      <w:r>
        <w:t xml:space="preserve"> </w:t>
      </w:r>
      <w:r>
        <w:rPr>
          <w:i/>
          <w:iCs/>
        </w:rPr>
        <w:t xml:space="preserve">72</w:t>
      </w:r>
      <w:r>
        <w:t xml:space="preserve">, 78–89.</w:t>
      </w:r>
      <w:r>
        <w:t xml:space="preserve"> </w:t>
      </w:r>
      <w:hyperlink r:id="rId123">
        <w:r>
          <w:rPr>
            <w:rStyle w:val="Hyperlink"/>
          </w:rPr>
          <w:t xml:space="preserve">https://doi.org/10.1016/j.jmp.2015.10.003</w:t>
        </w:r>
      </w:hyperlink>
    </w:p>
    <w:bookmarkEnd w:id="124"/>
    <w:bookmarkStart w:id="126" w:name="ref-Efron2001"/>
    <w:p>
      <w:pPr>
        <w:pStyle w:val="Bibliography"/>
      </w:pPr>
      <w:r>
        <w:t xml:space="preserve">Efron, B., Tibshirani, R., Storey, J. D., &amp; Tusher, V. (2001). Empirical bayes analysis of a microarray experiment.</w:t>
      </w:r>
      <w:r>
        <w:t xml:space="preserve"> </w:t>
      </w:r>
      <w:r>
        <w:rPr>
          <w:i/>
          <w:iCs/>
        </w:rPr>
        <w:t xml:space="preserve">Journal of the American Statistical Association</w:t>
      </w:r>
      <w:r>
        <w:t xml:space="preserve">,</w:t>
      </w:r>
      <w:r>
        <w:t xml:space="preserve"> </w:t>
      </w:r>
      <w:r>
        <w:rPr>
          <w:i/>
          <w:iCs/>
        </w:rPr>
        <w:t xml:space="preserve">96</w:t>
      </w:r>
      <w:r>
        <w:t xml:space="preserve">(456), 1151–1160.</w:t>
      </w:r>
      <w:r>
        <w:t xml:space="preserve"> </w:t>
      </w:r>
      <w:hyperlink r:id="rId125">
        <w:r>
          <w:rPr>
            <w:rStyle w:val="Hyperlink"/>
          </w:rPr>
          <w:t xml:space="preserve">https://doi.org/10.1198/016214501753382129</w:t>
        </w:r>
      </w:hyperlink>
    </w:p>
    <w:bookmarkEnd w:id="126"/>
    <w:bookmarkStart w:id="128" w:name="ref-Gelman2014"/>
    <w:p>
      <w:pPr>
        <w:pStyle w:val="Bibliography"/>
      </w:pPr>
      <w:r>
        <w:t xml:space="preserve">Gelman, A., &amp; Carlin, J. (2014). Beyond power calculations: Assessing type s (sign) and type m (magnitude) errors.</w:t>
      </w:r>
      <w:r>
        <w:t xml:space="preserve"> </w:t>
      </w:r>
      <w:r>
        <w:rPr>
          <w:i/>
          <w:iCs/>
        </w:rPr>
        <w:t xml:space="preserve">Perspectives on Psychological Science</w:t>
      </w:r>
      <w:r>
        <w:t xml:space="preserve">,</w:t>
      </w:r>
      <w:r>
        <w:t xml:space="preserve"> </w:t>
      </w:r>
      <w:r>
        <w:rPr>
          <w:i/>
          <w:iCs/>
        </w:rPr>
        <w:t xml:space="preserve">9</w:t>
      </w:r>
      <w:r>
        <w:t xml:space="preserve">(6), 641–651.</w:t>
      </w:r>
      <w:r>
        <w:t xml:space="preserve"> </w:t>
      </w:r>
      <w:hyperlink r:id="rId127">
        <w:r>
          <w:rPr>
            <w:rStyle w:val="Hyperlink"/>
          </w:rPr>
          <w:t xml:space="preserve">https://doi.org/10.1177/1745691614551642</w:t>
        </w:r>
      </w:hyperlink>
    </w:p>
    <w:bookmarkEnd w:id="128"/>
    <w:bookmarkStart w:id="130" w:name="ref-GelmanBook"/>
    <w:p>
      <w:pPr>
        <w:pStyle w:val="Bibliography"/>
      </w:pPr>
      <w:r>
        <w:t xml:space="preserve">Gelman, A., Carlin, J. B., Stern, H. S., Dunson, D. B., Vehtari, A., &amp; Rubin, D. B. (2013).</w:t>
      </w:r>
      <w:r>
        <w:t xml:space="preserve"> </w:t>
      </w:r>
      <w:r>
        <w:rPr>
          <w:i/>
          <w:iCs/>
        </w:rPr>
        <w:t xml:space="preserve">Bayesian data analysis</w:t>
      </w:r>
      <w:r>
        <w:t xml:space="preserve"> </w:t>
      </w:r>
      <w:r>
        <w:t xml:space="preserve">(3rd ed.). Chapman; Hall/CRC.</w:t>
      </w:r>
      <w:r>
        <w:t xml:space="preserve"> </w:t>
      </w:r>
      <w:hyperlink r:id="rId129">
        <w:r>
          <w:rPr>
            <w:rStyle w:val="Hyperlink"/>
          </w:rPr>
          <w:t xml:space="preserve">https://doi.org/10.1201/b16018</w:t>
        </w:r>
      </w:hyperlink>
    </w:p>
    <w:bookmarkEnd w:id="130"/>
    <w:bookmarkStart w:id="132" w:name="ref-Gelman2012"/>
    <w:p>
      <w:pPr>
        <w:pStyle w:val="Bibliography"/>
      </w:pPr>
      <w:r>
        <w:t xml:space="preserve">Gelman, A., Hill, J., &amp; Yajima, M. (2012). Why we (usually) don’t have to worry about multiple comparisons.</w:t>
      </w:r>
      <w:r>
        <w:t xml:space="preserve"> </w:t>
      </w:r>
      <w:r>
        <w:rPr>
          <w:i/>
          <w:iCs/>
        </w:rPr>
        <w:t xml:space="preserve">Journal of Research on Educational Effectiveness</w:t>
      </w:r>
      <w:r>
        <w:t xml:space="preserve">,</w:t>
      </w:r>
      <w:r>
        <w:t xml:space="preserve"> </w:t>
      </w:r>
      <w:r>
        <w:rPr>
          <w:i/>
          <w:iCs/>
        </w:rPr>
        <w:t xml:space="preserve">5</w:t>
      </w:r>
      <w:r>
        <w:t xml:space="preserve">(2), 189–211.</w:t>
      </w:r>
      <w:r>
        <w:t xml:space="preserve"> </w:t>
      </w:r>
      <w:hyperlink r:id="rId131">
        <w:r>
          <w:rPr>
            <w:rStyle w:val="Hyperlink"/>
          </w:rPr>
          <w:t xml:space="preserve">https://doi.org/10.1080/19345747.2011.618213</w:t>
        </w:r>
      </w:hyperlink>
    </w:p>
    <w:bookmarkEnd w:id="132"/>
    <w:bookmarkStart w:id="134" w:name="ref-Gelman2000"/>
    <w:p>
      <w:pPr>
        <w:pStyle w:val="Bibliography"/>
      </w:pPr>
      <w:r>
        <w:t xml:space="preserve">Gelman, A., &amp; Tuerlinckx, F. (2000). Type s error rates for classical and bayesian single and multiple comparison procedures.</w:t>
      </w:r>
      <w:r>
        <w:t xml:space="preserve"> </w:t>
      </w:r>
      <w:r>
        <w:rPr>
          <w:i/>
          <w:iCs/>
        </w:rPr>
        <w:t xml:space="preserve">Computational Statistics</w:t>
      </w:r>
      <w:r>
        <w:t xml:space="preserve">,</w:t>
      </w:r>
      <w:r>
        <w:t xml:space="preserve"> </w:t>
      </w:r>
      <w:r>
        <w:rPr>
          <w:i/>
          <w:iCs/>
        </w:rPr>
        <w:t xml:space="preserve">15</w:t>
      </w:r>
      <w:r>
        <w:t xml:space="preserve">(3), 373–390.</w:t>
      </w:r>
      <w:r>
        <w:t xml:space="preserve"> </w:t>
      </w:r>
      <w:hyperlink r:id="rId133">
        <w:r>
          <w:rPr>
            <w:rStyle w:val="Hyperlink"/>
          </w:rPr>
          <w:t xml:space="preserve">https://doi.org/10.1007/s001800000040</w:t>
        </w:r>
      </w:hyperlink>
    </w:p>
    <w:bookmarkEnd w:id="134"/>
    <w:bookmarkStart w:id="136" w:name="ref-Gigerenzer2004"/>
    <w:p>
      <w:pPr>
        <w:pStyle w:val="Bibliography"/>
      </w:pPr>
      <w:r>
        <w:t xml:space="preserve">Gigerenzer, G. (2004). Mindless statistics.</w:t>
      </w:r>
      <w:r>
        <w:t xml:space="preserve"> </w:t>
      </w:r>
      <w:r>
        <w:rPr>
          <w:i/>
          <w:iCs/>
        </w:rPr>
        <w:t xml:space="preserve">The Journal of Socio-Economics</w:t>
      </w:r>
      <w:r>
        <w:t xml:space="preserve">,</w:t>
      </w:r>
      <w:r>
        <w:t xml:space="preserve"> </w:t>
      </w:r>
      <w:r>
        <w:rPr>
          <w:i/>
          <w:iCs/>
        </w:rPr>
        <w:t xml:space="preserve">33</w:t>
      </w:r>
      <w:r>
        <w:t xml:space="preserve">(5), 587–606.</w:t>
      </w:r>
      <w:r>
        <w:t xml:space="preserve"> </w:t>
      </w:r>
      <w:hyperlink r:id="rId135">
        <w:r>
          <w:rPr>
            <w:rStyle w:val="Hyperlink"/>
          </w:rPr>
          <w:t xml:space="preserve">https://doi.org/10.1016/j.socec.2004.09.033</w:t>
        </w:r>
      </w:hyperlink>
    </w:p>
    <w:bookmarkEnd w:id="136"/>
    <w:bookmarkStart w:id="138" w:name="ref-Guo2010"/>
    <w:p>
      <w:pPr>
        <w:pStyle w:val="Bibliography"/>
      </w:pPr>
      <w:r>
        <w:t xml:space="preserve">Guo, M., &amp; Heitjan, D. F. (2010). Multiplicity-calibrated bayesian hypothesis tests.</w:t>
      </w:r>
      <w:r>
        <w:t xml:space="preserve"> </w:t>
      </w:r>
      <w:r>
        <w:rPr>
          <w:i/>
          <w:iCs/>
        </w:rPr>
        <w:t xml:space="preserve">Biostatistics</w:t>
      </w:r>
      <w:r>
        <w:t xml:space="preserve">,</w:t>
      </w:r>
      <w:r>
        <w:t xml:space="preserve"> </w:t>
      </w:r>
      <w:r>
        <w:rPr>
          <w:i/>
          <w:iCs/>
        </w:rPr>
        <w:t xml:space="preserve">11</w:t>
      </w:r>
      <w:r>
        <w:t xml:space="preserve">(3), 473–483.</w:t>
      </w:r>
      <w:r>
        <w:t xml:space="preserve"> </w:t>
      </w:r>
      <w:hyperlink r:id="rId137">
        <w:r>
          <w:rPr>
            <w:rStyle w:val="Hyperlink"/>
          </w:rPr>
          <w:t xml:space="preserve">https://doi.org/10.1093/biostatistics/kxq012</w:t>
        </w:r>
      </w:hyperlink>
    </w:p>
    <w:bookmarkEnd w:id="138"/>
    <w:bookmarkStart w:id="140" w:name="ref-Heck2023"/>
    <w:p>
      <w:pPr>
        <w:pStyle w:val="Bibliography"/>
      </w:pPr>
      <w:r>
        <w:t xml:space="preserve">Heck, D. W., Boehm, U., Böing-Messing, F., Bürkner, P.-C., Derks, K., Dienes, Z., Fu, Q., Gu, X., Karimova, D., Kiers, H. A., et al. (2023). A review of applications of the bayes factor in psychological research.</w:t>
      </w:r>
      <w:r>
        <w:t xml:space="preserve"> </w:t>
      </w:r>
      <w:r>
        <w:rPr>
          <w:i/>
          <w:iCs/>
        </w:rPr>
        <w:t xml:space="preserve">Psychological Methods</w:t>
      </w:r>
      <w:r>
        <w:t xml:space="preserve">,</w:t>
      </w:r>
      <w:r>
        <w:t xml:space="preserve"> </w:t>
      </w:r>
      <w:r>
        <w:rPr>
          <w:i/>
          <w:iCs/>
        </w:rPr>
        <w:t xml:space="preserve">28</w:t>
      </w:r>
      <w:r>
        <w:t xml:space="preserve">(3), 558.</w:t>
      </w:r>
      <w:r>
        <w:t xml:space="preserve"> </w:t>
      </w:r>
      <w:hyperlink r:id="rId139">
        <w:r>
          <w:rPr>
            <w:rStyle w:val="Hyperlink"/>
          </w:rPr>
          <w:t xml:space="preserve">https://doi.org/10.1037/met0000454</w:t>
        </w:r>
      </w:hyperlink>
    </w:p>
    <w:bookmarkEnd w:id="140"/>
    <w:bookmarkStart w:id="142" w:name="ref-Hochberg1987"/>
    <w:p>
      <w:pPr>
        <w:pStyle w:val="Bibliography"/>
      </w:pPr>
      <w:r>
        <w:t xml:space="preserve">Hochberg, Y., &amp; Tamhane, A. C. (1987).</w:t>
      </w:r>
      <w:r>
        <w:t xml:space="preserve"> </w:t>
      </w:r>
      <w:r>
        <w:rPr>
          <w:i/>
          <w:iCs/>
        </w:rPr>
        <w:t xml:space="preserve">Multiple</w:t>
      </w:r>
      <w:r>
        <w:rPr>
          <w:i/>
          <w:iCs/>
        </w:rPr>
        <w:t xml:space="preserve"> </w:t>
      </w:r>
      <w:r>
        <w:rPr>
          <w:i/>
          <w:iCs/>
        </w:rPr>
        <w:t xml:space="preserve">Comparison Procedures</w:t>
      </w:r>
      <w:r>
        <w:t xml:space="preserve"> </w:t>
      </w:r>
      <w:r>
        <w:t xml:space="preserve">(1st ed.). Wiley.</w:t>
      </w:r>
      <w:r>
        <w:t xml:space="preserve"> </w:t>
      </w:r>
      <w:hyperlink r:id="rId141">
        <w:r>
          <w:rPr>
            <w:rStyle w:val="Hyperlink"/>
          </w:rPr>
          <w:t xml:space="preserve">https://doi.org/10.1002/9780470316672</w:t>
        </w:r>
      </w:hyperlink>
    </w:p>
    <w:bookmarkEnd w:id="142"/>
    <w:bookmarkStart w:id="144" w:name="ref-Hochman2025"/>
    <w:p>
      <w:pPr>
        <w:pStyle w:val="Bibliography"/>
      </w:pPr>
      <w:r>
        <w:t xml:space="preserve">Hochman, S., Havedanloo, R., Heysieattalab, S., &amp; Soltanlou, M. (2025). How does language modulate the association between number and space?</w:t>
      </w:r>
      <w:r>
        <w:t xml:space="preserve"> </w:t>
      </w:r>
      <w:r>
        <w:t xml:space="preserve">A</w:t>
      </w:r>
      <w:r>
        <w:t xml:space="preserve"> </w:t>
      </w:r>
      <w:r>
        <w:t xml:space="preserve">registered report of a cross-cultural study of the spatial–numerical association of response codes effect.</w:t>
      </w:r>
      <w:r>
        <w:t xml:space="preserve"> </w:t>
      </w:r>
      <w:r>
        <w:rPr>
          <w:i/>
          <w:iCs/>
        </w:rPr>
        <w:t xml:space="preserve">Journal of Experimental Psychology: General</w:t>
      </w:r>
      <w:r>
        <w:t xml:space="preserve">,</w:t>
      </w:r>
      <w:r>
        <w:t xml:space="preserve"> </w:t>
      </w:r>
      <w:r>
        <w:rPr>
          <w:i/>
          <w:iCs/>
        </w:rPr>
        <w:t xml:space="preserve">154</w:t>
      </w:r>
      <w:r>
        <w:t xml:space="preserve">(2), 305–324.</w:t>
      </w:r>
      <w:r>
        <w:t xml:space="preserve"> </w:t>
      </w:r>
      <w:hyperlink r:id="rId143">
        <w:r>
          <w:rPr>
            <w:rStyle w:val="Hyperlink"/>
          </w:rPr>
          <w:t xml:space="preserve">https://doi.org/10.1037/xge0001653</w:t>
        </w:r>
      </w:hyperlink>
    </w:p>
    <w:bookmarkEnd w:id="144"/>
    <w:bookmarkStart w:id="146" w:name="ref-Hoijtink2016"/>
    <w:p>
      <w:pPr>
        <w:pStyle w:val="Bibliography"/>
      </w:pPr>
      <w:r>
        <w:t xml:space="preserve">Hoijtink, H., Kooten, P. van, &amp; Hulsker, K. (2016). Why bayesian psychologists should change the way they use the bayes factor.</w:t>
      </w:r>
      <w:r>
        <w:t xml:space="preserve"> </w:t>
      </w:r>
      <w:r>
        <w:rPr>
          <w:i/>
          <w:iCs/>
        </w:rPr>
        <w:t xml:space="preserve">Multivariate Behavioral Research</w:t>
      </w:r>
      <w:r>
        <w:t xml:space="preserve">,</w:t>
      </w:r>
      <w:r>
        <w:t xml:space="preserve"> </w:t>
      </w:r>
      <w:r>
        <w:rPr>
          <w:i/>
          <w:iCs/>
        </w:rPr>
        <w:t xml:space="preserve">51</w:t>
      </w:r>
      <w:r>
        <w:t xml:space="preserve">(1), 2–10.</w:t>
      </w:r>
      <w:r>
        <w:t xml:space="preserve"> </w:t>
      </w:r>
      <w:hyperlink r:id="rId145">
        <w:r>
          <w:rPr>
            <w:rStyle w:val="Hyperlink"/>
          </w:rPr>
          <w:t xml:space="preserve">https://doi.org/10.1080/00273171.2014.969364</w:t>
        </w:r>
      </w:hyperlink>
    </w:p>
    <w:bookmarkEnd w:id="146"/>
    <w:bookmarkStart w:id="148" w:name="ref-Grant2025"/>
    <w:p>
      <w:pPr>
        <w:pStyle w:val="Bibliography"/>
      </w:pPr>
      <w:r>
        <w:t xml:space="preserve">Izmirlian, G., Sirota, L. A., Berger, V. W., &amp; Kipnis, V. (2025). The fundamentals of multiplicity adjustment in biostatistics.</w:t>
      </w:r>
      <w:r>
        <w:t xml:space="preserve"> </w:t>
      </w:r>
      <w:r>
        <w:rPr>
          <w:i/>
          <w:iCs/>
        </w:rPr>
        <w:t xml:space="preserve">JNCI Monographs</w:t>
      </w:r>
      <w:r>
        <w:t xml:space="preserve">,</w:t>
      </w:r>
      <w:r>
        <w:t xml:space="preserve"> </w:t>
      </w:r>
      <w:r>
        <w:rPr>
          <w:i/>
          <w:iCs/>
        </w:rPr>
        <w:t xml:space="preserve">2025</w:t>
      </w:r>
      <w:r>
        <w:t xml:space="preserve">(68), 10–13.</w:t>
      </w:r>
      <w:r>
        <w:t xml:space="preserve"> </w:t>
      </w:r>
      <w:hyperlink r:id="rId147">
        <w:r>
          <w:rPr>
            <w:rStyle w:val="Hyperlink"/>
          </w:rPr>
          <w:t xml:space="preserve">https://doi.org/10.1093/jncimonographs/lgae050</w:t>
        </w:r>
      </w:hyperlink>
    </w:p>
    <w:bookmarkEnd w:id="148"/>
    <w:bookmarkStart w:id="150" w:name="ref-Jeffreys1938"/>
    <w:p>
      <w:pPr>
        <w:pStyle w:val="Bibliography"/>
      </w:pPr>
      <w:r>
        <w:t xml:space="preserve">Jeffreys, H. (1938). Significance tests when several degrees of freedom arise simultaneously.</w:t>
      </w:r>
      <w:r>
        <w:t xml:space="preserve"> </w:t>
      </w:r>
      <w:r>
        <w:rPr>
          <w:i/>
          <w:iCs/>
        </w:rPr>
        <w:t xml:space="preserve">Proceedings of the Royal Society of London. Series A. Mathematical and Physical Sciences</w:t>
      </w:r>
      <w:r>
        <w:t xml:space="preserve">,</w:t>
      </w:r>
      <w:r>
        <w:t xml:space="preserve"> </w:t>
      </w:r>
      <w:r>
        <w:rPr>
          <w:i/>
          <w:iCs/>
        </w:rPr>
        <w:t xml:space="preserve">165</w:t>
      </w:r>
      <w:r>
        <w:t xml:space="preserve">(921), 161–198.</w:t>
      </w:r>
      <w:r>
        <w:t xml:space="preserve"> </w:t>
      </w:r>
      <w:hyperlink r:id="rId149">
        <w:r>
          <w:rPr>
            <w:rStyle w:val="Hyperlink"/>
          </w:rPr>
          <w:t xml:space="preserve">https://doi.org/10.1098/rspa.1938.0052</w:t>
        </w:r>
      </w:hyperlink>
    </w:p>
    <w:bookmarkEnd w:id="150"/>
    <w:bookmarkStart w:id="152" w:name="ref-Jevremov2024"/>
    <w:p>
      <w:pPr>
        <w:pStyle w:val="Bibliography"/>
      </w:pPr>
      <w:r>
        <w:t xml:space="preserve">Jevremov, T., &amp; Pajić, D. (2024). Bayesian method in psychology: A bibliometric analysis.</w:t>
      </w:r>
      <w:r>
        <w:t xml:space="preserve"> </w:t>
      </w:r>
      <w:r>
        <w:rPr>
          <w:i/>
          <w:iCs/>
        </w:rPr>
        <w:t xml:space="preserve">Current Psychology</w:t>
      </w:r>
      <w:r>
        <w:t xml:space="preserve">,</w:t>
      </w:r>
      <w:r>
        <w:t xml:space="preserve"> </w:t>
      </w:r>
      <w:r>
        <w:rPr>
          <w:i/>
          <w:iCs/>
        </w:rPr>
        <w:t xml:space="preserve">43</w:t>
      </w:r>
      <w:r>
        <w:t xml:space="preserve">(10), 8644–8654.</w:t>
      </w:r>
      <w:r>
        <w:t xml:space="preserve"> </w:t>
      </w:r>
      <w:hyperlink r:id="rId151">
        <w:r>
          <w:rPr>
            <w:rStyle w:val="Hyperlink"/>
          </w:rPr>
          <w:t xml:space="preserve">https://doi.org/10.1007/s12144-023-05003-3</w:t>
        </w:r>
      </w:hyperlink>
    </w:p>
    <w:bookmarkEnd w:id="152"/>
    <w:bookmarkStart w:id="154" w:name="ref-deJong2019"/>
    <w:p>
      <w:pPr>
        <w:pStyle w:val="Bibliography"/>
      </w:pPr>
      <w:r>
        <w:t xml:space="preserve">Jong, T. de. (2019).</w:t>
      </w:r>
      <w:r>
        <w:t xml:space="preserve"> </w:t>
      </w:r>
      <w:r>
        <w:rPr>
          <w:i/>
          <w:iCs/>
        </w:rPr>
        <w:t xml:space="preserve">A bayesian approach to the correction for multiplicity</w:t>
      </w:r>
      <w:r>
        <w:t xml:space="preserve">. PsyArXiv preprint.</w:t>
      </w:r>
      <w:r>
        <w:t xml:space="preserve"> </w:t>
      </w:r>
      <w:hyperlink r:id="rId153">
        <w:r>
          <w:rPr>
            <w:rStyle w:val="Hyperlink"/>
          </w:rPr>
          <w:t xml:space="preserve">https://doi.org/10.31234/osf.io/s56mk</w:t>
        </w:r>
      </w:hyperlink>
    </w:p>
    <w:bookmarkEnd w:id="154"/>
    <w:bookmarkStart w:id="156" w:name="ref-Kelter2023"/>
    <w:p>
      <w:pPr>
        <w:pStyle w:val="Bibliography"/>
      </w:pPr>
      <w:r>
        <w:t xml:space="preserve">Kelter, R. (2023). How to choose between different bayesian posterior indices for hypothesis testing in practice.</w:t>
      </w:r>
      <w:r>
        <w:t xml:space="preserve"> </w:t>
      </w:r>
      <w:r>
        <w:rPr>
          <w:i/>
          <w:iCs/>
        </w:rPr>
        <w:t xml:space="preserve">Multivariate Behavioral Research</w:t>
      </w:r>
      <w:r>
        <w:t xml:space="preserve">,</w:t>
      </w:r>
      <w:r>
        <w:t xml:space="preserve"> </w:t>
      </w:r>
      <w:r>
        <w:rPr>
          <w:i/>
          <w:iCs/>
        </w:rPr>
        <w:t xml:space="preserve">58</w:t>
      </w:r>
      <w:r>
        <w:t xml:space="preserve">(1), 160–188.</w:t>
      </w:r>
      <w:r>
        <w:t xml:space="preserve"> </w:t>
      </w:r>
      <w:hyperlink r:id="rId155">
        <w:r>
          <w:rPr>
            <w:rStyle w:val="Hyperlink"/>
          </w:rPr>
          <w:t xml:space="preserve">https://doi.org/10.1080/00273171.2021.1967716</w:t>
        </w:r>
      </w:hyperlink>
    </w:p>
    <w:bookmarkEnd w:id="156"/>
    <w:bookmarkStart w:id="158" w:name="ref-Kruschke2011"/>
    <w:p>
      <w:pPr>
        <w:pStyle w:val="Bibliography"/>
      </w:pPr>
      <w:r>
        <w:t xml:space="preserve">Kruschke, J. K. (2011). Bayesian assessment of null values via parameter estimation and model comparison.</w:t>
      </w:r>
      <w:r>
        <w:t xml:space="preserve"> </w:t>
      </w:r>
      <w:r>
        <w:rPr>
          <w:i/>
          <w:iCs/>
        </w:rPr>
        <w:t xml:space="preserve">Perspectives on Psychological Science</w:t>
      </w:r>
      <w:r>
        <w:t xml:space="preserve">,</w:t>
      </w:r>
      <w:r>
        <w:t xml:space="preserve"> </w:t>
      </w:r>
      <w:r>
        <w:rPr>
          <w:i/>
          <w:iCs/>
        </w:rPr>
        <w:t xml:space="preserve">6</w:t>
      </w:r>
      <w:r>
        <w:t xml:space="preserve">(3), 299–312.</w:t>
      </w:r>
      <w:r>
        <w:t xml:space="preserve"> </w:t>
      </w:r>
      <w:hyperlink r:id="rId157">
        <w:r>
          <w:rPr>
            <w:rStyle w:val="Hyperlink"/>
          </w:rPr>
          <w:t xml:space="preserve">https://doi.org/10.1177/1745691611406925</w:t>
        </w:r>
      </w:hyperlink>
    </w:p>
    <w:bookmarkEnd w:id="158"/>
    <w:bookmarkStart w:id="160" w:name="ref-Kruschke2018"/>
    <w:p>
      <w:pPr>
        <w:pStyle w:val="Bibliography"/>
      </w:pPr>
      <w:r>
        <w:t xml:space="preserve">Kruschke, J. K. (2018). Rejecting or</w:t>
      </w:r>
      <w:r>
        <w:t xml:space="preserve"> </w:t>
      </w:r>
      <w:r>
        <w:t xml:space="preserve">Accepting Parameter Values</w:t>
      </w:r>
      <w:r>
        <w:t xml:space="preserve"> </w:t>
      </w:r>
      <w:r>
        <w:t xml:space="preserve">in</w:t>
      </w:r>
      <w:r>
        <w:t xml:space="preserve"> </w:t>
      </w:r>
      <w:r>
        <w:t xml:space="preserve">Bayesian Estimation</w:t>
      </w:r>
      <w:r>
        <w:t xml:space="preserve">.</w:t>
      </w:r>
      <w:r>
        <w:t xml:space="preserve"> </w:t>
      </w:r>
      <w:r>
        <w:rPr>
          <w:i/>
          <w:iCs/>
        </w:rPr>
        <w:t xml:space="preserve">Advances in Methods and Practices in Psychological Science</w:t>
      </w:r>
      <w:r>
        <w:t xml:space="preserve">,</w:t>
      </w:r>
      <w:r>
        <w:t xml:space="preserve"> </w:t>
      </w:r>
      <w:r>
        <w:rPr>
          <w:i/>
          <w:iCs/>
        </w:rPr>
        <w:t xml:space="preserve">1</w:t>
      </w:r>
      <w:r>
        <w:t xml:space="preserve">(2), 270–280.</w:t>
      </w:r>
      <w:r>
        <w:t xml:space="preserve"> </w:t>
      </w:r>
      <w:hyperlink r:id="rId159">
        <w:r>
          <w:rPr>
            <w:rStyle w:val="Hyperlink"/>
          </w:rPr>
          <w:t xml:space="preserve">https://doi.org/10.1177/2515245918771304</w:t>
        </w:r>
      </w:hyperlink>
    </w:p>
    <w:bookmarkEnd w:id="160"/>
    <w:bookmarkStart w:id="162" w:name="ref-Lakens2018"/>
    <w:p>
      <w:pPr>
        <w:pStyle w:val="Bibliography"/>
      </w:pPr>
      <w:r>
        <w:t xml:space="preserve">Lakens, D., Scheel, A. M., &amp; Isager, P. M. (2018). Equivalence testing for psychological research:</w:t>
      </w:r>
      <w:r>
        <w:t xml:space="preserve"> </w:t>
      </w:r>
      <w:r>
        <w:t xml:space="preserve">A</w:t>
      </w:r>
      <w:r>
        <w:t xml:space="preserve"> </w:t>
      </w:r>
      <w:r>
        <w:t xml:space="preserve">tutorial.</w:t>
      </w:r>
      <w:r>
        <w:t xml:space="preserve"> </w:t>
      </w:r>
      <w:r>
        <w:rPr>
          <w:i/>
          <w:iCs/>
        </w:rPr>
        <w:t xml:space="preserve">Advances in Methods and Practices in Psychological Science</w:t>
      </w:r>
      <w:r>
        <w:t xml:space="preserve">,</w:t>
      </w:r>
      <w:r>
        <w:t xml:space="preserve"> </w:t>
      </w:r>
      <w:r>
        <w:rPr>
          <w:i/>
          <w:iCs/>
        </w:rPr>
        <w:t xml:space="preserve">1</w:t>
      </w:r>
      <w:r>
        <w:t xml:space="preserve">(2), 259–269.</w:t>
      </w:r>
      <w:r>
        <w:t xml:space="preserve"> </w:t>
      </w:r>
      <w:hyperlink r:id="rId161">
        <w:r>
          <w:rPr>
            <w:rStyle w:val="Hyperlink"/>
          </w:rPr>
          <w:t xml:space="preserve">https://doi.org/10.1177/2515245918770963</w:t>
        </w:r>
      </w:hyperlink>
    </w:p>
    <w:bookmarkEnd w:id="162"/>
    <w:bookmarkStart w:id="164" w:name="ref-Lin2020"/>
    <w:p>
      <w:pPr>
        <w:pStyle w:val="Bibliography"/>
      </w:pPr>
      <w:r>
        <w:t xml:space="preserve">Lin, H., Saunders, B., Friese, M., Evans, N. J., &amp; Inzlicht, M. (2020). Strong effort manipulations reduce response caution: A preregistered reinvention of the ego-depletion paradigm.</w:t>
      </w:r>
      <w:r>
        <w:t xml:space="preserve"> </w:t>
      </w:r>
      <w:r>
        <w:rPr>
          <w:i/>
          <w:iCs/>
        </w:rPr>
        <w:t xml:space="preserve">Psychological Science</w:t>
      </w:r>
      <w:r>
        <w:t xml:space="preserve">,</w:t>
      </w:r>
      <w:r>
        <w:t xml:space="preserve"> </w:t>
      </w:r>
      <w:r>
        <w:rPr>
          <w:i/>
          <w:iCs/>
        </w:rPr>
        <w:t xml:space="preserve">31</w:t>
      </w:r>
      <w:r>
        <w:t xml:space="preserve">(5), 531–547.</w:t>
      </w:r>
      <w:r>
        <w:t xml:space="preserve"> </w:t>
      </w:r>
      <w:hyperlink r:id="rId163">
        <w:r>
          <w:rPr>
            <w:rStyle w:val="Hyperlink"/>
          </w:rPr>
          <w:t xml:space="preserve">https://doi.org/10.1177/0956797620904990</w:t>
        </w:r>
      </w:hyperlink>
    </w:p>
    <w:bookmarkEnd w:id="164"/>
    <w:bookmarkStart w:id="166" w:name="ref-Ly2016"/>
    <w:p>
      <w:pPr>
        <w:pStyle w:val="Bibliography"/>
      </w:pPr>
      <w:r>
        <w:t xml:space="preserve">Ly, A., Verhagen, J., &amp; Wagenmakers, E.-J. (2016). Harold jeffreys’s default bayes factor hypothesis tests: Explanation, extension, and application in psychology.</w:t>
      </w:r>
      <w:r>
        <w:t xml:space="preserve"> </w:t>
      </w:r>
      <w:r>
        <w:rPr>
          <w:i/>
          <w:iCs/>
        </w:rPr>
        <w:t xml:space="preserve">Journal of Mathematical Psychology</w:t>
      </w:r>
      <w:r>
        <w:t xml:space="preserve">,</w:t>
      </w:r>
      <w:r>
        <w:t xml:space="preserve"> </w:t>
      </w:r>
      <w:r>
        <w:rPr>
          <w:i/>
          <w:iCs/>
        </w:rPr>
        <w:t xml:space="preserve">72</w:t>
      </w:r>
      <w:r>
        <w:t xml:space="preserve">, 19–32.</w:t>
      </w:r>
      <w:r>
        <w:t xml:space="preserve"> </w:t>
      </w:r>
      <w:hyperlink r:id="rId165">
        <w:r>
          <w:rPr>
            <w:rStyle w:val="Hyperlink"/>
          </w:rPr>
          <w:t xml:space="preserve">https://doi.org/10.1016/j.jmp.2015.06.004</w:t>
        </w:r>
      </w:hyperlink>
    </w:p>
    <w:bookmarkEnd w:id="166"/>
    <w:bookmarkStart w:id="168" w:name="ref-Makowski2019"/>
    <w:p>
      <w:pPr>
        <w:pStyle w:val="Bibliography"/>
      </w:pPr>
      <w:r>
        <w:t xml:space="preserve">Makowski, D., Ben-Shachar, M. S., Chen, S. H. A., &amp; Lüdecke, D. (2019). Indices of effect existence and significance in the bayesian framework.</w:t>
      </w:r>
      <w:r>
        <w:t xml:space="preserve"> </w:t>
      </w:r>
      <w:r>
        <w:rPr>
          <w:i/>
          <w:iCs/>
        </w:rPr>
        <w:t xml:space="preserve">Frontiers in Psychology</w:t>
      </w:r>
      <w:r>
        <w:t xml:space="preserve">,</w:t>
      </w:r>
      <w:r>
        <w:t xml:space="preserve"> </w:t>
      </w:r>
      <w:r>
        <w:rPr>
          <w:i/>
          <w:iCs/>
        </w:rPr>
        <w:t xml:space="preserve">Volume 10 - 2019</w:t>
      </w:r>
      <w:r>
        <w:t xml:space="preserve">.</w:t>
      </w:r>
      <w:r>
        <w:t xml:space="preserve"> </w:t>
      </w:r>
      <w:hyperlink r:id="rId167">
        <w:r>
          <w:rPr>
            <w:rStyle w:val="Hyperlink"/>
          </w:rPr>
          <w:t xml:space="preserve">https://doi.org/10.3389/fpsyg.2019.02767</w:t>
        </w:r>
      </w:hyperlink>
    </w:p>
    <w:bookmarkEnd w:id="168"/>
    <w:bookmarkStart w:id="170" w:name="ref-Makowski2020"/>
    <w:p>
      <w:pPr>
        <w:pStyle w:val="Bibliography"/>
      </w:pPr>
      <w:r>
        <w:t xml:space="preserve">Makowski, D., Sperduti, M., Blondé, P., Nicolas, S., &amp; Piolino, P. (2020). The heart of cognitive control: Cardiac phase modulates processing speed and inhibition.</w:t>
      </w:r>
      <w:r>
        <w:t xml:space="preserve"> </w:t>
      </w:r>
      <w:r>
        <w:rPr>
          <w:i/>
          <w:iCs/>
        </w:rPr>
        <w:t xml:space="preserve">Psychophysiology</w:t>
      </w:r>
      <w:r>
        <w:t xml:space="preserve">,</w:t>
      </w:r>
      <w:r>
        <w:t xml:space="preserve"> </w:t>
      </w:r>
      <w:r>
        <w:rPr>
          <w:i/>
          <w:iCs/>
        </w:rPr>
        <w:t xml:space="preserve">57</w:t>
      </w:r>
      <w:r>
        <w:t xml:space="preserve">(3), e13490.</w:t>
      </w:r>
      <w:r>
        <w:t xml:space="preserve"> </w:t>
      </w:r>
      <w:hyperlink r:id="rId169">
        <w:r>
          <w:rPr>
            <w:rStyle w:val="Hyperlink"/>
          </w:rPr>
          <w:t xml:space="preserve">https://doi.org/10.1111/psyp.13490</w:t>
        </w:r>
      </w:hyperlink>
    </w:p>
    <w:bookmarkEnd w:id="170"/>
    <w:bookmarkStart w:id="172" w:name="ref-Marsman2017"/>
    <w:p>
      <w:pPr>
        <w:pStyle w:val="Bibliography"/>
      </w:pPr>
      <w:r>
        <w:t xml:space="preserve">Marsman, M., &amp; Wagenmakers, E.-J. (2017). Three insights from a bayesian interpretation of the one-sided p value.</w:t>
      </w:r>
      <w:r>
        <w:t xml:space="preserve"> </w:t>
      </w:r>
      <w:r>
        <w:rPr>
          <w:i/>
          <w:iCs/>
        </w:rPr>
        <w:t xml:space="preserve">Educational and Psychological Measurement</w:t>
      </w:r>
      <w:r>
        <w:t xml:space="preserve">,</w:t>
      </w:r>
      <w:r>
        <w:t xml:space="preserve"> </w:t>
      </w:r>
      <w:r>
        <w:rPr>
          <w:i/>
          <w:iCs/>
        </w:rPr>
        <w:t xml:space="preserve">77</w:t>
      </w:r>
      <w:r>
        <w:t xml:space="preserve">(3), 529–539.</w:t>
      </w:r>
      <w:r>
        <w:t xml:space="preserve"> </w:t>
      </w:r>
      <w:hyperlink r:id="rId171">
        <w:r>
          <w:rPr>
            <w:rStyle w:val="Hyperlink"/>
          </w:rPr>
          <w:t xml:space="preserve">https://doi.org/10.1177/0013164416669201</w:t>
        </w:r>
      </w:hyperlink>
    </w:p>
    <w:bookmarkEnd w:id="172"/>
    <w:bookmarkStart w:id="174" w:name="ref-Morey2011"/>
    <w:p>
      <w:pPr>
        <w:pStyle w:val="Bibliography"/>
      </w:pPr>
      <w:r>
        <w:t xml:space="preserve">Morey, R. D., &amp; Rouder, J. N. (2011). Bayes factor approaches for testing interval null hypotheses.</w:t>
      </w:r>
      <w:r>
        <w:t xml:space="preserve"> </w:t>
      </w:r>
      <w:r>
        <w:rPr>
          <w:i/>
          <w:iCs/>
        </w:rPr>
        <w:t xml:space="preserve">Psychological Methods</w:t>
      </w:r>
      <w:r>
        <w:t xml:space="preserve">,</w:t>
      </w:r>
      <w:r>
        <w:t xml:space="preserve"> </w:t>
      </w:r>
      <w:r>
        <w:rPr>
          <w:i/>
          <w:iCs/>
        </w:rPr>
        <w:t xml:space="preserve">16</w:t>
      </w:r>
      <w:r>
        <w:t xml:space="preserve">(4), 406–419.</w:t>
      </w:r>
      <w:r>
        <w:t xml:space="preserve"> </w:t>
      </w:r>
      <w:hyperlink r:id="rId173">
        <w:r>
          <w:rPr>
            <w:rStyle w:val="Hyperlink"/>
          </w:rPr>
          <w:t xml:space="preserve">https://doi.org/10.1037/a0024377</w:t>
        </w:r>
      </w:hyperlink>
    </w:p>
    <w:bookmarkEnd w:id="174"/>
    <w:bookmarkStart w:id="176" w:name="ref-Müller2004"/>
    <w:p>
      <w:pPr>
        <w:pStyle w:val="Bibliography"/>
      </w:pPr>
      <w:r>
        <w:t xml:space="preserve">Müller, P., Parmigiani, G., Robert, C., &amp; Rousseau, J. (2004). Optimal sample size for multiple testing.</w:t>
      </w:r>
      <w:r>
        <w:t xml:space="preserve"> </w:t>
      </w:r>
      <w:r>
        <w:rPr>
          <w:i/>
          <w:iCs/>
        </w:rPr>
        <w:t xml:space="preserve">Journal of the American Statistical Association</w:t>
      </w:r>
      <w:r>
        <w:t xml:space="preserve">,</w:t>
      </w:r>
      <w:r>
        <w:t xml:space="preserve"> </w:t>
      </w:r>
      <w:r>
        <w:rPr>
          <w:i/>
          <w:iCs/>
        </w:rPr>
        <w:t xml:space="preserve">99</w:t>
      </w:r>
      <w:r>
        <w:t xml:space="preserve">(468), 990–1001.</w:t>
      </w:r>
      <w:r>
        <w:t xml:space="preserve"> </w:t>
      </w:r>
      <w:hyperlink r:id="rId175">
        <w:r>
          <w:rPr>
            <w:rStyle w:val="Hyperlink"/>
          </w:rPr>
          <w:t xml:space="preserve">https://doi.org/10.1198/016214504000001646</w:t>
        </w:r>
      </w:hyperlink>
    </w:p>
    <w:bookmarkEnd w:id="176"/>
    <w:bookmarkStart w:id="178" w:name="ref-Hagan2019"/>
    <w:p>
      <w:pPr>
        <w:pStyle w:val="Bibliography"/>
      </w:pPr>
      <w:r>
        <w:t xml:space="preserve">O’Hagan, A. (2019). Expert knowledge elicitation: Subjective but scientific.</w:t>
      </w:r>
      <w:r>
        <w:t xml:space="preserve"> </w:t>
      </w:r>
      <w:r>
        <w:rPr>
          <w:i/>
          <w:iCs/>
        </w:rPr>
        <w:t xml:space="preserve">The American Statistician</w:t>
      </w:r>
      <w:r>
        <w:t xml:space="preserve">,</w:t>
      </w:r>
      <w:r>
        <w:t xml:space="preserve"> </w:t>
      </w:r>
      <w:r>
        <w:rPr>
          <w:i/>
          <w:iCs/>
        </w:rPr>
        <w:t xml:space="preserve">73</w:t>
      </w:r>
      <w:r>
        <w:t xml:space="preserve">(sup1), 69–81.</w:t>
      </w:r>
      <w:r>
        <w:t xml:space="preserve"> </w:t>
      </w:r>
      <w:hyperlink r:id="rId177">
        <w:r>
          <w:rPr>
            <w:rStyle w:val="Hyperlink"/>
          </w:rPr>
          <w:t xml:space="preserve">https://doi.org/10.1080/00031305.2018.1518265</w:t>
        </w:r>
      </w:hyperlink>
    </w:p>
    <w:bookmarkEnd w:id="178"/>
    <w:bookmarkStart w:id="180" w:name="ref-Pfadt2025"/>
    <w:p>
      <w:pPr>
        <w:pStyle w:val="Bibliography"/>
      </w:pPr>
      <w:r>
        <w:t xml:space="preserve">Pfadt, J. M., Bartoš, F., Godmann, H. R., Waaijers, M., Groot, L., Heo, I., et al. (2025, October 30).</w:t>
      </w:r>
      <w:r>
        <w:t xml:space="preserve"> </w:t>
      </w:r>
      <w:r>
        <w:rPr>
          <w:i/>
          <w:iCs/>
        </w:rPr>
        <w:t xml:space="preserve">A methodological metamorphosis: The rapid rise of bayesian inference and open science practices in psychology</w:t>
      </w:r>
      <w:r>
        <w:t xml:space="preserve">. OSF Preprints.</w:t>
      </w:r>
      <w:r>
        <w:t xml:space="preserve"> </w:t>
      </w:r>
      <w:hyperlink r:id="rId179">
        <w:r>
          <w:rPr>
            <w:rStyle w:val="Hyperlink"/>
          </w:rPr>
          <w:t xml:space="preserve">https://doi.org/10.31234/osf.io/ck3js_v1</w:t>
        </w:r>
      </w:hyperlink>
    </w:p>
    <w:bookmarkEnd w:id="180"/>
    <w:bookmarkStart w:id="181" w:name="ref-Pruzek2016"/>
    <w:p>
      <w:pPr>
        <w:pStyle w:val="Bibliography"/>
      </w:pPr>
      <w:r>
        <w:t xml:space="preserve">Pruzek, R. M. (2016).</w:t>
      </w:r>
      <w:r>
        <w:t xml:space="preserve"> </w:t>
      </w:r>
      <w:r>
        <w:rPr>
          <w:i/>
          <w:iCs/>
        </w:rPr>
        <w:t xml:space="preserve">An introduction to bayesian inference and its applications</w:t>
      </w:r>
      <w:r>
        <w:t xml:space="preserve"> </w:t>
      </w:r>
      <w:r>
        <w:t xml:space="preserve">(pp. 305–334). Routledge.</w:t>
      </w:r>
    </w:p>
    <w:bookmarkEnd w:id="181"/>
    <w:bookmarkStart w:id="183" w:name="ref-Rubin1984"/>
    <w:p>
      <w:pPr>
        <w:pStyle w:val="Bibliography"/>
      </w:pPr>
      <w:r>
        <w:t xml:space="preserve">Rubin, D. B. (1984). Bayesianly justifiable and relevant frequency calculations for the applied statistician.</w:t>
      </w:r>
      <w:r>
        <w:t xml:space="preserve"> </w:t>
      </w:r>
      <w:r>
        <w:rPr>
          <w:i/>
          <w:iCs/>
        </w:rPr>
        <w:t xml:space="preserve">The Annals of Statistics</w:t>
      </w:r>
      <w:r>
        <w:t xml:space="preserve">,</w:t>
      </w:r>
      <w:r>
        <w:t xml:space="preserve"> </w:t>
      </w:r>
      <w:r>
        <w:rPr>
          <w:i/>
          <w:iCs/>
        </w:rPr>
        <w:t xml:space="preserve">12</w:t>
      </w:r>
      <w:r>
        <w:t xml:space="preserve">(4), 1151–1172.</w:t>
      </w:r>
      <w:r>
        <w:t xml:space="preserve"> </w:t>
      </w:r>
      <w:hyperlink r:id="rId182">
        <w:r>
          <w:rPr>
            <w:rStyle w:val="Hyperlink"/>
          </w:rPr>
          <w:t xml:space="preserve">https://doi.org/10.1214/aos/1176346785</w:t>
        </w:r>
      </w:hyperlink>
    </w:p>
    <w:bookmarkEnd w:id="183"/>
    <w:bookmarkStart w:id="185" w:name="ref-Schnell2020"/>
    <w:p>
      <w:pPr>
        <w:pStyle w:val="Bibliography"/>
      </w:pPr>
      <w:r>
        <w:t xml:space="preserve">Schnell, P. M., Fiecas, M., &amp; Carlin, B. P. (2020).</w:t>
      </w:r>
      <w:r>
        <w:t xml:space="preserve"> </w:t>
      </w:r>
      <w:r>
        <w:rPr>
          <w:b/>
          <w:bCs/>
        </w:rPr>
        <w:t xml:space="preserve">credsubs</w:t>
      </w:r>
      <w:r>
        <w:t xml:space="preserve"> </w:t>
      </w:r>
      <w:r>
        <w:t xml:space="preserve">: Multiplicity-adjusted subset identification.</w:t>
      </w:r>
      <w:r>
        <w:t xml:space="preserve"> </w:t>
      </w:r>
      <w:r>
        <w:rPr>
          <w:i/>
          <w:iCs/>
        </w:rPr>
        <w:t xml:space="preserve">Journal of Statistical Software</w:t>
      </w:r>
      <w:r>
        <w:t xml:space="preserve">,</w:t>
      </w:r>
      <w:r>
        <w:t xml:space="preserve"> </w:t>
      </w:r>
      <w:r>
        <w:rPr>
          <w:i/>
          <w:iCs/>
        </w:rPr>
        <w:t xml:space="preserve">94</w:t>
      </w:r>
      <w:r>
        <w:t xml:space="preserve">(7).</w:t>
      </w:r>
      <w:r>
        <w:t xml:space="preserve"> </w:t>
      </w:r>
      <w:hyperlink r:id="rId184">
        <w:r>
          <w:rPr>
            <w:rStyle w:val="Hyperlink"/>
          </w:rPr>
          <w:t xml:space="preserve">https://doi.org/10.18637/jss.v094.i07</w:t>
        </w:r>
      </w:hyperlink>
    </w:p>
    <w:bookmarkEnd w:id="185"/>
    <w:bookmarkStart w:id="187" w:name="ref-Schnell2016"/>
    <w:p>
      <w:pPr>
        <w:pStyle w:val="Bibliography"/>
      </w:pPr>
      <w:r>
        <w:t xml:space="preserve">Schnell, P. M., Tang, Q., Offen, W. W., &amp; Carlin, B. P. (2016). A Bayesian Credible Subgroups Approach to Identifying Patient Subgroups with Positive Treatment Effects.</w:t>
      </w:r>
      <w:r>
        <w:t xml:space="preserve"> </w:t>
      </w:r>
      <w:r>
        <w:rPr>
          <w:i/>
          <w:iCs/>
        </w:rPr>
        <w:t xml:space="preserve">Biometrics</w:t>
      </w:r>
      <w:r>
        <w:t xml:space="preserve">,</w:t>
      </w:r>
      <w:r>
        <w:t xml:space="preserve"> </w:t>
      </w:r>
      <w:r>
        <w:rPr>
          <w:i/>
          <w:iCs/>
        </w:rPr>
        <w:t xml:space="preserve">72</w:t>
      </w:r>
      <w:r>
        <w:t xml:space="preserve">(4), 1026–1036.</w:t>
      </w:r>
      <w:r>
        <w:t xml:space="preserve"> </w:t>
      </w:r>
      <w:hyperlink r:id="rId186">
        <w:r>
          <w:rPr>
            <w:rStyle w:val="Hyperlink"/>
          </w:rPr>
          <w:t xml:space="preserve">https://doi.org/10.1111/biom.12522</w:t>
        </w:r>
      </w:hyperlink>
    </w:p>
    <w:bookmarkEnd w:id="187"/>
    <w:bookmarkStart w:id="189" w:name="ref-Schurr2024"/>
    <w:p>
      <w:pPr>
        <w:pStyle w:val="Bibliography"/>
      </w:pPr>
      <w:r>
        <w:t xml:space="preserve">Schurr, R., Reznik, D., Hillman, H., Bhui, R., &amp; Gershman, S. J. (2024). Dynamic computational phenotyping of human cognition.</w:t>
      </w:r>
      <w:r>
        <w:t xml:space="preserve"> </w:t>
      </w:r>
      <w:r>
        <w:rPr>
          <w:i/>
          <w:iCs/>
        </w:rPr>
        <w:t xml:space="preserve">Nature Human Behaviour</w:t>
      </w:r>
      <w:r>
        <w:t xml:space="preserve">,</w:t>
      </w:r>
      <w:r>
        <w:t xml:space="preserve"> </w:t>
      </w:r>
      <w:r>
        <w:rPr>
          <w:i/>
          <w:iCs/>
        </w:rPr>
        <w:t xml:space="preserve">8</w:t>
      </w:r>
      <w:r>
        <w:t xml:space="preserve">(5), 917–931.</w:t>
      </w:r>
      <w:r>
        <w:t xml:space="preserve"> </w:t>
      </w:r>
      <w:hyperlink r:id="rId188">
        <w:r>
          <w:rPr>
            <w:rStyle w:val="Hyperlink"/>
          </w:rPr>
          <w:t xml:space="preserve">https://doi.org/10.1038/s41562-024-01814-x</w:t>
        </w:r>
      </w:hyperlink>
    </w:p>
    <w:bookmarkEnd w:id="189"/>
    <w:bookmarkStart w:id="190" w:name="ref-Scott2006"/>
    <w:p>
      <w:pPr>
        <w:pStyle w:val="Bibliography"/>
      </w:pPr>
      <w:r>
        <w:t xml:space="preserve">Scott, J. G., &amp; Berger, J. O. (2006). An exploration of aspects of bayesian multiple testing.</w:t>
      </w:r>
      <w:r>
        <w:t xml:space="preserve"> </w:t>
      </w:r>
      <w:r>
        <w:rPr>
          <w:i/>
          <w:iCs/>
        </w:rPr>
        <w:t xml:space="preserve">Journal of Statistical Planning and Inference</w:t>
      </w:r>
      <w:r>
        <w:t xml:space="preserve">,</w:t>
      </w:r>
      <w:r>
        <w:t xml:space="preserve"> </w:t>
      </w:r>
      <w:r>
        <w:rPr>
          <w:i/>
          <w:iCs/>
        </w:rPr>
        <w:t xml:space="preserve">136</w:t>
      </w:r>
      <w:r>
        <w:t xml:space="preserve">(7), 2144–2162.</w:t>
      </w:r>
    </w:p>
    <w:bookmarkEnd w:id="190"/>
    <w:bookmarkStart w:id="192" w:name="ref-Scott2010"/>
    <w:p>
      <w:pPr>
        <w:pStyle w:val="Bibliography"/>
      </w:pPr>
      <w:r>
        <w:t xml:space="preserve">Scott, J. G., &amp; Berger, J. O. (2010).</w:t>
      </w:r>
      <w:r>
        <w:t xml:space="preserve"> </w:t>
      </w:r>
      <w:r>
        <w:t xml:space="preserve">Bayes and empirical-Bayes multiplicity adjustment in the variable-selection problem</w:t>
      </w:r>
      <w:r>
        <w:t xml:space="preserve">.</w:t>
      </w:r>
      <w:r>
        <w:t xml:space="preserve"> </w:t>
      </w:r>
      <w:r>
        <w:rPr>
          <w:i/>
          <w:iCs/>
        </w:rPr>
        <w:t xml:space="preserve">The Annals of Statistics</w:t>
      </w:r>
      <w:r>
        <w:t xml:space="preserve">,</w:t>
      </w:r>
      <w:r>
        <w:t xml:space="preserve"> </w:t>
      </w:r>
      <w:r>
        <w:rPr>
          <w:i/>
          <w:iCs/>
        </w:rPr>
        <w:t xml:space="preserve">38</w:t>
      </w:r>
      <w:r>
        <w:t xml:space="preserve">(5), 2587–2619.</w:t>
      </w:r>
      <w:r>
        <w:t xml:space="preserve"> </w:t>
      </w:r>
      <w:hyperlink r:id="rId191">
        <w:r>
          <w:rPr>
            <w:rStyle w:val="Hyperlink"/>
          </w:rPr>
          <w:t xml:space="preserve">https://doi.org/10.1214/10-AOS792</w:t>
        </w:r>
      </w:hyperlink>
    </w:p>
    <w:bookmarkEnd w:id="192"/>
    <w:bookmarkStart w:id="194" w:name="ref-Shaffer1995"/>
    <w:p>
      <w:pPr>
        <w:pStyle w:val="Bibliography"/>
      </w:pPr>
      <w:r>
        <w:t xml:space="preserve">Shaffer, J. P. (1995). Multiple hypothesis testing.</w:t>
      </w:r>
      <w:r>
        <w:t xml:space="preserve"> </w:t>
      </w:r>
      <w:r>
        <w:rPr>
          <w:i/>
          <w:iCs/>
        </w:rPr>
        <w:t xml:space="preserve">Annual Review of Psychology</w:t>
      </w:r>
      <w:r>
        <w:t xml:space="preserve">,</w:t>
      </w:r>
      <w:r>
        <w:t xml:space="preserve"> </w:t>
      </w:r>
      <w:r>
        <w:rPr>
          <w:i/>
          <w:iCs/>
        </w:rPr>
        <w:t xml:space="preserve">46</w:t>
      </w:r>
      <w:r>
        <w:t xml:space="preserve">, 561–584.</w:t>
      </w:r>
      <w:r>
        <w:t xml:space="preserve"> </w:t>
      </w:r>
      <w:hyperlink r:id="rId193">
        <w:r>
          <w:rPr>
            <w:rStyle w:val="Hyperlink"/>
          </w:rPr>
          <w:t xml:space="preserve">https://doi.org/10.1146/annurev.ps.46.020195.003021</w:t>
        </w:r>
      </w:hyperlink>
    </w:p>
    <w:bookmarkEnd w:id="194"/>
    <w:bookmarkStart w:id="196" w:name="ref-Shi2021"/>
    <w:p>
      <w:pPr>
        <w:pStyle w:val="Bibliography"/>
      </w:pPr>
      <w:r>
        <w:t xml:space="preserve">Shi, H., &amp; Yin, G. (2021). Reconnecting p-value and posterior probability under one- and two-sided tests.</w:t>
      </w:r>
      <w:r>
        <w:t xml:space="preserve"> </w:t>
      </w:r>
      <w:r>
        <w:rPr>
          <w:i/>
          <w:iCs/>
        </w:rPr>
        <w:t xml:space="preserve">The American Statistician</w:t>
      </w:r>
      <w:r>
        <w:t xml:space="preserve">,</w:t>
      </w:r>
      <w:r>
        <w:t xml:space="preserve"> </w:t>
      </w:r>
      <w:r>
        <w:rPr>
          <w:i/>
          <w:iCs/>
        </w:rPr>
        <w:t xml:space="preserve">75</w:t>
      </w:r>
      <w:r>
        <w:t xml:space="preserve">(3), 265–275.</w:t>
      </w:r>
      <w:r>
        <w:t xml:space="preserve"> </w:t>
      </w:r>
      <w:hyperlink r:id="rId195">
        <w:r>
          <w:rPr>
            <w:rStyle w:val="Hyperlink"/>
          </w:rPr>
          <w:t xml:space="preserve">https://doi.org/10.1080/00031305.2020.1717621</w:t>
        </w:r>
      </w:hyperlink>
    </w:p>
    <w:bookmarkEnd w:id="196"/>
    <w:bookmarkStart w:id="198" w:name="ref-Singmann2016"/>
    <w:p>
      <w:pPr>
        <w:pStyle w:val="Bibliography"/>
      </w:pPr>
      <w:r>
        <w:t xml:space="preserve">Singmann, H., Bolker, B., Westfall, J., &amp; Aust, F. (2016).</w:t>
      </w:r>
      <w:r>
        <w:t xml:space="preserve"> </w:t>
      </w:r>
      <w:r>
        <w:rPr>
          <w:i/>
          <w:iCs/>
        </w:rPr>
        <w:t xml:space="preserve">Afex: Analysis of factorial experiments</w:t>
      </w:r>
      <w:r>
        <w:t xml:space="preserve">.</w:t>
      </w:r>
      <w:r>
        <w:t xml:space="preserve"> </w:t>
      </w:r>
      <w:hyperlink r:id="rId197">
        <w:r>
          <w:rPr>
            <w:rStyle w:val="Hyperlink"/>
          </w:rPr>
          <w:t xml:space="preserve">https://CRAN.R-project.org/package=afex</w:t>
        </w:r>
      </w:hyperlink>
    </w:p>
    <w:bookmarkEnd w:id="198"/>
    <w:bookmarkStart w:id="200" w:name="ref-Stephens2017"/>
    <w:p>
      <w:pPr>
        <w:pStyle w:val="Bibliography"/>
      </w:pPr>
      <w:r>
        <w:t xml:space="preserve">Stephens, M. (2017). False discovery rates: A new deal.</w:t>
      </w:r>
      <w:r>
        <w:t xml:space="preserve"> </w:t>
      </w:r>
      <w:r>
        <w:rPr>
          <w:i/>
          <w:iCs/>
        </w:rPr>
        <w:t xml:space="preserve">Biostatistics (Oxford, England)</w:t>
      </w:r>
      <w:r>
        <w:t xml:space="preserve">,</w:t>
      </w:r>
      <w:r>
        <w:t xml:space="preserve"> </w:t>
      </w:r>
      <w:r>
        <w:rPr>
          <w:i/>
          <w:iCs/>
        </w:rPr>
        <w:t xml:space="preserve">18</w:t>
      </w:r>
      <w:r>
        <w:t xml:space="preserve">(2), 275–294.</w:t>
      </w:r>
      <w:r>
        <w:t xml:space="preserve"> </w:t>
      </w:r>
      <w:hyperlink r:id="rId199">
        <w:r>
          <w:rPr>
            <w:rStyle w:val="Hyperlink"/>
          </w:rPr>
          <w:t xml:space="preserve">https://doi.org/10.1093/biostatistics/kxw041</w:t>
        </w:r>
      </w:hyperlink>
    </w:p>
    <w:bookmarkEnd w:id="200"/>
    <w:bookmarkStart w:id="202" w:name="ref-Stone2024"/>
    <w:p>
      <w:pPr>
        <w:pStyle w:val="Bibliography"/>
      </w:pPr>
      <w:r>
        <w:t xml:space="preserve">Stone-Sabali, S., Uanhoro, J. O., McClain, S., Bernard, D., Makari, S., &amp; Chapman-Hilliard, C. (2024). Impostorism and</w:t>
      </w:r>
      <w:r>
        <w:t xml:space="preserve"> </w:t>
      </w:r>
      <w:r>
        <w:t xml:space="preserve">Psychological Distress</w:t>
      </w:r>
      <w:r>
        <w:t xml:space="preserve"> </w:t>
      </w:r>
      <w:r>
        <w:t xml:space="preserve">among</w:t>
      </w:r>
      <w:r>
        <w:t xml:space="preserve"> </w:t>
      </w:r>
      <w:r>
        <w:t xml:space="preserve">College Students</w:t>
      </w:r>
      <w:r>
        <w:t xml:space="preserve"> </w:t>
      </w:r>
      <w:r>
        <w:t xml:space="preserve">of</w:t>
      </w:r>
      <w:r>
        <w:t xml:space="preserve"> </w:t>
      </w:r>
      <w:r>
        <w:t xml:space="preserve">Color</w:t>
      </w:r>
      <w:r>
        <w:t xml:space="preserve">:</w:t>
      </w:r>
      <w:r>
        <w:t xml:space="preserve"> </w:t>
      </w:r>
      <w:r>
        <w:t xml:space="preserve">A</w:t>
      </w:r>
      <w:r>
        <w:t xml:space="preserve"> </w:t>
      </w:r>
      <w:r>
        <w:t xml:space="preserve">moderation analysis of</w:t>
      </w:r>
      <w:r>
        <w:t xml:space="preserve"> </w:t>
      </w:r>
      <w:r>
        <w:t xml:space="preserve">Shame-proneness</w:t>
      </w:r>
      <w:r>
        <w:t xml:space="preserve">,</w:t>
      </w:r>
      <w:r>
        <w:t xml:space="preserve"> </w:t>
      </w:r>
      <w:r>
        <w:t xml:space="preserve">Race</w:t>
      </w:r>
      <w:r>
        <w:t xml:space="preserve">,</w:t>
      </w:r>
      <w:r>
        <w:t xml:space="preserve"> </w:t>
      </w:r>
      <w:r>
        <w:t xml:space="preserve">Gender</w:t>
      </w:r>
      <w:r>
        <w:t xml:space="preserve">, and</w:t>
      </w:r>
      <w:r>
        <w:t xml:space="preserve"> </w:t>
      </w:r>
      <w:r>
        <w:t xml:space="preserve">Race-Gender Interactions</w:t>
      </w:r>
      <w:r>
        <w:t xml:space="preserve">.</w:t>
      </w:r>
      <w:r>
        <w:t xml:space="preserve"> </w:t>
      </w:r>
      <w:r>
        <w:rPr>
          <w:i/>
          <w:iCs/>
        </w:rPr>
        <w:t xml:space="preserve">Current Psychology</w:t>
      </w:r>
      <w:r>
        <w:t xml:space="preserve">,</w:t>
      </w:r>
      <w:r>
        <w:t xml:space="preserve"> </w:t>
      </w:r>
      <w:r>
        <w:rPr>
          <w:i/>
          <w:iCs/>
        </w:rPr>
        <w:t xml:space="preserve">43</w:t>
      </w:r>
      <w:r>
        <w:t xml:space="preserve">(4), 3632–3648.</w:t>
      </w:r>
      <w:r>
        <w:t xml:space="preserve"> </w:t>
      </w:r>
      <w:hyperlink r:id="rId201">
        <w:r>
          <w:rPr>
            <w:rStyle w:val="Hyperlink"/>
          </w:rPr>
          <w:t xml:space="preserve">https://doi.org/10.1007/s12144-023-04579-0</w:t>
        </w:r>
      </w:hyperlink>
    </w:p>
    <w:bookmarkEnd w:id="202"/>
    <w:bookmarkStart w:id="204" w:name="ref-Storey2002"/>
    <w:p>
      <w:pPr>
        <w:pStyle w:val="Bibliography"/>
      </w:pPr>
      <w:r>
        <w:t xml:space="preserve">Storey, J. D. (2002). A direct approach to false discovery rates.</w:t>
      </w:r>
      <w:r>
        <w:t xml:space="preserve"> </w:t>
      </w:r>
      <w:r>
        <w:rPr>
          <w:i/>
          <w:iCs/>
        </w:rPr>
        <w:t xml:space="preserve">Journal of the Royal Statistical Society: Series B (Statistical Methodology)</w:t>
      </w:r>
      <w:r>
        <w:t xml:space="preserve">,</w:t>
      </w:r>
      <w:r>
        <w:t xml:space="preserve"> </w:t>
      </w:r>
      <w:r>
        <w:rPr>
          <w:i/>
          <w:iCs/>
        </w:rPr>
        <w:t xml:space="preserve">64</w:t>
      </w:r>
      <w:r>
        <w:t xml:space="preserve">(3), 479–498.</w:t>
      </w:r>
      <w:r>
        <w:t xml:space="preserve"> </w:t>
      </w:r>
      <w:hyperlink r:id="rId203">
        <w:r>
          <w:rPr>
            <w:rStyle w:val="Hyperlink"/>
          </w:rPr>
          <w:t xml:space="preserve">https://doi.org/10.1111/1467-9868.00346</w:t>
        </w:r>
      </w:hyperlink>
    </w:p>
    <w:bookmarkEnd w:id="204"/>
    <w:bookmarkStart w:id="206" w:name="ref-Storey2003"/>
    <w:p>
      <w:pPr>
        <w:pStyle w:val="Bibliography"/>
      </w:pPr>
      <w:r>
        <w:t xml:space="preserve">Storey, J. D. (2003). The positive false discovery rate: A bayesian interpretation and the q-value.</w:t>
      </w:r>
      <w:r>
        <w:t xml:space="preserve"> </w:t>
      </w:r>
      <w:r>
        <w:rPr>
          <w:i/>
          <w:iCs/>
        </w:rPr>
        <w:t xml:space="preserve">The Annals of Statistics</w:t>
      </w:r>
      <w:r>
        <w:t xml:space="preserve">,</w:t>
      </w:r>
      <w:r>
        <w:t xml:space="preserve"> </w:t>
      </w:r>
      <w:r>
        <w:rPr>
          <w:i/>
          <w:iCs/>
        </w:rPr>
        <w:t xml:space="preserve">31</w:t>
      </w:r>
      <w:r>
        <w:t xml:space="preserve">(6), 2013–2035.</w:t>
      </w:r>
      <w:r>
        <w:t xml:space="preserve"> </w:t>
      </w:r>
      <w:hyperlink r:id="rId205">
        <w:r>
          <w:rPr>
            <w:rStyle w:val="Hyperlink"/>
          </w:rPr>
          <w:t xml:space="preserve">https://doi.org/10.1214/aos/1074290335</w:t>
        </w:r>
      </w:hyperlink>
    </w:p>
    <w:bookmarkEnd w:id="206"/>
    <w:bookmarkStart w:id="208" w:name="ref-Tendeiro2019"/>
    <w:p>
      <w:pPr>
        <w:pStyle w:val="Bibliography"/>
      </w:pPr>
      <w:r>
        <w:t xml:space="preserve">Tendeiro, J. N., &amp; Kiers, H. A. (2019). A review of issues about null hypothesis bayesian testing.</w:t>
      </w:r>
      <w:r>
        <w:t xml:space="preserve"> </w:t>
      </w:r>
      <w:r>
        <w:rPr>
          <w:i/>
          <w:iCs/>
        </w:rPr>
        <w:t xml:space="preserve">Psychological Methods</w:t>
      </w:r>
      <w:r>
        <w:t xml:space="preserve">,</w:t>
      </w:r>
      <w:r>
        <w:t xml:space="preserve"> </w:t>
      </w:r>
      <w:r>
        <w:rPr>
          <w:i/>
          <w:iCs/>
        </w:rPr>
        <w:t xml:space="preserve">24</w:t>
      </w:r>
      <w:r>
        <w:t xml:space="preserve">(6), 774.</w:t>
      </w:r>
      <w:r>
        <w:t xml:space="preserve"> </w:t>
      </w:r>
      <w:hyperlink r:id="rId207">
        <w:r>
          <w:rPr>
            <w:rStyle w:val="Hyperlink"/>
          </w:rPr>
          <w:t xml:space="preserve">https://doi.org/10.1037/met0000221</w:t>
        </w:r>
      </w:hyperlink>
    </w:p>
    <w:bookmarkEnd w:id="208"/>
    <w:bookmarkStart w:id="210" w:name="ref-Tendeiro2024"/>
    <w:p>
      <w:pPr>
        <w:pStyle w:val="Bibliography"/>
      </w:pPr>
      <w:r>
        <w:t xml:space="preserve">Tendeiro, J. N., Kiers, H. A., Hoekstra, R., Wong, T. K., &amp; Morey, R. D. (2024). Diagnosing the misuse of the bayes factor in applied research.</w:t>
      </w:r>
      <w:r>
        <w:t xml:space="preserve"> </w:t>
      </w:r>
      <w:r>
        <w:rPr>
          <w:i/>
          <w:iCs/>
        </w:rPr>
        <w:t xml:space="preserve">Advances in Methods and Practices in Psychological Science</w:t>
      </w:r>
      <w:r>
        <w:t xml:space="preserve">,</w:t>
      </w:r>
      <w:r>
        <w:t xml:space="preserve"> </w:t>
      </w:r>
      <w:r>
        <w:rPr>
          <w:i/>
          <w:iCs/>
        </w:rPr>
        <w:t xml:space="preserve">7</w:t>
      </w:r>
      <w:r>
        <w:t xml:space="preserve">(1), 25152459231213371.</w:t>
      </w:r>
      <w:r>
        <w:t xml:space="preserve"> </w:t>
      </w:r>
      <w:hyperlink r:id="rId209">
        <w:r>
          <w:rPr>
            <w:rStyle w:val="Hyperlink"/>
          </w:rPr>
          <w:t xml:space="preserve">https://doi.org/10.1177/25152459231213371</w:t>
        </w:r>
      </w:hyperlink>
    </w:p>
    <w:bookmarkEnd w:id="210"/>
    <w:bookmarkStart w:id="212" w:name="ref-Van2017"/>
    <w:p>
      <w:pPr>
        <w:pStyle w:val="Bibliography"/>
      </w:pPr>
      <w:r>
        <w:t xml:space="preserve">Van De Schoot, R., Winter, S. D., Ryan, O., Zondervan-Zwijnenburg, M., &amp; Depaoli, S. (2017). A systematic review of bayesian articles in psychology: The last 25 years.</w:t>
      </w:r>
      <w:r>
        <w:t xml:space="preserve"> </w:t>
      </w:r>
      <w:r>
        <w:rPr>
          <w:i/>
          <w:iCs/>
        </w:rPr>
        <w:t xml:space="preserve">Psychological Methods</w:t>
      </w:r>
      <w:r>
        <w:t xml:space="preserve">,</w:t>
      </w:r>
      <w:r>
        <w:t xml:space="preserve"> </w:t>
      </w:r>
      <w:r>
        <w:rPr>
          <w:i/>
          <w:iCs/>
        </w:rPr>
        <w:t xml:space="preserve">22</w:t>
      </w:r>
      <w:r>
        <w:t xml:space="preserve">(2), 217.</w:t>
      </w:r>
      <w:r>
        <w:t xml:space="preserve"> </w:t>
      </w:r>
      <w:hyperlink r:id="rId211">
        <w:r>
          <w:rPr>
            <w:rStyle w:val="Hyperlink"/>
          </w:rPr>
          <w:t xml:space="preserve">https://doi.org/10.1037/met0000100</w:t>
        </w:r>
      </w:hyperlink>
    </w:p>
    <w:bookmarkEnd w:id="212"/>
    <w:bookmarkStart w:id="214" w:name="ref-Bergh2020"/>
    <w:p>
      <w:pPr>
        <w:pStyle w:val="Bibliography"/>
      </w:pPr>
      <w:r>
        <w:t xml:space="preserve">van den Bergh, D., van Doorn, J., Marsman, M., Draws, T., van Kesteren, E.-J., Derks, K., Dablander, F., Gronau, Q. F., Kucharský, Š., Gupta, A. R. K. N., Sarafoglou, A., Voelkel, J. G., Stefan, A., Ly, A., Hinne, M., Matzke, D., &amp; Wagenmakers, E.-J. (2020). A tutorial on conducting and interpreting a</w:t>
      </w:r>
      <w:r>
        <w:t xml:space="preserve"> </w:t>
      </w:r>
      <w:r>
        <w:t xml:space="preserve">Bayesian ANOVA</w:t>
      </w:r>
      <w:r>
        <w:t xml:space="preserve"> </w:t>
      </w:r>
      <w:r>
        <w:t xml:space="preserve">in</w:t>
      </w:r>
      <w:r>
        <w:t xml:space="preserve"> </w:t>
      </w:r>
      <w:r>
        <w:t xml:space="preserve">JASP</w:t>
      </w:r>
      <w:r>
        <w:t xml:space="preserve">.</w:t>
      </w:r>
      <w:r>
        <w:t xml:space="preserve"> </w:t>
      </w:r>
      <w:r>
        <w:rPr>
          <w:i/>
          <w:iCs/>
        </w:rPr>
        <w:t xml:space="preserve">L’Année Psychologique</w:t>
      </w:r>
      <w:r>
        <w:t xml:space="preserve">,</w:t>
      </w:r>
      <w:r>
        <w:t xml:space="preserve"> </w:t>
      </w:r>
      <w:r>
        <w:rPr>
          <w:i/>
          <w:iCs/>
        </w:rPr>
        <w:t xml:space="preserve">120</w:t>
      </w:r>
      <w:r>
        <w:t xml:space="preserve">(1), 73–96.</w:t>
      </w:r>
      <w:r>
        <w:t xml:space="preserve"> </w:t>
      </w:r>
      <w:hyperlink r:id="rId213">
        <w:r>
          <w:rPr>
            <w:rStyle w:val="Hyperlink"/>
          </w:rPr>
          <w:t xml:space="preserve">https://doi.org/10.3917/anpsy1.201.0073</w:t>
        </w:r>
      </w:hyperlink>
    </w:p>
    <w:bookmarkEnd w:id="214"/>
    <w:bookmarkStart w:id="216" w:name="ref-Ventz2015"/>
    <w:p>
      <w:pPr>
        <w:pStyle w:val="Bibliography"/>
      </w:pPr>
      <w:r>
        <w:t xml:space="preserve">Ventz, S., &amp; Trippa, L. (2015). Bayesian Designs and the Control of Frequentist Characteristics: A Practical Solution.</w:t>
      </w:r>
      <w:r>
        <w:t xml:space="preserve"> </w:t>
      </w:r>
      <w:r>
        <w:rPr>
          <w:i/>
          <w:iCs/>
        </w:rPr>
        <w:t xml:space="preserve">Biometrics</w:t>
      </w:r>
      <w:r>
        <w:t xml:space="preserve">,</w:t>
      </w:r>
      <w:r>
        <w:t xml:space="preserve"> </w:t>
      </w:r>
      <w:r>
        <w:rPr>
          <w:i/>
          <w:iCs/>
        </w:rPr>
        <w:t xml:space="preserve">71</w:t>
      </w:r>
      <w:r>
        <w:t xml:space="preserve">(1), 218–226.</w:t>
      </w:r>
      <w:r>
        <w:t xml:space="preserve"> </w:t>
      </w:r>
      <w:hyperlink r:id="rId215">
        <w:r>
          <w:rPr>
            <w:rStyle w:val="Hyperlink"/>
          </w:rPr>
          <w:t xml:space="preserve">https://doi.org/10.1111/biom.12226</w:t>
        </w:r>
      </w:hyperlink>
    </w:p>
    <w:bookmarkEnd w:id="216"/>
    <w:bookmarkStart w:id="218" w:name="ref-Westfall1997"/>
    <w:p>
      <w:pPr>
        <w:pStyle w:val="Bibliography"/>
      </w:pPr>
      <w:r>
        <w:t xml:space="preserve">Westfall, P. H., Johnson, W. O., &amp; Utts, J. M. (1997). A bayesian perspective on the bonferroni adjustment.</w:t>
      </w:r>
      <w:r>
        <w:t xml:space="preserve"> </w:t>
      </w:r>
      <w:r>
        <w:rPr>
          <w:i/>
          <w:iCs/>
        </w:rPr>
        <w:t xml:space="preserve">Biometrika</w:t>
      </w:r>
      <w:r>
        <w:t xml:space="preserve">,</w:t>
      </w:r>
      <w:r>
        <w:t xml:space="preserve"> </w:t>
      </w:r>
      <w:r>
        <w:rPr>
          <w:i/>
          <w:iCs/>
        </w:rPr>
        <w:t xml:space="preserve">84</w:t>
      </w:r>
      <w:r>
        <w:t xml:space="preserve">(2), 419–427.</w:t>
      </w:r>
      <w:r>
        <w:t xml:space="preserve"> </w:t>
      </w:r>
      <w:hyperlink r:id="rId217">
        <w:r>
          <w:rPr>
            <w:rStyle w:val="Hyperlink"/>
          </w:rPr>
          <w:t xml:space="preserve">https://doi.org/10.1093/biomet/84.2.419</w:t>
        </w:r>
      </w:hyperlink>
    </w:p>
    <w:bookmarkEnd w:id="218"/>
    <w:bookmarkStart w:id="220" w:name="ref-Westfall2011"/>
    <w:p>
      <w:pPr>
        <w:pStyle w:val="Bibliography"/>
      </w:pPr>
      <w:r>
        <w:t xml:space="preserve">Westfall, P. H., Tobias, R. D., &amp; Wolfinger, R. D. (2011).</w:t>
      </w:r>
      <w:r>
        <w:t xml:space="preserve"> </w:t>
      </w:r>
      <w:r>
        <w:rPr>
          <w:i/>
          <w:iCs/>
        </w:rPr>
        <w:t xml:space="preserve">Multiple comparisons and multiple tests using</w:t>
      </w:r>
      <w:r>
        <w:rPr>
          <w:i/>
          <w:iCs/>
        </w:rPr>
        <w:t xml:space="preserve"> </w:t>
      </w:r>
      <w:r>
        <w:rPr>
          <w:i/>
          <w:iCs/>
        </w:rPr>
        <w:t xml:space="preserve">SAS</w:t>
      </w:r>
      <w:r>
        <w:rPr>
          <w:i/>
          <w:iCs/>
        </w:rPr>
        <w:t xml:space="preserve">, second edition</w:t>
      </w:r>
      <w:r>
        <w:t xml:space="preserve">. SAS Institute.</w:t>
      </w:r>
      <w:r>
        <w:t xml:space="preserve"> </w:t>
      </w:r>
      <w:hyperlink r:id="rId219">
        <w:r>
          <w:rPr>
            <w:rStyle w:val="Hyperlink"/>
          </w:rPr>
          <w:t xml:space="preserve">https://doi.org/10.1002/sim.1168</w:t>
        </w:r>
      </w:hyperlink>
    </w:p>
    <w:bookmarkEnd w:id="220"/>
    <w:bookmarkStart w:id="222" w:name="ref-Westfall1993"/>
    <w:p>
      <w:pPr>
        <w:pStyle w:val="Bibliography"/>
      </w:pPr>
      <w:r>
        <w:t xml:space="preserve">Westfall, P. H., &amp; Young, S. S. (1993).</w:t>
      </w:r>
      <w:r>
        <w:t xml:space="preserve"> </w:t>
      </w:r>
      <w:r>
        <w:rPr>
          <w:i/>
          <w:iCs/>
        </w:rPr>
        <w:t xml:space="preserve">Resampling-based multiple testing: Examples and methods for p-value adjustment</w:t>
      </w:r>
      <w:r>
        <w:t xml:space="preserve">. Wiley.</w:t>
      </w:r>
      <w:r>
        <w:t xml:space="preserve"> </w:t>
      </w:r>
      <w:hyperlink r:id="rId221">
        <w:r>
          <w:rPr>
            <w:rStyle w:val="Hyperlink"/>
          </w:rPr>
          <w:t xml:space="preserve">https://doi.org/10.2307/2348369</w:t>
        </w:r>
      </w:hyperlink>
    </w:p>
    <w:bookmarkEnd w:id="222"/>
    <w:bookmarkStart w:id="224" w:name="ref-Zhang2019"/>
    <w:p>
      <w:pPr>
        <w:pStyle w:val="Bibliography"/>
      </w:pPr>
      <w:r>
        <w:t xml:space="preserve">Zhang, Y., Trippa, L., &amp; Parmigiani, G. (2019). Frequentist operating characteristics of Bayesian optimal designs via simulation.</w:t>
      </w:r>
      <w:r>
        <w:t xml:space="preserve"> </w:t>
      </w:r>
      <w:r>
        <w:rPr>
          <w:i/>
          <w:iCs/>
        </w:rPr>
        <w:t xml:space="preserve">Statistics in Medicine</w:t>
      </w:r>
      <w:r>
        <w:t xml:space="preserve">,</w:t>
      </w:r>
      <w:r>
        <w:t xml:space="preserve"> </w:t>
      </w:r>
      <w:r>
        <w:rPr>
          <w:i/>
          <w:iCs/>
        </w:rPr>
        <w:t xml:space="preserve">38</w:t>
      </w:r>
      <w:r>
        <w:t xml:space="preserve">(21), 4026–4039.</w:t>
      </w:r>
      <w:r>
        <w:t xml:space="preserve"> </w:t>
      </w:r>
      <w:hyperlink r:id="rId223">
        <w:r>
          <w:rPr>
            <w:rStyle w:val="Hyperlink"/>
          </w:rPr>
          <w:t xml:space="preserve">https://doi.org/10.1002/sim.8279</w:t>
        </w:r>
      </w:hyperlink>
    </w:p>
    <w:bookmarkEnd w:id="224"/>
    <w:bookmarkStart w:id="226" w:name="ref-Zwet2021"/>
    <w:p>
      <w:pPr>
        <w:pStyle w:val="Bibliography"/>
      </w:pPr>
      <w:r>
        <w:t xml:space="preserve">Zwet, E. van, &amp; Cator, E. A. (2021). The significance filter, the winner’s curse and the need to shrink.</w:t>
      </w:r>
      <w:r>
        <w:t xml:space="preserve"> </w:t>
      </w:r>
      <w:r>
        <w:rPr>
          <w:i/>
          <w:iCs/>
        </w:rPr>
        <w:t xml:space="preserve">Statistica Neerlandica</w:t>
      </w:r>
      <w:r>
        <w:t xml:space="preserve">,</w:t>
      </w:r>
      <w:r>
        <w:t xml:space="preserve"> </w:t>
      </w:r>
      <w:r>
        <w:rPr>
          <w:i/>
          <w:iCs/>
        </w:rPr>
        <w:t xml:space="preserve">75</w:t>
      </w:r>
      <w:r>
        <w:t xml:space="preserve">(4), 437–452.</w:t>
      </w:r>
      <w:r>
        <w:t xml:space="preserve"> </w:t>
      </w:r>
      <w:hyperlink r:id="rId225">
        <w:r>
          <w:rPr>
            <w:rStyle w:val="Hyperlink"/>
          </w:rPr>
          <w:t xml:space="preserve">https://doi.org/10.1111/stan.12241</w:t>
        </w:r>
      </w:hyperlink>
    </w:p>
    <w:bookmarkEnd w:id="226"/>
    <w:bookmarkStart w:id="228" w:name="ref-Zwet2022"/>
    <w:p>
      <w:pPr>
        <w:pStyle w:val="Bibliography"/>
      </w:pPr>
      <w:r>
        <w:t xml:space="preserve">Zwet, E. van, &amp; Gelman, A. (2022). A proposal for informative default priors scaled by the standard error of estimates.</w:t>
      </w:r>
      <w:r>
        <w:t xml:space="preserve"> </w:t>
      </w:r>
      <w:r>
        <w:rPr>
          <w:i/>
          <w:iCs/>
        </w:rPr>
        <w:t xml:space="preserve">The American Statistician</w:t>
      </w:r>
      <w:r>
        <w:t xml:space="preserve">,</w:t>
      </w:r>
      <w:r>
        <w:t xml:space="preserve"> </w:t>
      </w:r>
      <w:r>
        <w:rPr>
          <w:i/>
          <w:iCs/>
        </w:rPr>
        <w:t xml:space="preserve">76</w:t>
      </w:r>
      <w:r>
        <w:t xml:space="preserve">(1), 1–9.</w:t>
      </w:r>
      <w:r>
        <w:t xml:space="preserve"> </w:t>
      </w:r>
      <w:hyperlink r:id="rId227">
        <w:r>
          <w:rPr>
            <w:rStyle w:val="Hyperlink"/>
          </w:rPr>
          <w:t xml:space="preserve">https://doi.org/10.1080/00031305.2021.1938225</w:t>
        </w:r>
      </w:hyperlink>
    </w:p>
    <w:bookmarkEnd w:id="228"/>
    <w:bookmarkEnd w:id="229"/>
    <w:bookmarkEnd w:id="230"/>
    <w:sectPr w:rsidR="007868AB" w:rsidRPr="005528BA">
      <w:headerReference r:id="rId9" w:type="even"/>
      <w:headerReference r:id="rId11" w:type="default"/>
      <w:footerReference r:id="rId14" w:type="even"/>
      <w:footerReference r:id="rId13" w:type="default"/>
      <w:headerReference r:id="rId10" w:type="first"/>
      <w:footerReference r:id="rId12"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45">
    <w:p>
      <w:pPr>
        <w:pStyle w:val="FootnoteText"/>
      </w:pPr>
      <w:r>
        <w:rPr>
          <w:rStyle w:val="FootnoteReference"/>
        </w:rPr>
        <w:footnoteRef/>
      </w:r>
      <w:r>
        <w:t xml:space="preserve"> </w:t>
      </w:r>
      <w:r>
        <w:t xml:space="preserve">Although frequentist and Bayesian frameworks rest on different foundations, examining the frequentist operating characteristics of a Bayesian procedure (how it behaves over repeated use) is a well-established practice</w:t>
      </w:r>
      <w:r>
        <w:t xml:space="preserve"> </w:t>
      </w:r>
      <w:r>
        <w:t xml:space="preserve">(</w:t>
      </w:r>
      <w:hyperlink w:anchor="ref-Müller2004">
        <w:r>
          <w:rPr>
            <w:rStyle w:val="Hyperlink"/>
          </w:rPr>
          <w:t xml:space="preserve">Müller et al., 2004</w:t>
        </w:r>
      </w:hyperlink>
      <w:r>
        <w:t xml:space="preserve">;</w:t>
      </w:r>
      <w:r>
        <w:t xml:space="preserve"> </w:t>
      </w:r>
      <w:hyperlink w:anchor="ref-Ventz2015">
        <w:r>
          <w:rPr>
            <w:rStyle w:val="Hyperlink"/>
          </w:rPr>
          <w:t xml:space="preserve">Ventz &amp; Trippa, 2015</w:t>
        </w:r>
      </w:hyperlink>
      <w:r>
        <w:t xml:space="preserve">;</w:t>
      </w:r>
      <w:r>
        <w:t xml:space="preserve"> </w:t>
      </w:r>
      <w:hyperlink w:anchor="ref-Zhang2019">
        <w:r>
          <w:rPr>
            <w:rStyle w:val="Hyperlink"/>
          </w:rPr>
          <w:t xml:space="preserve">Zhang et al., 2019</w:t>
        </w:r>
      </w:hyperlink>
      <w:r>
        <w:t xml:space="preserve">)</w:t>
      </w:r>
      <w:r>
        <w:t xml:space="preserve">. This perspective treats long-run performance as a useful diagnostic for Bayesian inference</w:t>
      </w:r>
      <w:r>
        <w:t xml:space="preserve"> </w:t>
      </w:r>
      <w:r>
        <w:t xml:space="preserve">(</w:t>
      </w:r>
      <w:hyperlink w:anchor="ref-GelmanBook">
        <w:r>
          <w:rPr>
            <w:rStyle w:val="Hyperlink"/>
          </w:rPr>
          <w:t xml:space="preserve">Gelman et al., 2013</w:t>
        </w:r>
      </w:hyperlink>
      <w:r>
        <w:t xml:space="preserve">;</w:t>
      </w:r>
      <w:r>
        <w:t xml:space="preserve"> </w:t>
      </w:r>
      <w:hyperlink w:anchor="ref-Rubin1984">
        <w:r>
          <w:rPr>
            <w:rStyle w:val="Hyperlink"/>
          </w:rPr>
          <w:t xml:space="preserve">Rubin, 1984</w:t>
        </w:r>
      </w:hyperlink>
      <w:r>
        <w:t xml:space="preserve">)</w:t>
      </w:r>
      <w:r>
        <w:t xml:space="preserv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36EDA"/>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2E7A3C"/>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057F5"/>
    <w:rsid w:val="00932B9C"/>
    <w:rsid w:val="009638C5"/>
    <w:rsid w:val="009B29FD"/>
    <w:rsid w:val="009B41AF"/>
    <w:rsid w:val="00A072AF"/>
    <w:rsid w:val="00A16B10"/>
    <w:rsid w:val="00A46245"/>
    <w:rsid w:val="00A82821"/>
    <w:rsid w:val="00A946AC"/>
    <w:rsid w:val="00AA1F29"/>
    <w:rsid w:val="00AC3115"/>
    <w:rsid w:val="00AC58E4"/>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23682"/>
    <w:rsid w:val="00C304F7"/>
    <w:rsid w:val="00C4693A"/>
    <w:rsid w:val="00C84525"/>
    <w:rsid w:val="00CA071F"/>
    <w:rsid w:val="00CB7758"/>
    <w:rsid w:val="00CE01EB"/>
    <w:rsid w:val="00D11429"/>
    <w:rsid w:val="00D25C5B"/>
    <w:rsid w:val="00D630B7"/>
    <w:rsid w:val="00D807FA"/>
    <w:rsid w:val="00DA752F"/>
    <w:rsid w:val="00DB4D47"/>
    <w:rsid w:val="00DE772F"/>
    <w:rsid w:val="00E37D61"/>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 w:val="00FC515E"/>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sid w:val="00036EDA"/>
    <w:rPr>
      <w:i w:val="0"/>
      <w:shd w:color="auto" w:fill="F1F3F5" w:val="clear"/>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rsid w:val="00036EDA"/>
    <w:pPr>
      <w:shd w:color="auto" w:fill="F1F3F5" w:val="clear"/>
      <w:wordWrap w:val="0"/>
      <w:spacing w:after="240" w:line="240" w:lineRule="auto"/>
      <w:contextualSpacing/>
    </w:pPr>
  </w:style>
  <w:style w:customStyle="1" w:styleId="KeywordTok" w:type="character">
    <w:name w:val="KeywordTok"/>
    <w:basedOn w:val="VerbatimChar"/>
    <w:rPr>
      <w:rFonts w:ascii="Consolas" w:hAnsi="Consolas"/>
      <w:i w:val="0"/>
      <w:color w:val="003B4F"/>
      <w:sz w:val="22"/>
      <w:shd w:color="auto" w:fill="F1F3F5" w:val="clear"/>
    </w:rPr>
  </w:style>
  <w:style w:customStyle="1" w:styleId="DataTypeTok" w:type="character">
    <w:name w:val="DataTypeTok"/>
    <w:basedOn w:val="VerbatimChar"/>
    <w:rPr>
      <w:rFonts w:ascii="Consolas" w:hAnsi="Consolas"/>
      <w:i w:val="0"/>
      <w:color w:val="AD0000"/>
      <w:sz w:val="22"/>
      <w:shd w:color="auto" w:fill="F1F3F5" w:val="clear"/>
    </w:rPr>
  </w:style>
  <w:style w:customStyle="1" w:styleId="DecValTok" w:type="character">
    <w:name w:val="DecValTok"/>
    <w:basedOn w:val="VerbatimChar"/>
    <w:rPr>
      <w:rFonts w:ascii="Consolas" w:hAnsi="Consolas"/>
      <w:i w:val="0"/>
      <w:color w:val="AD0000"/>
      <w:sz w:val="22"/>
      <w:shd w:color="auto" w:fill="F1F3F5" w:val="clear"/>
    </w:rPr>
  </w:style>
  <w:style w:customStyle="1" w:styleId="BaseNTok" w:type="character">
    <w:name w:val="BaseNTok"/>
    <w:basedOn w:val="VerbatimChar"/>
    <w:rPr>
      <w:rFonts w:ascii="Consolas" w:hAnsi="Consolas"/>
      <w:i w:val="0"/>
      <w:color w:val="AD0000"/>
      <w:sz w:val="22"/>
      <w:shd w:color="auto" w:fill="F1F3F5" w:val="clear"/>
    </w:rPr>
  </w:style>
  <w:style w:customStyle="1" w:styleId="FloatTok" w:type="character">
    <w:name w:val="FloatTok"/>
    <w:basedOn w:val="VerbatimChar"/>
    <w:rPr>
      <w:rFonts w:ascii="Consolas" w:hAnsi="Consolas"/>
      <w:i w:val="0"/>
      <w:color w:val="AD0000"/>
      <w:sz w:val="22"/>
      <w:shd w:color="auto" w:fill="F1F3F5" w:val="clear"/>
    </w:rPr>
  </w:style>
  <w:style w:customStyle="1" w:styleId="ConstantTok" w:type="character">
    <w:name w:val="ConstantTok"/>
    <w:basedOn w:val="VerbatimChar"/>
    <w:rPr>
      <w:rFonts w:ascii="Consolas" w:hAnsi="Consolas"/>
      <w:i w:val="0"/>
      <w:color w:val="8F5902"/>
      <w:sz w:val="22"/>
      <w:shd w:color="auto" w:fill="F1F3F5" w:val="clear"/>
    </w:rPr>
  </w:style>
  <w:style w:customStyle="1" w:styleId="CharTok" w:type="character">
    <w:name w:val="CharTok"/>
    <w:basedOn w:val="VerbatimChar"/>
    <w:rPr>
      <w:rFonts w:ascii="Consolas" w:hAnsi="Consolas"/>
      <w:i w:val="0"/>
      <w:color w:val="20794D"/>
      <w:sz w:val="22"/>
      <w:shd w:color="auto" w:fill="F1F3F5" w:val="clear"/>
    </w:rPr>
  </w:style>
  <w:style w:customStyle="1" w:styleId="SpecialCharTok" w:type="character">
    <w:name w:val="SpecialCharTok"/>
    <w:basedOn w:val="VerbatimChar"/>
    <w:rPr>
      <w:rFonts w:ascii="Consolas" w:hAnsi="Consolas"/>
      <w:i w:val="0"/>
      <w:color w:val="5E5E5E"/>
      <w:sz w:val="22"/>
      <w:shd w:color="auto" w:fill="F1F3F5" w:val="clear"/>
    </w:rPr>
  </w:style>
  <w:style w:customStyle="1" w:styleId="StringTok" w:type="character">
    <w:name w:val="StringTok"/>
    <w:basedOn w:val="VerbatimChar"/>
    <w:rPr>
      <w:rFonts w:ascii="Consolas" w:hAnsi="Consolas"/>
      <w:i w:val="0"/>
      <w:color w:val="20794D"/>
      <w:sz w:val="22"/>
      <w:shd w:color="auto" w:fill="F1F3F5" w:val="clear"/>
    </w:rPr>
  </w:style>
  <w:style w:customStyle="1" w:styleId="VerbatimStringTok" w:type="character">
    <w:name w:val="VerbatimStringTok"/>
    <w:basedOn w:val="VerbatimChar"/>
    <w:rPr>
      <w:rFonts w:ascii="Consolas" w:hAnsi="Consolas"/>
      <w:i w:val="0"/>
      <w:color w:val="20794D"/>
      <w:sz w:val="22"/>
      <w:shd w:color="auto" w:fill="F1F3F5" w:val="clear"/>
    </w:rPr>
  </w:style>
  <w:style w:customStyle="1" w:styleId="SpecialStringTok" w:type="character">
    <w:name w:val="SpecialStringTok"/>
    <w:basedOn w:val="VerbatimChar"/>
    <w:rPr>
      <w:rFonts w:ascii="Consolas" w:hAnsi="Consolas"/>
      <w:i w:val="0"/>
      <w:color w:val="20794D"/>
      <w:sz w:val="22"/>
      <w:shd w:color="auto" w:fill="F1F3F5" w:val="clear"/>
    </w:rPr>
  </w:style>
  <w:style w:customStyle="1" w:styleId="ImportTok" w:type="character">
    <w:name w:val="ImportTok"/>
    <w:basedOn w:val="VerbatimChar"/>
    <w:rPr>
      <w:rFonts w:ascii="Consolas" w:hAnsi="Consolas"/>
      <w:i w:val="0"/>
      <w:color w:val="00769E"/>
      <w:sz w:val="22"/>
      <w:shd w:color="auto" w:fill="F1F3F5" w:val="clear"/>
    </w:rPr>
  </w:style>
  <w:style w:customStyle="1" w:styleId="CommentTok" w:type="character">
    <w:name w:val="CommentTok"/>
    <w:basedOn w:val="VerbatimChar"/>
    <w:rPr>
      <w:rFonts w:ascii="Consolas" w:hAnsi="Consolas"/>
      <w:i w:val="0"/>
      <w:color w:val="5E5E5E"/>
      <w:sz w:val="22"/>
      <w:shd w:color="auto" w:fill="F1F3F5" w:val="clear"/>
    </w:rPr>
  </w:style>
  <w:style w:customStyle="1" w:styleId="DocumentationTok" w:type="character">
    <w:name w:val="DocumentationTok"/>
    <w:basedOn w:val="VerbatimChar"/>
    <w:rPr>
      <w:rFonts w:ascii="Consolas" w:hAnsi="Consolas"/>
      <w:i/>
      <w:color w:val="5E5E5E"/>
      <w:sz w:val="22"/>
      <w:shd w:color="auto" w:fill="F1F3F5" w:val="clear"/>
    </w:rPr>
  </w:style>
  <w:style w:customStyle="1" w:styleId="AnnotationTok" w:type="character">
    <w:name w:val="AnnotationTok"/>
    <w:basedOn w:val="VerbatimChar"/>
    <w:rPr>
      <w:rFonts w:ascii="Consolas" w:hAnsi="Consolas"/>
      <w:i w:val="0"/>
      <w:color w:val="5E5E5E"/>
      <w:sz w:val="22"/>
      <w:shd w:color="auto" w:fill="F1F3F5" w:val="clear"/>
    </w:rPr>
  </w:style>
  <w:style w:customStyle="1" w:styleId="CommentVarTok" w:type="character">
    <w:name w:val="CommentVarTok"/>
    <w:basedOn w:val="VerbatimChar"/>
    <w:rPr>
      <w:rFonts w:ascii="Consolas" w:hAnsi="Consolas"/>
      <w:i/>
      <w:color w:val="5E5E5E"/>
      <w:sz w:val="22"/>
      <w:shd w:color="auto" w:fill="F1F3F5" w:val="clear"/>
    </w:rPr>
  </w:style>
  <w:style w:customStyle="1" w:styleId="OtherTok" w:type="character">
    <w:name w:val="OtherTok"/>
    <w:basedOn w:val="VerbatimChar"/>
    <w:rPr>
      <w:rFonts w:ascii="Consolas" w:hAnsi="Consolas"/>
      <w:i w:val="0"/>
      <w:color w:val="003B4F"/>
      <w:sz w:val="22"/>
      <w:shd w:color="auto" w:fill="F1F3F5" w:val="clear"/>
    </w:rPr>
  </w:style>
  <w:style w:customStyle="1" w:styleId="FunctionTok" w:type="character">
    <w:name w:val="FunctionTok"/>
    <w:basedOn w:val="VerbatimChar"/>
    <w:rPr>
      <w:rFonts w:ascii="Consolas" w:hAnsi="Consolas"/>
      <w:i w:val="0"/>
      <w:color w:val="4758AB"/>
      <w:sz w:val="22"/>
      <w:shd w:color="auto" w:fill="F1F3F5" w:val="clear"/>
    </w:rPr>
  </w:style>
  <w:style w:customStyle="1" w:styleId="VariableTok" w:type="character">
    <w:name w:val="VariableTok"/>
    <w:basedOn w:val="VerbatimChar"/>
    <w:rPr>
      <w:rFonts w:ascii="Consolas" w:hAnsi="Consolas"/>
      <w:i w:val="0"/>
      <w:color w:val="111111"/>
      <w:sz w:val="22"/>
      <w:shd w:color="auto" w:fill="F1F3F5" w:val="clear"/>
    </w:rPr>
  </w:style>
  <w:style w:customStyle="1" w:styleId="ControlFlowTok" w:type="character">
    <w:name w:val="ControlFlowTok"/>
    <w:basedOn w:val="VerbatimChar"/>
    <w:rPr>
      <w:rFonts w:ascii="Consolas" w:hAnsi="Consolas"/>
      <w:i w:val="0"/>
      <w:color w:val="003B4F"/>
      <w:sz w:val="22"/>
      <w:shd w:color="auto" w:fill="F1F3F5" w:val="clear"/>
    </w:rPr>
  </w:style>
  <w:style w:customStyle="1" w:styleId="OperatorTok" w:type="character">
    <w:name w:val="OperatorTok"/>
    <w:basedOn w:val="VerbatimChar"/>
    <w:rPr>
      <w:rFonts w:ascii="Consolas" w:hAnsi="Consolas"/>
      <w:i w:val="0"/>
      <w:color w:val="5E5E5E"/>
      <w:sz w:val="22"/>
      <w:shd w:color="auto" w:fill="F1F3F5" w:val="clear"/>
    </w:rPr>
  </w:style>
  <w:style w:customStyle="1" w:styleId="BuiltInTok" w:type="character">
    <w:name w:val="BuiltInTok"/>
    <w:basedOn w:val="VerbatimChar"/>
    <w:rPr>
      <w:rFonts w:ascii="Consolas" w:hAnsi="Consolas"/>
      <w:i w:val="0"/>
      <w:color w:val="003B4F"/>
      <w:sz w:val="22"/>
      <w:shd w:color="auto" w:fill="F1F3F5" w:val="clear"/>
    </w:rPr>
  </w:style>
  <w:style w:customStyle="1" w:styleId="ExtensionTok" w:type="character">
    <w:name w:val="ExtensionTok"/>
    <w:basedOn w:val="VerbatimChar"/>
    <w:rPr>
      <w:rFonts w:ascii="Consolas" w:hAnsi="Consolas"/>
      <w:i w:val="0"/>
      <w:color w:val="003B4F"/>
      <w:sz w:val="22"/>
      <w:shd w:color="auto" w:fill="F1F3F5" w:val="clear"/>
    </w:rPr>
  </w:style>
  <w:style w:customStyle="1" w:styleId="PreprocessorTok" w:type="character">
    <w:name w:val="PreprocessorTok"/>
    <w:basedOn w:val="VerbatimChar"/>
    <w:rPr>
      <w:rFonts w:ascii="Consolas" w:hAnsi="Consolas"/>
      <w:i w:val="0"/>
      <w:color w:val="AD0000"/>
      <w:sz w:val="22"/>
      <w:shd w:color="auto" w:fill="F1F3F5" w:val="clear"/>
    </w:rPr>
  </w:style>
  <w:style w:customStyle="1" w:styleId="AttributeTok" w:type="character">
    <w:name w:val="AttributeTok"/>
    <w:basedOn w:val="VerbatimChar"/>
    <w:rPr>
      <w:rFonts w:ascii="Consolas" w:hAnsi="Consolas"/>
      <w:i w:val="0"/>
      <w:color w:val="657422"/>
      <w:sz w:val="22"/>
      <w:shd w:color="auto" w:fill="F1F3F5" w:val="clear"/>
    </w:rPr>
  </w:style>
  <w:style w:customStyle="1" w:styleId="RegionMarkerTok" w:type="character">
    <w:name w:val="RegionMarkerTok"/>
    <w:basedOn w:val="VerbatimChar"/>
    <w:rPr>
      <w:rFonts w:ascii="Consolas" w:hAnsi="Consolas"/>
      <w:i w:val="0"/>
      <w:color w:val="003B4F"/>
      <w:sz w:val="22"/>
      <w:shd w:color="auto" w:fill="F1F3F5" w:val="clear"/>
    </w:rPr>
  </w:style>
  <w:style w:customStyle="1" w:styleId="InformationTok" w:type="character">
    <w:name w:val="InformationTok"/>
    <w:basedOn w:val="VerbatimChar"/>
    <w:rPr>
      <w:rFonts w:ascii="Consolas" w:hAnsi="Consolas"/>
      <w:i w:val="0"/>
      <w:color w:val="5E5E5E"/>
      <w:sz w:val="22"/>
      <w:shd w:color="auto" w:fill="F1F3F5" w:val="clear"/>
    </w:rPr>
  </w:style>
  <w:style w:customStyle="1" w:styleId="WarningTok" w:type="character">
    <w:name w:val="WarningTok"/>
    <w:basedOn w:val="VerbatimChar"/>
    <w:rPr>
      <w:rFonts w:ascii="Consolas" w:hAnsi="Consolas"/>
      <w:i/>
      <w:color w:val="5E5E5E"/>
      <w:sz w:val="22"/>
      <w:shd w:color="auto" w:fill="F1F3F5" w:val="clear"/>
    </w:rPr>
  </w:style>
  <w:style w:customStyle="1" w:styleId="AlertTok" w:type="character">
    <w:name w:val="AlertTok"/>
    <w:basedOn w:val="VerbatimChar"/>
    <w:rPr>
      <w:rFonts w:ascii="Consolas" w:hAnsi="Consolas"/>
      <w:i w:val="0"/>
      <w:color w:val="AD0000"/>
      <w:sz w:val="22"/>
      <w:shd w:color="auto" w:fill="F1F3F5" w:val="clear"/>
    </w:rPr>
  </w:style>
  <w:style w:customStyle="1" w:styleId="ErrorTok" w:type="character">
    <w:name w:val="ErrorTok"/>
    <w:basedOn w:val="VerbatimChar"/>
    <w:rPr>
      <w:rFonts w:ascii="Consolas" w:hAnsi="Consolas"/>
      <w:i w:val="0"/>
      <w:color w:val="AD0000"/>
      <w:sz w:val="22"/>
      <w:shd w:color="auto" w:fill="F1F3F5" w:val="clear"/>
    </w:rPr>
  </w:style>
  <w:style w:customStyle="1" w:styleId="NormalTok" w:type="character">
    <w:name w:val="NormalTok"/>
    <w:basedOn w:val="VerbatimChar"/>
    <w:rPr>
      <w:rFonts w:ascii="Consolas" w:hAnsi="Consolas"/>
      <w:i w:val="0"/>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image" Id="rId20" Target="media/rId20.svg" /><Relationship Type="http://schemas.openxmlformats.org/officeDocument/2006/relationships/image" Id="rId71" Target="media/rId71.png" /><Relationship Type="http://schemas.openxmlformats.org/officeDocument/2006/relationships/image" Id="rId62" Target="media/rId62.png" /><Relationship Type="http://schemas.openxmlformats.org/officeDocument/2006/relationships/image" Id="rId66" Target="media/rId66.png" /><Relationship Type="http://schemas.openxmlformats.org/officeDocument/2006/relationships/image" Id="rId47" Target="media/rId47.png" /><Relationship Type="http://schemas.openxmlformats.org/officeDocument/2006/relationships/image" Id="rId57" Target="media/rId57.png" /><Relationship Type="http://schemas.openxmlformats.org/officeDocument/2006/relationships/image" Id="rId52" Target="media/rId52.png" /><Relationship Type="http://schemas.openxmlformats.org/officeDocument/2006/relationships/image" Id="rId23" Target="media/rId23.png" /><Relationship Type="http://schemas.openxmlformats.org/officeDocument/2006/relationships/image" Id="rId28" Target="media/rId28.png" /><Relationship Type="http://schemas.openxmlformats.org/officeDocument/2006/relationships/image" Id="rId33" Target="media/rId33.png" /><Relationship Type="http://schemas.openxmlformats.org/officeDocument/2006/relationships/image" Id="rId38" Target="media/rId38.png" /><Relationship Type="http://schemas.openxmlformats.org/officeDocument/2006/relationships/hyperlink" Id="rId197" Target="https://CRAN.R-project.org/package=afex" TargetMode="External" /><Relationship Type="http://schemas.openxmlformats.org/officeDocument/2006/relationships/hyperlink" Id="rId79" Target="https://credit.niso.org/" TargetMode="External" /><Relationship Type="http://schemas.openxmlformats.org/officeDocument/2006/relationships/hyperlink" Id="rId141" Target="https://doi.org/10.1002/9780470316672" TargetMode="External" /><Relationship Type="http://schemas.openxmlformats.org/officeDocument/2006/relationships/hyperlink" Id="rId105" Target="https://doi.org/10.1002/9781118033197" TargetMode="External" /><Relationship Type="http://schemas.openxmlformats.org/officeDocument/2006/relationships/hyperlink" Id="rId111" Target="https://doi.org/10.1002/mds.29659" TargetMode="External" /><Relationship Type="http://schemas.openxmlformats.org/officeDocument/2006/relationships/hyperlink" Id="rId219" Target="https://doi.org/10.1002/sim.1168" TargetMode="External" /><Relationship Type="http://schemas.openxmlformats.org/officeDocument/2006/relationships/hyperlink" Id="rId223" Target="https://doi.org/10.1002/sim.8279" TargetMode="External" /><Relationship Type="http://schemas.openxmlformats.org/officeDocument/2006/relationships/hyperlink" Id="rId133" Target="https://doi.org/10.1007/s001800000040" TargetMode="External" /><Relationship Type="http://schemas.openxmlformats.org/officeDocument/2006/relationships/hyperlink" Id="rId103" Target="https://doi.org/10.1007/s00426-020-01358-5" TargetMode="External" /><Relationship Type="http://schemas.openxmlformats.org/officeDocument/2006/relationships/hyperlink" Id="rId201" Target="https://doi.org/10.1007/s12144-023-04579-0" TargetMode="External" /><Relationship Type="http://schemas.openxmlformats.org/officeDocument/2006/relationships/hyperlink" Id="rId151" Target="https://doi.org/10.1007/s12144-023-05003-3" TargetMode="External" /><Relationship Type="http://schemas.openxmlformats.org/officeDocument/2006/relationships/hyperlink" Id="rId101" Target="https://doi.org/10.1016/S0378-3758(99)00044-0" TargetMode="External" /><Relationship Type="http://schemas.openxmlformats.org/officeDocument/2006/relationships/hyperlink" Id="rId118" Target="https://doi.org/10.1016/j.cognition.2025.106409" TargetMode="External" /><Relationship Type="http://schemas.openxmlformats.org/officeDocument/2006/relationships/hyperlink" Id="rId165" Target="https://doi.org/10.1016/j.jmp.2015.06.004" TargetMode="External" /><Relationship Type="http://schemas.openxmlformats.org/officeDocument/2006/relationships/hyperlink" Id="rId123" Target="https://doi.org/10.1016/j.jmp.2015.10.003" TargetMode="External" /><Relationship Type="http://schemas.openxmlformats.org/officeDocument/2006/relationships/hyperlink" Id="rId135" Target="https://doi.org/10.1016/j.socec.2004.09.033" TargetMode="External" /><Relationship Type="http://schemas.openxmlformats.org/officeDocument/2006/relationships/hyperlink" Id="rId120" Target="https://doi.org/10.1037/0003-066X.49.12.997" TargetMode="External" /><Relationship Type="http://schemas.openxmlformats.org/officeDocument/2006/relationships/hyperlink" Id="rId173" Target="https://doi.org/10.1037/a0024377" TargetMode="External" /><Relationship Type="http://schemas.openxmlformats.org/officeDocument/2006/relationships/hyperlink" Id="rId107" Target="https://doi.org/10.1037/dev0001435" TargetMode="External" /><Relationship Type="http://schemas.openxmlformats.org/officeDocument/2006/relationships/hyperlink" Id="rId211" Target="https://doi.org/10.1037/met0000100" TargetMode="External" /><Relationship Type="http://schemas.openxmlformats.org/officeDocument/2006/relationships/hyperlink" Id="rId207" Target="https://doi.org/10.1037/met0000221" TargetMode="External" /><Relationship Type="http://schemas.openxmlformats.org/officeDocument/2006/relationships/hyperlink" Id="rId139" Target="https://doi.org/10.1037/met0000454" TargetMode="External" /><Relationship Type="http://schemas.openxmlformats.org/officeDocument/2006/relationships/hyperlink" Id="rId109" Target="https://doi.org/10.1037/xge0001370" TargetMode="External" /><Relationship Type="http://schemas.openxmlformats.org/officeDocument/2006/relationships/hyperlink" Id="rId143" Target="https://doi.org/10.1037/xge0001653" TargetMode="External" /><Relationship Type="http://schemas.openxmlformats.org/officeDocument/2006/relationships/hyperlink" Id="rId95" Target="https://doi.org/10.1038/s41562-017-0189-z" TargetMode="External" /><Relationship Type="http://schemas.openxmlformats.org/officeDocument/2006/relationships/hyperlink" Id="rId188" Target="https://doi.org/10.1038/s41562-024-01814-x" TargetMode="External" /><Relationship Type="http://schemas.openxmlformats.org/officeDocument/2006/relationships/hyperlink" Id="rId93" Target="https://doi.org/10.1038/s41598-022-21832-x" TargetMode="External" /><Relationship Type="http://schemas.openxmlformats.org/officeDocument/2006/relationships/hyperlink" Id="rId177" Target="https://doi.org/10.1080/00031305.2018.1518265" TargetMode="External" /><Relationship Type="http://schemas.openxmlformats.org/officeDocument/2006/relationships/hyperlink" Id="rId195" Target="https://doi.org/10.1080/00031305.2020.1717621" TargetMode="External" /><Relationship Type="http://schemas.openxmlformats.org/officeDocument/2006/relationships/hyperlink" Id="rId227" Target="https://doi.org/10.1080/00031305.2021.1938225" TargetMode="External" /><Relationship Type="http://schemas.openxmlformats.org/officeDocument/2006/relationships/hyperlink" Id="rId145" Target="https://doi.org/10.1080/00273171.2014.969364" TargetMode="External" /><Relationship Type="http://schemas.openxmlformats.org/officeDocument/2006/relationships/hyperlink" Id="rId155" Target="https://doi.org/10.1080/00273171.2021.1967716" TargetMode="External" /><Relationship Type="http://schemas.openxmlformats.org/officeDocument/2006/relationships/hyperlink" Id="rId116" Target="https://doi.org/10.1080/01621459.1987.10478396" TargetMode="External" /><Relationship Type="http://schemas.openxmlformats.org/officeDocument/2006/relationships/hyperlink" Id="rId131" Target="https://doi.org/10.1080/19345747.2011.618213" TargetMode="External" /><Relationship Type="http://schemas.openxmlformats.org/officeDocument/2006/relationships/hyperlink" Id="rId217" Target="https://doi.org/10.1093/biomet/84.2.419" TargetMode="External" /><Relationship Type="http://schemas.openxmlformats.org/officeDocument/2006/relationships/hyperlink" Id="rId137" Target="https://doi.org/10.1093/biostatistics/kxq012" TargetMode="External" /><Relationship Type="http://schemas.openxmlformats.org/officeDocument/2006/relationships/hyperlink" Id="rId199" Target="https://doi.org/10.1093/biostatistics/kxw041" TargetMode="External" /><Relationship Type="http://schemas.openxmlformats.org/officeDocument/2006/relationships/hyperlink" Id="rId147" Target="https://doi.org/10.1093/jncimonographs/lgae050" TargetMode="External" /><Relationship Type="http://schemas.openxmlformats.org/officeDocument/2006/relationships/hyperlink" Id="rId149" Target="https://doi.org/10.1098/rspa.1938.0052" TargetMode="External" /><Relationship Type="http://schemas.openxmlformats.org/officeDocument/2006/relationships/hyperlink" Id="rId203" Target="https://doi.org/10.1111/1467-9868.00346" TargetMode="External" /><Relationship Type="http://schemas.openxmlformats.org/officeDocument/2006/relationships/hyperlink" Id="rId215" Target="https://doi.org/10.1111/biom.12226" TargetMode="External" /><Relationship Type="http://schemas.openxmlformats.org/officeDocument/2006/relationships/hyperlink" Id="rId186" Target="https://doi.org/10.1111/biom.12522" TargetMode="External" /><Relationship Type="http://schemas.openxmlformats.org/officeDocument/2006/relationships/hyperlink" Id="rId97" Target="https://doi.org/10.1111/j.2517-6161.1995.tb02031.x" TargetMode="External" /><Relationship Type="http://schemas.openxmlformats.org/officeDocument/2006/relationships/hyperlink" Id="rId169" Target="https://doi.org/10.1111/psyp.13490" TargetMode="External" /><Relationship Type="http://schemas.openxmlformats.org/officeDocument/2006/relationships/hyperlink" Id="rId225" Target="https://doi.org/10.1111/stan.12241" TargetMode="External" /><Relationship Type="http://schemas.openxmlformats.org/officeDocument/2006/relationships/hyperlink" Id="rId193" Target="https://doi.org/10.1146/annurev.ps.46.020195.003021" TargetMode="External" /><Relationship Type="http://schemas.openxmlformats.org/officeDocument/2006/relationships/hyperlink" Id="rId171" Target="https://doi.org/10.1177/0013164416669201" TargetMode="External" /><Relationship Type="http://schemas.openxmlformats.org/officeDocument/2006/relationships/hyperlink" Id="rId163" Target="https://doi.org/10.1177/0956797620904990" TargetMode="External" /><Relationship Type="http://schemas.openxmlformats.org/officeDocument/2006/relationships/hyperlink" Id="rId157" Target="https://doi.org/10.1177/1745691611406925" TargetMode="External" /><Relationship Type="http://schemas.openxmlformats.org/officeDocument/2006/relationships/hyperlink" Id="rId127" Target="https://doi.org/10.1177/1745691614551642" TargetMode="External" /><Relationship Type="http://schemas.openxmlformats.org/officeDocument/2006/relationships/hyperlink" Id="rId161" Target="https://doi.org/10.1177/2515245918770963" TargetMode="External" /><Relationship Type="http://schemas.openxmlformats.org/officeDocument/2006/relationships/hyperlink" Id="rId159" Target="https://doi.org/10.1177/2515245918771304" TargetMode="External" /><Relationship Type="http://schemas.openxmlformats.org/officeDocument/2006/relationships/hyperlink" Id="rId209" Target="https://doi.org/10.1177/25152459231213371" TargetMode="External" /><Relationship Type="http://schemas.openxmlformats.org/officeDocument/2006/relationships/hyperlink" Id="rId125" Target="https://doi.org/10.1198/016214501753382129" TargetMode="External" /><Relationship Type="http://schemas.openxmlformats.org/officeDocument/2006/relationships/hyperlink" Id="rId175" Target="https://doi.org/10.1198/016214504000001646" TargetMode="External" /><Relationship Type="http://schemas.openxmlformats.org/officeDocument/2006/relationships/hyperlink" Id="rId129" Target="https://doi.org/10.1201/b16018" TargetMode="External" /><Relationship Type="http://schemas.openxmlformats.org/officeDocument/2006/relationships/hyperlink" Id="rId191" Target="https://doi.org/10.1214/10-AOS792" TargetMode="External" /><Relationship Type="http://schemas.openxmlformats.org/officeDocument/2006/relationships/hyperlink" Id="rId89" Target="https://doi.org/10.1214/22-EJS1979" TargetMode="External" /><Relationship Type="http://schemas.openxmlformats.org/officeDocument/2006/relationships/hyperlink" Id="rId205" Target="https://doi.org/10.1214/aos/1074290335" TargetMode="External" /><Relationship Type="http://schemas.openxmlformats.org/officeDocument/2006/relationships/hyperlink" Id="rId182" Target="https://doi.org/10.1214/aos/1176346785" TargetMode="External" /><Relationship Type="http://schemas.openxmlformats.org/officeDocument/2006/relationships/hyperlink" Id="rId113" Target="https://doi.org/10.18637/jss.v080.i01" TargetMode="External" /><Relationship Type="http://schemas.openxmlformats.org/officeDocument/2006/relationships/hyperlink" Id="rId184" Target="https://doi.org/10.18637/jss.v094.i07" TargetMode="External" /><Relationship Type="http://schemas.openxmlformats.org/officeDocument/2006/relationships/hyperlink" Id="rId221" Target="https://doi.org/10.2307/2348369" TargetMode="External" /><Relationship Type="http://schemas.openxmlformats.org/officeDocument/2006/relationships/hyperlink" Id="rId179" Target="https://doi.org/10.31234/osf.io/ck3js_v1" TargetMode="External" /><Relationship Type="http://schemas.openxmlformats.org/officeDocument/2006/relationships/hyperlink" Id="rId153" Target="https://doi.org/10.31234/osf.io/s56mk" TargetMode="External" /><Relationship Type="http://schemas.openxmlformats.org/officeDocument/2006/relationships/hyperlink" Id="rId167" Target="https://doi.org/10.3389/fpsyg.2019.02767" TargetMode="External" /><Relationship Type="http://schemas.openxmlformats.org/officeDocument/2006/relationships/hyperlink" Id="rId91" Target="https://doi.org/10.3389/fpsyg.2019.02893" TargetMode="External" /><Relationship Type="http://schemas.openxmlformats.org/officeDocument/2006/relationships/hyperlink" Id="rId213" Target="https://doi.org/10.3917/anpsy1.201.0073" TargetMode="External" /><Relationship Type="http://schemas.openxmlformats.org/officeDocument/2006/relationships/hyperlink" Id="rId99" Target="https://doi.org/10.51387/22-NEJSDS4" TargetMode="External" /><Relationship Type="http://schemas.openxmlformats.org/officeDocument/2006/relationships/hyperlink" Id="rId85" Target="https://github.com/mar-cald/multibayes" TargetMode="External" /><Relationship Type="http://schemas.openxmlformats.org/officeDocument/2006/relationships/hyperlink" Id="rId30" Target="https://orcid.org/0000-0002-6666-1747" TargetMode="External" /><Relationship Type="http://schemas.openxmlformats.org/officeDocument/2006/relationships/hyperlink" Id="rId40" Target="https://orcid.org/0000-0003-1154-9528" TargetMode="External" /><Relationship Type="http://schemas.openxmlformats.org/officeDocument/2006/relationships/hyperlink" Id="rId35" Target="https://orcid.org/0000-0003-3181-8078" TargetMode="External" /><Relationship Type="http://schemas.openxmlformats.org/officeDocument/2006/relationships/hyperlink" Id="rId25" Target="https://orcid.org/0009-0005-5668-5162" TargetMode="External" /><Relationship Type="http://schemas.openxmlformats.org/officeDocument/2006/relationships/hyperlink" Id="rId83" Target="https://osf.io/preprints/psyarxiv/8zwx2_v2" TargetMode="External" /><Relationship Type="http://schemas.openxmlformats.org/officeDocument/2006/relationships/hyperlink" Id="rId86" Target="https://osf.io/q294m" TargetMode="External" /><Relationship Type="http://schemas.openxmlformats.org/officeDocument/2006/relationships/hyperlink" Id="rId41" Target="mailto:margherita.calderan@unipd.it" TargetMode="External" /></Relationships>
</file>

<file path=word/_rels/footnotes.xml.rels><?xml version="1.0" encoding="UTF-8"?><Relationships xmlns="http://schemas.openxmlformats.org/package/2006/relationships"><Relationship Type="http://schemas.openxmlformats.org/officeDocument/2006/relationships/hyperlink" Id="rId197" Target="https://CRAN.R-project.org/package=afex" TargetMode="External" /><Relationship Type="http://schemas.openxmlformats.org/officeDocument/2006/relationships/hyperlink" Id="rId79" Target="https://credit.niso.org/" TargetMode="External" /><Relationship Type="http://schemas.openxmlformats.org/officeDocument/2006/relationships/hyperlink" Id="rId141" Target="https://doi.org/10.1002/9780470316672" TargetMode="External" /><Relationship Type="http://schemas.openxmlformats.org/officeDocument/2006/relationships/hyperlink" Id="rId105" Target="https://doi.org/10.1002/9781118033197" TargetMode="External" /><Relationship Type="http://schemas.openxmlformats.org/officeDocument/2006/relationships/hyperlink" Id="rId111" Target="https://doi.org/10.1002/mds.29659" TargetMode="External" /><Relationship Type="http://schemas.openxmlformats.org/officeDocument/2006/relationships/hyperlink" Id="rId219" Target="https://doi.org/10.1002/sim.1168" TargetMode="External" /><Relationship Type="http://schemas.openxmlformats.org/officeDocument/2006/relationships/hyperlink" Id="rId223" Target="https://doi.org/10.1002/sim.8279" TargetMode="External" /><Relationship Type="http://schemas.openxmlformats.org/officeDocument/2006/relationships/hyperlink" Id="rId133" Target="https://doi.org/10.1007/s001800000040" TargetMode="External" /><Relationship Type="http://schemas.openxmlformats.org/officeDocument/2006/relationships/hyperlink" Id="rId103" Target="https://doi.org/10.1007/s00426-020-01358-5" TargetMode="External" /><Relationship Type="http://schemas.openxmlformats.org/officeDocument/2006/relationships/hyperlink" Id="rId201" Target="https://doi.org/10.1007/s12144-023-04579-0" TargetMode="External" /><Relationship Type="http://schemas.openxmlformats.org/officeDocument/2006/relationships/hyperlink" Id="rId151" Target="https://doi.org/10.1007/s12144-023-05003-3" TargetMode="External" /><Relationship Type="http://schemas.openxmlformats.org/officeDocument/2006/relationships/hyperlink" Id="rId101" Target="https://doi.org/10.1016/S0378-3758(99)00044-0" TargetMode="External" /><Relationship Type="http://schemas.openxmlformats.org/officeDocument/2006/relationships/hyperlink" Id="rId118" Target="https://doi.org/10.1016/j.cognition.2025.106409" TargetMode="External" /><Relationship Type="http://schemas.openxmlformats.org/officeDocument/2006/relationships/hyperlink" Id="rId165" Target="https://doi.org/10.1016/j.jmp.2015.06.004" TargetMode="External" /><Relationship Type="http://schemas.openxmlformats.org/officeDocument/2006/relationships/hyperlink" Id="rId123" Target="https://doi.org/10.1016/j.jmp.2015.10.003" TargetMode="External" /><Relationship Type="http://schemas.openxmlformats.org/officeDocument/2006/relationships/hyperlink" Id="rId135" Target="https://doi.org/10.1016/j.socec.2004.09.033" TargetMode="External" /><Relationship Type="http://schemas.openxmlformats.org/officeDocument/2006/relationships/hyperlink" Id="rId120" Target="https://doi.org/10.1037/0003-066X.49.12.997" TargetMode="External" /><Relationship Type="http://schemas.openxmlformats.org/officeDocument/2006/relationships/hyperlink" Id="rId173" Target="https://doi.org/10.1037/a0024377" TargetMode="External" /><Relationship Type="http://schemas.openxmlformats.org/officeDocument/2006/relationships/hyperlink" Id="rId107" Target="https://doi.org/10.1037/dev0001435" TargetMode="External" /><Relationship Type="http://schemas.openxmlformats.org/officeDocument/2006/relationships/hyperlink" Id="rId211" Target="https://doi.org/10.1037/met0000100" TargetMode="External" /><Relationship Type="http://schemas.openxmlformats.org/officeDocument/2006/relationships/hyperlink" Id="rId207" Target="https://doi.org/10.1037/met0000221" TargetMode="External" /><Relationship Type="http://schemas.openxmlformats.org/officeDocument/2006/relationships/hyperlink" Id="rId139" Target="https://doi.org/10.1037/met0000454" TargetMode="External" /><Relationship Type="http://schemas.openxmlformats.org/officeDocument/2006/relationships/hyperlink" Id="rId109" Target="https://doi.org/10.1037/xge0001370" TargetMode="External" /><Relationship Type="http://schemas.openxmlformats.org/officeDocument/2006/relationships/hyperlink" Id="rId143" Target="https://doi.org/10.1037/xge0001653" TargetMode="External" /><Relationship Type="http://schemas.openxmlformats.org/officeDocument/2006/relationships/hyperlink" Id="rId95" Target="https://doi.org/10.1038/s41562-017-0189-z" TargetMode="External" /><Relationship Type="http://schemas.openxmlformats.org/officeDocument/2006/relationships/hyperlink" Id="rId188" Target="https://doi.org/10.1038/s41562-024-01814-x" TargetMode="External" /><Relationship Type="http://schemas.openxmlformats.org/officeDocument/2006/relationships/hyperlink" Id="rId93" Target="https://doi.org/10.1038/s41598-022-21832-x" TargetMode="External" /><Relationship Type="http://schemas.openxmlformats.org/officeDocument/2006/relationships/hyperlink" Id="rId177" Target="https://doi.org/10.1080/00031305.2018.1518265" TargetMode="External" /><Relationship Type="http://schemas.openxmlformats.org/officeDocument/2006/relationships/hyperlink" Id="rId195" Target="https://doi.org/10.1080/00031305.2020.1717621" TargetMode="External" /><Relationship Type="http://schemas.openxmlformats.org/officeDocument/2006/relationships/hyperlink" Id="rId227" Target="https://doi.org/10.1080/00031305.2021.1938225" TargetMode="External" /><Relationship Type="http://schemas.openxmlformats.org/officeDocument/2006/relationships/hyperlink" Id="rId145" Target="https://doi.org/10.1080/00273171.2014.969364" TargetMode="External" /><Relationship Type="http://schemas.openxmlformats.org/officeDocument/2006/relationships/hyperlink" Id="rId155" Target="https://doi.org/10.1080/00273171.2021.1967716" TargetMode="External" /><Relationship Type="http://schemas.openxmlformats.org/officeDocument/2006/relationships/hyperlink" Id="rId116" Target="https://doi.org/10.1080/01621459.1987.10478396" TargetMode="External" /><Relationship Type="http://schemas.openxmlformats.org/officeDocument/2006/relationships/hyperlink" Id="rId131" Target="https://doi.org/10.1080/19345747.2011.618213" TargetMode="External" /><Relationship Type="http://schemas.openxmlformats.org/officeDocument/2006/relationships/hyperlink" Id="rId217" Target="https://doi.org/10.1093/biomet/84.2.419" TargetMode="External" /><Relationship Type="http://schemas.openxmlformats.org/officeDocument/2006/relationships/hyperlink" Id="rId137" Target="https://doi.org/10.1093/biostatistics/kxq012" TargetMode="External" /><Relationship Type="http://schemas.openxmlformats.org/officeDocument/2006/relationships/hyperlink" Id="rId199" Target="https://doi.org/10.1093/biostatistics/kxw041" TargetMode="External" /><Relationship Type="http://schemas.openxmlformats.org/officeDocument/2006/relationships/hyperlink" Id="rId147" Target="https://doi.org/10.1093/jncimonographs/lgae050" TargetMode="External" /><Relationship Type="http://schemas.openxmlformats.org/officeDocument/2006/relationships/hyperlink" Id="rId149" Target="https://doi.org/10.1098/rspa.1938.0052" TargetMode="External" /><Relationship Type="http://schemas.openxmlformats.org/officeDocument/2006/relationships/hyperlink" Id="rId203" Target="https://doi.org/10.1111/1467-9868.00346" TargetMode="External" /><Relationship Type="http://schemas.openxmlformats.org/officeDocument/2006/relationships/hyperlink" Id="rId215" Target="https://doi.org/10.1111/biom.12226" TargetMode="External" /><Relationship Type="http://schemas.openxmlformats.org/officeDocument/2006/relationships/hyperlink" Id="rId186" Target="https://doi.org/10.1111/biom.12522" TargetMode="External" /><Relationship Type="http://schemas.openxmlformats.org/officeDocument/2006/relationships/hyperlink" Id="rId97" Target="https://doi.org/10.1111/j.2517-6161.1995.tb02031.x" TargetMode="External" /><Relationship Type="http://schemas.openxmlformats.org/officeDocument/2006/relationships/hyperlink" Id="rId169" Target="https://doi.org/10.1111/psyp.13490" TargetMode="External" /><Relationship Type="http://schemas.openxmlformats.org/officeDocument/2006/relationships/hyperlink" Id="rId225" Target="https://doi.org/10.1111/stan.12241" TargetMode="External" /><Relationship Type="http://schemas.openxmlformats.org/officeDocument/2006/relationships/hyperlink" Id="rId193" Target="https://doi.org/10.1146/annurev.ps.46.020195.003021" TargetMode="External" /><Relationship Type="http://schemas.openxmlformats.org/officeDocument/2006/relationships/hyperlink" Id="rId171" Target="https://doi.org/10.1177/0013164416669201" TargetMode="External" /><Relationship Type="http://schemas.openxmlformats.org/officeDocument/2006/relationships/hyperlink" Id="rId163" Target="https://doi.org/10.1177/0956797620904990" TargetMode="External" /><Relationship Type="http://schemas.openxmlformats.org/officeDocument/2006/relationships/hyperlink" Id="rId157" Target="https://doi.org/10.1177/1745691611406925" TargetMode="External" /><Relationship Type="http://schemas.openxmlformats.org/officeDocument/2006/relationships/hyperlink" Id="rId127" Target="https://doi.org/10.1177/1745691614551642" TargetMode="External" /><Relationship Type="http://schemas.openxmlformats.org/officeDocument/2006/relationships/hyperlink" Id="rId161" Target="https://doi.org/10.1177/2515245918770963" TargetMode="External" /><Relationship Type="http://schemas.openxmlformats.org/officeDocument/2006/relationships/hyperlink" Id="rId159" Target="https://doi.org/10.1177/2515245918771304" TargetMode="External" /><Relationship Type="http://schemas.openxmlformats.org/officeDocument/2006/relationships/hyperlink" Id="rId209" Target="https://doi.org/10.1177/25152459231213371" TargetMode="External" /><Relationship Type="http://schemas.openxmlformats.org/officeDocument/2006/relationships/hyperlink" Id="rId125" Target="https://doi.org/10.1198/016214501753382129" TargetMode="External" /><Relationship Type="http://schemas.openxmlformats.org/officeDocument/2006/relationships/hyperlink" Id="rId175" Target="https://doi.org/10.1198/016214504000001646" TargetMode="External" /><Relationship Type="http://schemas.openxmlformats.org/officeDocument/2006/relationships/hyperlink" Id="rId129" Target="https://doi.org/10.1201/b16018" TargetMode="External" /><Relationship Type="http://schemas.openxmlformats.org/officeDocument/2006/relationships/hyperlink" Id="rId191" Target="https://doi.org/10.1214/10-AOS792" TargetMode="External" /><Relationship Type="http://schemas.openxmlformats.org/officeDocument/2006/relationships/hyperlink" Id="rId89" Target="https://doi.org/10.1214/22-EJS1979" TargetMode="External" /><Relationship Type="http://schemas.openxmlformats.org/officeDocument/2006/relationships/hyperlink" Id="rId205" Target="https://doi.org/10.1214/aos/1074290335" TargetMode="External" /><Relationship Type="http://schemas.openxmlformats.org/officeDocument/2006/relationships/hyperlink" Id="rId182" Target="https://doi.org/10.1214/aos/1176346785" TargetMode="External" /><Relationship Type="http://schemas.openxmlformats.org/officeDocument/2006/relationships/hyperlink" Id="rId113" Target="https://doi.org/10.18637/jss.v080.i01" TargetMode="External" /><Relationship Type="http://schemas.openxmlformats.org/officeDocument/2006/relationships/hyperlink" Id="rId184" Target="https://doi.org/10.18637/jss.v094.i07" TargetMode="External" /><Relationship Type="http://schemas.openxmlformats.org/officeDocument/2006/relationships/hyperlink" Id="rId221" Target="https://doi.org/10.2307/2348369" TargetMode="External" /><Relationship Type="http://schemas.openxmlformats.org/officeDocument/2006/relationships/hyperlink" Id="rId179" Target="https://doi.org/10.31234/osf.io/ck3js_v1" TargetMode="External" /><Relationship Type="http://schemas.openxmlformats.org/officeDocument/2006/relationships/hyperlink" Id="rId153" Target="https://doi.org/10.31234/osf.io/s56mk" TargetMode="External" /><Relationship Type="http://schemas.openxmlformats.org/officeDocument/2006/relationships/hyperlink" Id="rId167" Target="https://doi.org/10.3389/fpsyg.2019.02767" TargetMode="External" /><Relationship Type="http://schemas.openxmlformats.org/officeDocument/2006/relationships/hyperlink" Id="rId91" Target="https://doi.org/10.3389/fpsyg.2019.02893" TargetMode="External" /><Relationship Type="http://schemas.openxmlformats.org/officeDocument/2006/relationships/hyperlink" Id="rId213" Target="https://doi.org/10.3917/anpsy1.201.0073" TargetMode="External" /><Relationship Type="http://schemas.openxmlformats.org/officeDocument/2006/relationships/hyperlink" Id="rId99" Target="https://doi.org/10.51387/22-NEJSDS4" TargetMode="External" /><Relationship Type="http://schemas.openxmlformats.org/officeDocument/2006/relationships/hyperlink" Id="rId85" Target="https://github.com/mar-cald/multibayes" TargetMode="External" /><Relationship Type="http://schemas.openxmlformats.org/officeDocument/2006/relationships/hyperlink" Id="rId30" Target="https://orcid.org/0000-0002-6666-1747" TargetMode="External" /><Relationship Type="http://schemas.openxmlformats.org/officeDocument/2006/relationships/hyperlink" Id="rId40" Target="https://orcid.org/0000-0003-1154-9528" TargetMode="External" /><Relationship Type="http://schemas.openxmlformats.org/officeDocument/2006/relationships/hyperlink" Id="rId35" Target="https://orcid.org/0000-0003-3181-8078" TargetMode="External" /><Relationship Type="http://schemas.openxmlformats.org/officeDocument/2006/relationships/hyperlink" Id="rId25" Target="https://orcid.org/0009-0005-5668-5162" TargetMode="External" /><Relationship Type="http://schemas.openxmlformats.org/officeDocument/2006/relationships/hyperlink" Id="rId83" Target="https://osf.io/preprints/psyarxiv/8zwx2_v2" TargetMode="External" /><Relationship Type="http://schemas.openxmlformats.org/officeDocument/2006/relationships/hyperlink" Id="rId86" Target="https://osf.io/q294m" TargetMode="External" /><Relationship Type="http://schemas.openxmlformats.org/officeDocument/2006/relationships/hyperlink" Id="rId41" Target="mailto:margherita.calderan@unipd.i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205</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PROBABILITY OF DIRECTION AND MULTIPLICITY</dc:description>
  <cp:keywords>probability of direction, multiple testing, prior-odds, FDR</cp:keywords>
  <dcterms:created xsi:type="dcterms:W3CDTF">2026-07-11T09:10:55Z</dcterms:created>
  <dcterms:modified xsi:type="dcterms:W3CDTF">2026-07-11T09:10:55Z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True</vt:lpwstr>
  </property>
  <property fmtid="{D5CDD505-2E9C-101B-9397-08002B2CF9AE}" pid="4" name="apaabstract">
    <vt:lpwstr>The probability of direction (pd) has seen rapid adoption in psychological research as an intuitive posterior summary that quantifies how strongly the posterior distribution favors one direction of an effect over the other. In practice, researchers often turn pd into a binary decision rule by applying fixed thresholds (e.g., pd&gt;0.975), declaring evidence for an effect when posterior mass concentrates strongly on one side. When this rule is applied across many parameters, it can substantially increase the risk of misleading conclusions. We argue that this problem stems from neglecting the prior probability that for every tested effect, the data-favored direction does not reflect a genuine effect. This quantity, often left implicit, becomes increasingly consequential as the number of tested effects grows. To address this, we propose a prior-odds adjustment to pd that requires researchers to explicitly specify the proportion of tested effects they expect to be null. The adjustment accounts for multiplicity without modifying the model used in parameter estimation, offers a transparent mechanism for incorporating prior skepticism about the existence of effects, and reduces the risk of false discoveries in multi-parameter settings. We evaluate its behavior through simulation across varying sample sizes and proportions of null effects, and provide an R package to facilitate applied use.</vt:lpwstr>
  </property>
  <property fmtid="{D5CDD505-2E9C-101B-9397-08002B2CF9AE}" pid="5" name="apaauthor">
    <vt:lpwstr/>
  </property>
  <property fmtid="{D5CDD505-2E9C-101B-9397-08002B2CF9AE}" pid="6" name="apatitle">
    <vt:lpwstr>A Prior-Odds Adjustment for the Probability of Direction in Multiple Testing</vt:lpwstr>
  </property>
  <property fmtid="{D5CDD505-2E9C-101B-9397-08002B2CF9AE}" pid="7" name="apatitledisplay">
    <vt:lpwstr>A Prior-Odds Adjustment for the Probability of Direction in Multiple Testing</vt:lpwstr>
  </property>
  <property fmtid="{D5CDD505-2E9C-101B-9397-08002B2CF9AE}" pid="8" name="author-note">
    <vt:lpwstr/>
  </property>
  <property fmtid="{D5CDD505-2E9C-101B-9397-08002B2CF9AE}" pid="9" name="authors">
    <vt:lpwstr/>
  </property>
  <property fmtid="{D5CDD505-2E9C-101B-9397-08002B2CF9AE}" pid="10" name="biblio-config">
    <vt:lpwstr>True</vt:lpwstr>
  </property>
  <property fmtid="{D5CDD505-2E9C-101B-9397-08002B2CF9AE}" pid="11" name="by-affiliation">
    <vt:lpwstr/>
  </property>
  <property fmtid="{D5CDD505-2E9C-101B-9397-08002B2CF9AE}" pid="12" name="by-author">
    <vt:lpwstr/>
  </property>
  <property fmtid="{D5CDD505-2E9C-101B-9397-08002B2CF9AE}" pid="13" name="cap-location">
    <vt:lpwstr>top</vt:lpwstr>
  </property>
  <property fmtid="{D5CDD505-2E9C-101B-9397-08002B2CF9AE}" pid="14" name="crossref">
    <vt:lpwstr/>
  </property>
  <property fmtid="{D5CDD505-2E9C-101B-9397-08002B2CF9AE}" pid="15" name="csl">
    <vt:lpwstr>_extensions/wjschne/apaquarto/apa.csl</vt:lpwstr>
  </property>
  <property fmtid="{D5CDD505-2E9C-101B-9397-08002B2CF9AE}" pid="16" name="documentmode">
    <vt:lpwstr>man</vt:lpwstr>
  </property>
  <property fmtid="{D5CDD505-2E9C-101B-9397-08002B2CF9AE}" pid="17" name="execute">
    <vt:lpwstr/>
  </property>
  <property fmtid="{D5CDD505-2E9C-101B-9397-08002B2CF9AE}" pid="18" name="fig-cap-location">
    <vt:lpwstr>top</vt:lpwstr>
  </property>
  <property fmtid="{D5CDD505-2E9C-101B-9397-08002B2CF9AE}" pid="19" name="floatsintext">
    <vt:lpwstr>True</vt:lpwstr>
  </property>
  <property fmtid="{D5CDD505-2E9C-101B-9397-08002B2CF9AE}" pid="20" name="header-includes">
    <vt:lpwstr/>
  </property>
  <property fmtid="{D5CDD505-2E9C-101B-9397-08002B2CF9AE}" pid="21" name="include-after">
    <vt:lpwstr/>
  </property>
  <property fmtid="{D5CDD505-2E9C-101B-9397-08002B2CF9AE}" pid="22" name="include-before">
    <vt:lpwstr/>
  </property>
  <property fmtid="{D5CDD505-2E9C-101B-9397-08002B2CF9AE}" pid="23" name="knitr">
    <vt:lpwstr/>
  </property>
  <property fmtid="{D5CDD505-2E9C-101B-9397-08002B2CF9AE}" pid="24" name="labels">
    <vt:lpwstr/>
  </property>
  <property fmtid="{D5CDD505-2E9C-101B-9397-08002B2CF9AE}" pid="25" name="language">
    <vt:lpwstr/>
  </property>
  <property fmtid="{D5CDD505-2E9C-101B-9397-08002B2CF9AE}" pid="26" name="link-citations">
    <vt:lpwstr>True</vt:lpwstr>
  </property>
  <property fmtid="{D5CDD505-2E9C-101B-9397-08002B2CF9AE}" pid="27" name="no-ampersand-parenthetical">
    <vt:lpwstr>False</vt:lpwstr>
  </property>
  <property fmtid="{D5CDD505-2E9C-101B-9397-08002B2CF9AE}" pid="28" name="number-depth">
    <vt:lpwstr>3</vt:lpwstr>
  </property>
  <property fmtid="{D5CDD505-2E9C-101B-9397-08002B2CF9AE}" pid="29" name="numbersections">
    <vt:lpwstr>False</vt:lpwstr>
  </property>
  <property fmtid="{D5CDD505-2E9C-101B-9397-08002B2CF9AE}" pid="30" name="oneaffiliation">
    <vt:lpwstr>False</vt:lpwstr>
  </property>
  <property fmtid="{D5CDD505-2E9C-101B-9397-08002B2CF9AE}" pid="31" name="oneauthor">
    <vt:lpwstr>False</vt:lpwstr>
  </property>
  <property fmtid="{D5CDD505-2E9C-101B-9397-08002B2CF9AE}" pid="32" name="reference-section-title">
    <vt:lpwstr>References</vt:lpwstr>
  </property>
  <property fmtid="{D5CDD505-2E9C-101B-9397-08002B2CF9AE}" pid="33" name="references">
    <vt:lpwstr/>
  </property>
  <property fmtid="{D5CDD505-2E9C-101B-9397-08002B2CF9AE}" pid="34" name="revealjs-plugins">
    <vt:lpwstr/>
  </property>
  <property fmtid="{D5CDD505-2E9C-101B-9397-08002B2CF9AE}" pid="35" name="shorttitle">
    <vt:lpwstr>PROBABILITY OF DIRECTION AND MULTIPLICITY</vt:lpwstr>
  </property>
  <property fmtid="{D5CDD505-2E9C-101B-9397-08002B2CF9AE}" pid="36" name="suppress-abstract">
    <vt:lpwstr>False</vt:lpwstr>
  </property>
  <property fmtid="{D5CDD505-2E9C-101B-9397-08002B2CF9AE}" pid="37" name="suppress-affiliation">
    <vt:lpwstr>False</vt:lpwstr>
  </property>
  <property fmtid="{D5CDD505-2E9C-101B-9397-08002B2CF9AE}" pid="38" name="suppress-author">
    <vt:lpwstr>False</vt:lpwstr>
  </property>
  <property fmtid="{D5CDD505-2E9C-101B-9397-08002B2CF9AE}" pid="39" name="suppress-author-note">
    <vt:lpwstr>True</vt:lpwstr>
  </property>
  <property fmtid="{D5CDD505-2E9C-101B-9397-08002B2CF9AE}" pid="40" name="suppress-corresponding-address">
    <vt:lpwstr>False</vt:lpwstr>
  </property>
  <property fmtid="{D5CDD505-2E9C-101B-9397-08002B2CF9AE}" pid="41" name="suppress-corresponding-affiliation-name">
    <vt:lpwstr>False</vt:lpwstr>
  </property>
  <property fmtid="{D5CDD505-2E9C-101B-9397-08002B2CF9AE}" pid="42" name="suppress-corresponding-city">
    <vt:lpwstr>False</vt:lpwstr>
  </property>
  <property fmtid="{D5CDD505-2E9C-101B-9397-08002B2CF9AE}" pid="43" name="suppress-corresponding-country">
    <vt:lpwstr>False</vt:lpwstr>
  </property>
  <property fmtid="{D5CDD505-2E9C-101B-9397-08002B2CF9AE}" pid="44" name="suppress-corresponding-department">
    <vt:lpwstr>False</vt:lpwstr>
  </property>
  <property fmtid="{D5CDD505-2E9C-101B-9397-08002B2CF9AE}" pid="45" name="suppress-corresponding-email">
    <vt:lpwstr>False</vt:lpwstr>
  </property>
  <property fmtid="{D5CDD505-2E9C-101B-9397-08002B2CF9AE}" pid="46" name="suppress-corresponding-group">
    <vt:lpwstr>False</vt:lpwstr>
  </property>
  <property fmtid="{D5CDD505-2E9C-101B-9397-08002B2CF9AE}" pid="47" name="suppress-corresponding-paragraph">
    <vt:lpwstr>False</vt:lpwstr>
  </property>
  <property fmtid="{D5CDD505-2E9C-101B-9397-08002B2CF9AE}" pid="48" name="suppress-corresponding-postal-code">
    <vt:lpwstr>False</vt:lpwstr>
  </property>
  <property fmtid="{D5CDD505-2E9C-101B-9397-08002B2CF9AE}" pid="49" name="suppress-corresponding-region">
    <vt:lpwstr>False</vt:lpwstr>
  </property>
  <property fmtid="{D5CDD505-2E9C-101B-9397-08002B2CF9AE}" pid="50" name="suppress-credit-statement">
    <vt:lpwstr>False</vt:lpwstr>
  </property>
  <property fmtid="{D5CDD505-2E9C-101B-9397-08002B2CF9AE}" pid="51" name="suppress-disclosures-paragraph">
    <vt:lpwstr>False</vt:lpwstr>
  </property>
  <property fmtid="{D5CDD505-2E9C-101B-9397-08002B2CF9AE}" pid="52" name="suppress-impact-statement">
    <vt:lpwstr>False</vt:lpwstr>
  </property>
  <property fmtid="{D5CDD505-2E9C-101B-9397-08002B2CF9AE}" pid="53" name="suppress-keywords">
    <vt:lpwstr>False</vt:lpwstr>
  </property>
  <property fmtid="{D5CDD505-2E9C-101B-9397-08002B2CF9AE}" pid="54" name="suppress-orcid">
    <vt:lpwstr>False</vt:lpwstr>
  </property>
  <property fmtid="{D5CDD505-2E9C-101B-9397-08002B2CF9AE}" pid="55" name="suppress-short-title">
    <vt:lpwstr>False</vt:lpwstr>
  </property>
  <property fmtid="{D5CDD505-2E9C-101B-9397-08002B2CF9AE}" pid="56" name="suppress-status-change-paragraph">
    <vt:lpwstr>False</vt:lpwstr>
  </property>
  <property fmtid="{D5CDD505-2E9C-101B-9397-08002B2CF9AE}" pid="57" name="suppress-title">
    <vt:lpwstr>False</vt:lpwstr>
  </property>
  <property fmtid="{D5CDD505-2E9C-101B-9397-08002B2CF9AE}" pid="58" name="suppress-title-introduction">
    <vt:lpwstr>False</vt:lpwstr>
  </property>
  <property fmtid="{D5CDD505-2E9C-101B-9397-08002B2CF9AE}" pid="59" name="suppress-title-page">
    <vt:lpwstr>False</vt:lpwstr>
  </property>
  <property fmtid="{D5CDD505-2E9C-101B-9397-08002B2CF9AE}" pid="60" name="suppress-title-page-number">
    <vt:lpwstr>False</vt:lpwstr>
  </property>
  <property fmtid="{D5CDD505-2E9C-101B-9397-08002B2CF9AE}" pid="61" name="tbl-cap-location">
    <vt:lpwstr>top</vt:lpwstr>
  </property>
  <property fmtid="{D5CDD505-2E9C-101B-9397-08002B2CF9AE}" pid="62" name="toc-title">
    <vt:lpwstr>Table of contents</vt:lpwstr>
  </property>
  <property fmtid="{D5CDD505-2E9C-101B-9397-08002B2CF9AE}" pid="63" name="word-count">
    <vt:lpwstr>True</vt:lpwstr>
  </property>
  <property fmtid="{D5CDD505-2E9C-101B-9397-08002B2CF9AE}" pid="64" name="wordn">
    <vt:lpwstr>5975</vt:lpwstr>
  </property>
  <property fmtid="{D5CDD505-2E9C-101B-9397-08002B2CF9AE}" pid="65" name="zerocitations">
    <vt:lpwstr>False</vt:lpwstr>
  </property>
</Properties>
</file>