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Override PartName="/word/media/rId60.png" ContentType="image/png"/>
  <Override PartName="/word/media/rId80.png" ContentType="image/png"/>
  <Override PartName="/word/media/rId70.png" ContentType="image/png"/>
  <Override PartName="/word/media/rId74.png" ContentType="image/png"/>
  <Override PartName="/word/media/rId49.png" ContentType="image/png"/>
  <Override PartName="/word/media/rId65.png" ContentType="image/png"/>
  <Override PartName="/word/media/rId54.png" ContentType="image/png"/>
  <Override PartName="/word/media/rId26.png" ContentType="image/png"/>
  <Override PartName="/word/media/rId31.png" ContentType="image/png"/>
  <Override PartName="/word/media/rId36.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A Prior-Odds Adjustment for the Probability of Direction in Multiple Testing</w:t>
      </w:r>
    </w:p>
    <w:p>
      <w:pPr>
        <w:pStyle w:val="Author"/>
      </w:pPr>
      <w:r>
        <w:t xml:space="preserve"> </w:t>
      </w:r>
    </w:p>
    <w:p>
      <w:pPr>
        <w:pStyle w:val="Author"/>
      </w:pPr>
      <w:r>
        <w:t xml:space="preserve">Margherita Calderan</w:t>
      </w:r>
      <w:r>
        <w:rPr>
          <w:vertAlign w:val="superscript"/>
        </w:rPr>
        <w:t xml:space="preserve">1,2</w:t>
      </w:r>
      <w:r>
        <w:t xml:space="preserve">, Filippo Gambarota</w:t>
      </w:r>
      <w:r>
        <w:rPr>
          <w:vertAlign w:val="superscript"/>
        </w:rPr>
        <w:t xml:space="preserve">1</w:t>
      </w:r>
      <w:r>
        <w:t xml:space="preserve">, Livio Finos</w:t>
      </w:r>
      <w:r>
        <w:rPr>
          <w:vertAlign w:val="superscript"/>
        </w:rPr>
        <w:t xml:space="preserve">3,4</w:t>
      </w:r>
      <w:r>
        <w:t xml:space="preserve">, and Gianmarco Altoè</w:t>
      </w:r>
      <w:r>
        <w:rPr>
          <w:vertAlign w:val="superscript"/>
        </w:rPr>
        <w:t xml:space="preserve">1</w:t>
      </w:r>
    </w:p>
    <w:p>
      <w:pPr>
        <w:pStyle w:val="Author"/>
      </w:pPr>
      <w:r>
        <w:rPr>
          <w:vertAlign w:val="superscript"/>
        </w:rPr>
        <w:t xml:space="preserve">1</w:t>
      </w:r>
      <w:r>
        <w:t xml:space="preserve">Department of Developmental Psychology and Socialization, University of Padova</w:t>
      </w:r>
    </w:p>
    <w:p>
      <w:pPr>
        <w:pStyle w:val="Author"/>
      </w:pPr>
      <w:r>
        <w:rPr>
          <w:vertAlign w:val="superscript"/>
        </w:rPr>
        <w:t xml:space="preserve">2</w:t>
      </w:r>
      <w:r>
        <w:t xml:space="preserve">Department of General Psychology, University of Padova</w:t>
      </w:r>
    </w:p>
    <w:p>
      <w:pPr>
        <w:pStyle w:val="Author"/>
      </w:pPr>
      <w:r>
        <w:rPr>
          <w:vertAlign w:val="superscript"/>
        </w:rPr>
        <w:t xml:space="preserve">3</w:t>
      </w:r>
      <w:r>
        <w:t xml:space="preserve">Department of Statistical Sciences, University of Padova</w:t>
      </w:r>
    </w:p>
    <w:p>
      <w:pPr>
        <w:pStyle w:val="Author"/>
      </w:pPr>
      <w:r>
        <w:rPr>
          <w:vertAlign w:val="superscript"/>
        </w:rPr>
        <w:t xml:space="preserve">4</w:t>
      </w:r>
      <w:r>
        <w:t xml:space="preserve">Padova Neuroscience Center, University of Padova</w:t>
      </w:r>
    </w:p>
    <w:p>
      <w:pPr>
        <w:pStyle w:val="BodyText"/>
      </w:pPr>
      <w:r>
        <w:t xml:space="preserve"> </w:t>
      </w:r>
    </w:p>
    <w:p>
      <w:pPr>
        <w:pStyle w:val="BodyText"/>
      </w:pPr>
      <w:r>
        <w:t xml:space="preserve"> </w:t>
      </w:r>
    </w:p>
    <w:bookmarkEnd w:id="22"/>
    <w:bookmarkStart w:id="46" w:name="author-note"/>
    <w:p>
      <w:pPr>
        <w:pStyle w:val="Heading1"/>
      </w:pPr>
      <w:r>
        <w:t xml:space="preserve">Author Note</w:t>
      </w:r>
    </w:p>
    <w:p>
      <w:pPr>
        <w:pStyle w:val="FirstParagraph"/>
      </w:pPr>
      <w:r>
        <w:t xml:space="preserve">Margherita Calderan</w:t>
      </w:r>
      <w:r>
        <w:t xml:space="preserve"> </w:t>
      </w:r>
      <w:bookmarkStart w:id="27"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7"/>
      <w:r>
        <w:t xml:space="preserve"> </w:t>
      </w:r>
      <w:hyperlink r:id="rId28">
        <w:r>
          <w:rPr>
            <w:rStyle w:val="Hyperlink"/>
          </w:rPr>
          <w:t xml:space="preserve">https://orcid.org/0009-0005-5668-5162</w:t>
        </w:r>
      </w:hyperlink>
    </w:p>
    <w:p>
      <w:pPr>
        <w:pStyle w:val="BodyText"/>
      </w:pPr>
      <w:r>
        <w:t xml:space="preserve">Filippo Gambarota</w:t>
      </w:r>
      <w:r>
        <w:t xml:space="preserve"> </w:t>
      </w:r>
      <w:bookmarkStart w:id="32" w:name="orcid"/>
      <w:r>
        <w:drawing>
          <wp:inline>
            <wp:extent cx="152279" cy="152279"/>
            <wp:effectExtent b="0" l="0" r="0" t="0"/>
            <wp:docPr descr="Orcid ID Logo: A green circle with white letters ID" title="" id="29" name="Picture"/>
            <a:graphic>
              <a:graphicData uri="http://schemas.openxmlformats.org/drawingml/2006/picture">
                <pic:pic>
                  <pic:nvPicPr>
                    <pic:cNvPr descr="_extensions/wjschne/apaquarto/ORCID-iD_icon-vector.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https://orcid.org/0000-0002-6666-1747</w:t>
        </w:r>
      </w:hyperlink>
    </w:p>
    <w:p>
      <w:pPr>
        <w:pStyle w:val="BodyText"/>
      </w:pPr>
      <w:r>
        <w:t xml:space="preserve">Livio Finos</w:t>
      </w:r>
      <w:r>
        <w:t xml:space="preserve"> </w:t>
      </w:r>
      <w:bookmarkStart w:id="37" w:name="orcid"/>
      <w:r>
        <w:drawing>
          <wp:inline>
            <wp:extent cx="152279" cy="152279"/>
            <wp:effectExtent b="0" l="0" r="0" t="0"/>
            <wp:docPr descr="Orcid ID Logo: A green circle with white letters ID" title="" id="34" name="Picture"/>
            <a:graphic>
              <a:graphicData uri="http://schemas.openxmlformats.org/drawingml/2006/picture">
                <pic:pic>
                  <pic:nvPicPr>
                    <pic:cNvPr descr="_extensions/wjschne/apaquarto/ORCID-iD_icon-vector.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7"/>
      <w:r>
        <w:t xml:space="preserve"> </w:t>
      </w:r>
      <w:hyperlink r:id="rId38">
        <w:r>
          <w:rPr>
            <w:rStyle w:val="Hyperlink"/>
          </w:rPr>
          <w:t xml:space="preserve">https://orcid.org/0000-0003-3181-8078</w:t>
        </w:r>
      </w:hyperlink>
    </w:p>
    <w:p>
      <w:pPr>
        <w:pStyle w:val="BodyText"/>
      </w:pPr>
      <w:r>
        <w:t xml:space="preserve">Gianmarco Altoè</w:t>
      </w:r>
      <w:r>
        <w:t xml:space="preserve"> </w:t>
      </w:r>
      <w:bookmarkStart w:id="42" w:name="orcid"/>
      <w:r>
        <w:drawing>
          <wp:inline>
            <wp:extent cx="152279" cy="152279"/>
            <wp:effectExtent b="0" l="0" r="0" t="0"/>
            <wp:docPr descr="Orcid ID Logo: A green circle with white letters ID" title="" id="39" name="Picture"/>
            <a:graphic>
              <a:graphicData uri="http://schemas.openxmlformats.org/drawingml/2006/picture">
                <pic:pic>
                  <pic:nvPicPr>
                    <pic:cNvPr descr="_extensions/wjschne/apaquarto/ORCID-iD_icon-vector.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2"/>
      <w:r>
        <w:t xml:space="preserve"> </w:t>
      </w:r>
      <w:hyperlink r:id="rId43">
        <w:r>
          <w:rPr>
            <w:rStyle w:val="Hyperlink"/>
          </w:rPr>
          <w:t xml:space="preserve">https://orcid.org/0000-0003-1154-9528</w:t>
        </w:r>
      </w:hyperlink>
    </w:p>
    <w:p>
      <w:pPr>
        <w:pStyle w:val="BodyText"/>
      </w:pPr>
      <w:r>
        <w:t xml:space="preserve">A previous version of this manuscript was posted as a preprint on PsyArXiv at</w:t>
      </w:r>
      <w:r>
        <w:t xml:space="preserve"> </w:t>
      </w:r>
      <w:hyperlink r:id="rId44">
        <w:r>
          <w:rPr>
            <w:rStyle w:val="Hyperlink"/>
          </w:rPr>
          <w:t xml:space="preserve">https://osf.io/preprints/psyarxiv/8zwx2_v2</w:t>
        </w:r>
      </w:hyperlink>
      <w:r>
        <w:t xml:space="preserve">.</w:t>
      </w:r>
    </w:p>
    <w:p>
      <w:pPr>
        <w:pStyle w:val="BodyText"/>
      </w:pPr>
      <w:r>
        <w:t xml:space="preserve">Correspondence concerning this article should be addressed to Margherita Calderan, Department of Developmental Psychology and Socialization, University of Padova, Via Venezia 8, Padova 35131, Italy, Email:</w:t>
      </w:r>
      <w:r>
        <w:t xml:space="preserve"> </w:t>
      </w:r>
      <w:hyperlink r:id="rId45">
        <w:r>
          <w:rPr>
            <w:rStyle w:val="Hyperlink"/>
          </w:rPr>
          <w:t xml:space="preserve">margherita.calderan@unipd.it</w:t>
        </w:r>
      </w:hyperlink>
    </w:p>
    <w:p>
      <w:r>
        <w:br w:type="page"/>
      </w:r>
    </w:p>
    <w:bookmarkEnd w:id="46"/>
    <w:bookmarkStart w:id="47" w:name="abstract"/>
    <w:p>
      <w:pPr>
        <w:pStyle w:val="Heading1"/>
      </w:pPr>
      <w:r>
        <w:t xml:space="preserve">Abstract</w:t>
      </w:r>
    </w:p>
    <w:p>
      <w:pPr>
        <w:pStyle w:val="AbstractFirstParagraph"/>
      </w:pPr>
      <w:r>
        <w:t xml:space="preserve">The probability of direction (</w:t>
      </w:r>
      <m:oMath>
        <m:r>
          <m:t>p</m:t>
        </m:r>
        <m:r>
          <m:t>d</m:t>
        </m:r>
      </m:oMath>
      <w:r>
        <w:t xml:space="preserve">) is increasingly used in psychological research to summarize how strongly the posterior favors one direction of a parameter. Researchers often use</w:t>
      </w:r>
      <w:r>
        <w:t xml:space="preserve"> </w:t>
      </w:r>
      <m:oMath>
        <m:r>
          <m:t>p</m:t>
        </m:r>
        <m:r>
          <m:t>d</m:t>
        </m:r>
      </m:oMath>
      <w:r>
        <w:t xml:space="preserve"> </w:t>
      </w:r>
      <w:r>
        <w:t xml:space="preserve">in a decision rule with a fixed threshold, such as .975, and when this rule is applied across many parameters, the probability of at least one wrong directional claim grows with the number of claims made. We apply to</w:t>
      </w:r>
      <w:r>
        <w:t xml:space="preserve"> </w:t>
      </w:r>
      <m:oMath>
        <m:r>
          <m:t>p</m:t>
        </m:r>
        <m:r>
          <m:t>d</m:t>
        </m:r>
      </m:oMath>
      <w:r>
        <w:t xml:space="preserve"> </w:t>
      </w:r>
      <w:r>
        <w:t xml:space="preserve">the classical Bayesian response to multiplicity, a penalty on the prior odds of each claim that depends on the number of tests. Because the direction of a claim is known only after the data are seen, a claim is made only if it still holds when the prior odds of the claimed direction are lowered. This raises the threshold that</w:t>
      </w:r>
      <w:r>
        <w:t xml:space="preserve"> </w:t>
      </w:r>
      <m:oMath>
        <m:r>
          <m:t>p</m:t>
        </m:r>
        <m:r>
          <m:t>d</m:t>
        </m:r>
      </m:oMath>
      <w:r>
        <w:t xml:space="preserve"> </w:t>
      </w:r>
      <w:r>
        <w:t xml:space="preserve">must exceed by an amount determined by an upper bound, set by the researcher, on the prior probability of the sign opposite to the claimed one. When the same bound applies to every parameter, it is also an upper bound on the expected proportion of parameters in the family that are not on the claimed side, null effects included. We evaluate the error rates and power of the rule in simulations that vary the sample size, the number of tests, and the bound, set below, at, or above the actual proportion of null effects. We also compare the rule with two other Bayesian multiple-comparison procedures: joint directional statements and simultaneous credible intervals. All three procedures are implemented in an accompanying R package.</w:t>
      </w:r>
    </w:p>
    <w:p>
      <w:pPr>
        <w:pStyle w:val="BodyText"/>
      </w:pPr>
      <w:r>
        <w:rPr>
          <w:i/>
          <w:iCs/>
        </w:rPr>
        <w:t xml:space="preserve">Keywords</w:t>
      </w:r>
      <w:r>
        <w:t xml:space="preserve">: probability of direction, multiple testing, prior odds, robust Bayesian analysis, FDR</w:t>
      </w:r>
    </w:p>
    <w:p>
      <w:pPr>
        <w:pStyle w:val="BodyText"/>
      </w:pPr>
      <w:r>
        <w:rPr>
          <w:i/>
          <w:iCs/>
        </w:rPr>
        <w:t xml:space="preserve">Word Count</w:t>
      </w:r>
      <w:r>
        <w:t xml:space="preserve">: 8117</w:t>
      </w:r>
    </w:p>
    <w:p>
      <w:r>
        <w:br w:type="page"/>
      </w:r>
    </w:p>
    <w:bookmarkEnd w:id="47"/>
    <w:bookmarkStart w:id="86" w:name="firstheader"/>
    <w:p>
      <w:pPr>
        <w:pStyle w:val="Heading1"/>
      </w:pPr>
      <w:r>
        <w:t xml:space="preserve">A Prior-Odds Adjustment for the Probability of Direction in Multiple Testing</w:t>
      </w:r>
    </w:p>
    <w:p>
      <w:pPr>
        <w:pStyle w:val="FirstParagraph"/>
      </w:pPr>
      <w:r>
        <w:t xml:space="preserve">Over the past two decades, the use of Bayesian methods in psychological research has grown considerably</w:t>
      </w:r>
      <w:r>
        <w:t xml:space="preserve"> </w:t>
      </w:r>
      <w:r>
        <w:t xml:space="preserve">(</w:t>
      </w:r>
      <w:hyperlink w:anchor="ref-Jevremov2024">
        <w:r>
          <w:rPr>
            <w:rStyle w:val="Hyperlink"/>
          </w:rPr>
          <w:t xml:space="preserve">Jevremov &amp; Pajić, 2024</w:t>
        </w:r>
      </w:hyperlink>
      <w:r>
        <w:t xml:space="preserve">;</w:t>
      </w:r>
      <w:r>
        <w:t xml:space="preserve"> </w:t>
      </w:r>
      <w:hyperlink w:anchor="ref-Pfadt2025">
        <w:r>
          <w:rPr>
            <w:rStyle w:val="Hyperlink"/>
          </w:rPr>
          <w:t xml:space="preserve">Pfadt et al.</w:t>
        </w:r>
        <w:r>
          <w:rPr>
            <w:rStyle w:val="Hyperlink"/>
          </w:rPr>
          <w:t xml:space="preserve">, 2025</w:t>
        </w:r>
      </w:hyperlink>
      <w:r>
        <w:t xml:space="preserve">;</w:t>
      </w:r>
      <w:r>
        <w:t xml:space="preserve"> </w:t>
      </w:r>
      <w:hyperlink w:anchor="ref-Van2017">
        <w:r>
          <w:rPr>
            <w:rStyle w:val="Hyperlink"/>
          </w:rPr>
          <w:t xml:space="preserve">van de Schoot et al., 2017</w:t>
        </w:r>
      </w:hyperlink>
      <w:r>
        <w:t xml:space="preserve">)</w:t>
      </w:r>
      <w:r>
        <w:t xml:space="preserve">. This expansion has, however, been accompanied by practices reminiscent of the</w:t>
      </w:r>
      <w:r>
        <w:t xml:space="preserve"> </w:t>
      </w:r>
      <w:r>
        <w:t xml:space="preserve">“null ritual”</w:t>
      </w:r>
      <w:r>
        <w:t xml:space="preserve"> </w:t>
      </w:r>
      <w:r>
        <w:t xml:space="preserve">in frequentist statistics, where widespread adoption gave way to automatic application rather than principled reasoning</w:t>
      </w:r>
      <w:r>
        <w:t xml:space="preserve"> </w:t>
      </w:r>
      <w:r>
        <w:t xml:space="preserve">(</w:t>
      </w:r>
      <w:hyperlink w:anchor="ref-Cohen1994">
        <w:r>
          <w:rPr>
            <w:rStyle w:val="Hyperlink"/>
          </w:rPr>
          <w:t xml:space="preserve">Cohen, 1994</w:t>
        </w:r>
      </w:hyperlink>
      <w:r>
        <w:t xml:space="preserve">;</w:t>
      </w:r>
      <w:r>
        <w:t xml:space="preserve"> </w:t>
      </w:r>
      <w:hyperlink w:anchor="ref-Gigerenzer2004">
        <w:r>
          <w:rPr>
            <w:rStyle w:val="Hyperlink"/>
          </w:rPr>
          <w:t xml:space="preserve">Gigerenzer, 2004</w:t>
        </w:r>
      </w:hyperlink>
      <w:r>
        <w:t xml:space="preserve">)</w:t>
      </w:r>
      <w:r>
        <w:t xml:space="preserve">. Researchers sometimes treat Bayes factor thresholds (e.g., BF &gt; 3) as dichotomous decision rules, or claim that an effect</w:t>
      </w:r>
      <w:r>
        <w:t xml:space="preserve"> </w:t>
      </w:r>
      <w:r>
        <w:t xml:space="preserve">“exists”</w:t>
      </w:r>
      <w:r>
        <w:t xml:space="preserve"> </w:t>
      </w:r>
      <w:r>
        <w:t xml:space="preserve">because the posterior probability of a directional effect exceeds a conventional benchmark such as .975</w:t>
      </w:r>
      <w:r>
        <w:t xml:space="preserve"> </w:t>
      </w:r>
      <w:r>
        <w:t xml:space="preserve">(</w:t>
      </w:r>
      <w:hyperlink w:anchor="ref-Heck2023">
        <w:r>
          <w:rPr>
            <w:rStyle w:val="Hyperlink"/>
          </w:rPr>
          <w:t xml:space="preserve">Heck et al.</w:t>
        </w:r>
        <w:r>
          <w:rPr>
            <w:rStyle w:val="Hyperlink"/>
          </w:rPr>
          <w:t xml:space="preserve">, 2023</w:t>
        </w:r>
      </w:hyperlink>
      <w:r>
        <w:t xml:space="preserve">;</w:t>
      </w:r>
      <w:r>
        <w:t xml:space="preserve"> </w:t>
      </w:r>
      <w:hyperlink w:anchor="ref-Hoijtink2016">
        <w:r>
          <w:rPr>
            <w:rStyle w:val="Hyperlink"/>
          </w:rPr>
          <w:t xml:space="preserve">Hoijtink et al., 2016</w:t>
        </w:r>
      </w:hyperlink>
      <w:r>
        <w:t xml:space="preserve">;</w:t>
      </w:r>
      <w:r>
        <w:t xml:space="preserve"> </w:t>
      </w:r>
      <w:hyperlink w:anchor="ref-Kelter2023">
        <w:r>
          <w:rPr>
            <w:rStyle w:val="Hyperlink"/>
          </w:rPr>
          <w:t xml:space="preserve">Kelter, 2023</w:t>
        </w:r>
      </w:hyperlink>
      <w:r>
        <w:t xml:space="preserve">;</w:t>
      </w:r>
      <w:r>
        <w:t xml:space="preserve"> </w:t>
      </w:r>
      <w:hyperlink w:anchor="ref-Kruschke2018">
        <w:r>
          <w:rPr>
            <w:rStyle w:val="Hyperlink"/>
          </w:rPr>
          <w:t xml:space="preserve">Kruschke, 2018</w:t>
        </w:r>
      </w:hyperlink>
      <w:r>
        <w:t xml:space="preserve">;</w:t>
      </w:r>
      <w:r>
        <w:t xml:space="preserve"> </w:t>
      </w:r>
      <w:hyperlink w:anchor="ref-Tendeiro2024">
        <w:r>
          <w:rPr>
            <w:rStyle w:val="Hyperlink"/>
          </w:rPr>
          <w:t xml:space="preserve">Tendeiro et al., 2024</w:t>
        </w:r>
      </w:hyperlink>
      <w:r>
        <w:t xml:space="preserve">;</w:t>
      </w:r>
      <w:r>
        <w:t xml:space="preserve"> </w:t>
      </w:r>
      <w:hyperlink w:anchor="ref-Tendeiro2019">
        <w:r>
          <w:rPr>
            <w:rStyle w:val="Hyperlink"/>
          </w:rPr>
          <w:t xml:space="preserve">Tendeiro &amp; Kiers, 2019</w:t>
        </w:r>
      </w:hyperlink>
      <w:r>
        <w:t xml:space="preserve">)</w:t>
      </w:r>
      <w:r>
        <w:t xml:space="preserve">. Such cutoffs are convenient, but they encourage all-or-none interpretations, and when these binary judgments are applied repeatedly across many parameters they generate a multiplicity problem no different in kind from the one long recognized in frequentist statistics.</w:t>
      </w:r>
    </w:p>
    <w:p>
      <w:pPr>
        <w:pStyle w:val="BodyText"/>
      </w:pPr>
      <w:r>
        <w:t xml:space="preserve">Frequentists developed methods to address this problem, controlling either the Family-Wise Error Rate (FWER; the probability of at least one false positive) or the False Discovery Rate (FDR; the expected proportion of false positives among rejected hypotheses)</w:t>
      </w:r>
      <w:r>
        <w:t xml:space="preserve"> </w:t>
      </w:r>
      <w:r>
        <w:t xml:space="preserve">(</w:t>
      </w:r>
      <w:hyperlink w:anchor="ref-Benjamini1995">
        <w:r>
          <w:rPr>
            <w:rStyle w:val="Hyperlink"/>
          </w:rPr>
          <w:t xml:space="preserve">Benjamini &amp; Hochberg, 1995</w:t>
        </w:r>
      </w:hyperlink>
      <w:r>
        <w:t xml:space="preserve">;</w:t>
      </w:r>
      <w:r>
        <w:t xml:space="preserve"> </w:t>
      </w:r>
      <w:hyperlink w:anchor="ref-Westfall1993">
        <w:r>
          <w:rPr>
            <w:rStyle w:val="Hyperlink"/>
          </w:rPr>
          <w:t xml:space="preserve">Westfall &amp; Young, 1993</w:t>
        </w:r>
      </w:hyperlink>
      <w:r>
        <w:t xml:space="preserve">)</w:t>
      </w:r>
      <w:r>
        <w:t xml:space="preserve">. These procedures address whether a spurious result enters the literature, but leave unresolved a subtler consequence of the same selection process. When researchers examine many parameters but highlight only the most extreme estimates, selection systematically inflates reported magnitudes</w:t>
      </w:r>
      <w:r>
        <w:t xml:space="preserve"> </w:t>
      </w:r>
      <w:r>
        <w:t xml:space="preserve">(</w:t>
      </w:r>
      <w:hyperlink w:anchor="ref-Altoe2020">
        <w:r>
          <w:rPr>
            <w:rStyle w:val="Hyperlink"/>
          </w:rPr>
          <w:t xml:space="preserve">Altoè et al., 2020</w:t>
        </w:r>
      </w:hyperlink>
      <w:r>
        <w:t xml:space="preserve">;</w:t>
      </w:r>
      <w:r>
        <w:t xml:space="preserve"> </w:t>
      </w:r>
      <w:hyperlink w:anchor="ref-Gelman2014">
        <w:r>
          <w:rPr>
            <w:rStyle w:val="Hyperlink"/>
          </w:rPr>
          <w:t xml:space="preserve">Gelman &amp; Carlin, 2014</w:t>
        </w:r>
      </w:hyperlink>
      <w:r>
        <w:t xml:space="preserve">;</w:t>
      </w:r>
      <w:r>
        <w:t xml:space="preserve"> </w:t>
      </w:r>
      <w:hyperlink w:anchor="ref-Zwet2021">
        <w:r>
          <w:rPr>
            <w:rStyle w:val="Hyperlink"/>
          </w:rPr>
          <w:t xml:space="preserve">van Zwet &amp; Cator, 2021</w:t>
        </w:r>
      </w:hyperlink>
      <w:r>
        <w:t xml:space="preserve">)</w:t>
      </w:r>
      <w:r>
        <w:t xml:space="preserve">. Bayesian methods can mitigate this overestimation, pulling extreme estimates toward more plausible values through informative priors</w:t>
      </w:r>
      <w:r>
        <w:t xml:space="preserve"> </w:t>
      </w:r>
      <w:r>
        <w:t xml:space="preserve">(</w:t>
      </w:r>
      <w:hyperlink w:anchor="ref-Dawid1994">
        <w:r>
          <w:rPr>
            <w:rStyle w:val="Hyperlink"/>
          </w:rPr>
          <w:t xml:space="preserve">Dawid, 1994</w:t>
        </w:r>
      </w:hyperlink>
      <w:r>
        <w:t xml:space="preserve">;</w:t>
      </w:r>
      <w:r>
        <w:t xml:space="preserve"> </w:t>
      </w:r>
      <w:hyperlink w:anchor="ref-Zwet2022">
        <w:r>
          <w:rPr>
            <w:rStyle w:val="Hyperlink"/>
          </w:rPr>
          <w:t xml:space="preserve">van Zwet &amp; Gelman, 2022</w:t>
        </w:r>
      </w:hyperlink>
      <w:r>
        <w:t xml:space="preserve">)</w:t>
      </w:r>
      <w:r>
        <w:t xml:space="preserve"> </w:t>
      </w:r>
      <w:r>
        <w:t xml:space="preserve">and hierarchical modeling</w:t>
      </w:r>
      <w:r>
        <w:t xml:space="preserve"> </w:t>
      </w:r>
      <w:r>
        <w:t xml:space="preserve">(</w:t>
      </w:r>
      <w:hyperlink w:anchor="ref-Berry1999">
        <w:r>
          <w:rPr>
            <w:rStyle w:val="Hyperlink"/>
          </w:rPr>
          <w:t xml:space="preserve">Berry &amp; Hochberg, 1999</w:t>
        </w:r>
      </w:hyperlink>
      <w:r>
        <w:t xml:space="preserve">;</w:t>
      </w:r>
      <w:r>
        <w:t xml:space="preserve"> </w:t>
      </w:r>
      <w:hyperlink w:anchor="ref-Gelman2012">
        <w:r>
          <w:rPr>
            <w:rStyle w:val="Hyperlink"/>
          </w:rPr>
          <w:t xml:space="preserve">Gelman et al., 2012</w:t>
        </w:r>
      </w:hyperlink>
      <w:r>
        <w:t xml:space="preserve">,</w:t>
      </w:r>
      <w:r>
        <w:t xml:space="preserve"> </w:t>
      </w:r>
      <w:hyperlink w:anchor="ref-GelmanBook">
        <w:r>
          <w:rPr>
            <w:rStyle w:val="Hyperlink"/>
          </w:rPr>
          <w:t xml:space="preserve">2013</w:t>
        </w:r>
      </w:hyperlink>
      <w:r>
        <w:t xml:space="preserve">;</w:t>
      </w:r>
      <w:r>
        <w:t xml:space="preserve"> </w:t>
      </w:r>
      <w:hyperlink w:anchor="ref-Kruschke2011">
        <w:r>
          <w:rPr>
            <w:rStyle w:val="Hyperlink"/>
          </w:rPr>
          <w:t xml:space="preserve">Kruschke, 2011</w:t>
        </w:r>
      </w:hyperlink>
      <w:r>
        <w:t xml:space="preserve">)</w:t>
      </w:r>
      <w:r>
        <w:t xml:space="preserve">. Magnitude bias and false-positive accumulation are, however, distinct problems. Shrinkage offers no guarantee about the error properties of a decision rule applied across many parameters: if the same cutoff is used repeatedly (e.g., claiming an effect whenever a posterior probability exceeds .975), the probability of spurious findings can remain substantial. Bayesian responses to this issue do exist, such as joint probability statements</w:t>
      </w:r>
      <w:r>
        <w:t xml:space="preserve"> </w:t>
      </w:r>
      <w:r>
        <w:t xml:space="preserve">(</w:t>
      </w:r>
      <w:hyperlink w:anchor="ref-Box1992">
        <w:r>
          <w:rPr>
            <w:rStyle w:val="Hyperlink"/>
          </w:rPr>
          <w:t xml:space="preserve">Box &amp; Tiao, 1992</w:t>
        </w:r>
      </w:hyperlink>
      <w:r>
        <w:t xml:space="preserve">;</w:t>
      </w:r>
      <w:r>
        <w:t xml:space="preserve"> </w:t>
      </w:r>
      <w:hyperlink w:anchor="ref-Gelman2000">
        <w:r>
          <w:rPr>
            <w:rStyle w:val="Hyperlink"/>
          </w:rPr>
          <w:t xml:space="preserve">Gelman &amp; Tuerlinckx, 2000</w:t>
        </w:r>
      </w:hyperlink>
      <w:r>
        <w:t xml:space="preserve">;</w:t>
      </w:r>
      <w:r>
        <w:t xml:space="preserve"> </w:t>
      </w:r>
      <w:hyperlink w:anchor="ref-Pruzek2016">
        <w:r>
          <w:rPr>
            <w:rStyle w:val="Hyperlink"/>
          </w:rPr>
          <w:t xml:space="preserve">Pruzek, 2016</w:t>
        </w:r>
      </w:hyperlink>
      <w:r>
        <w:t xml:space="preserve">;</w:t>
      </w:r>
      <w:r>
        <w:t xml:space="preserve"> </w:t>
      </w:r>
      <w:hyperlink w:anchor="ref-Schnell2020">
        <w:r>
          <w:rPr>
            <w:rStyle w:val="Hyperlink"/>
          </w:rPr>
          <w:t xml:space="preserve">Schnell et al., 2020</w:t>
        </w:r>
      </w:hyperlink>
      <w:r>
        <w:t xml:space="preserve">)</w:t>
      </w:r>
      <w:r>
        <w:t xml:space="preserve"> </w:t>
      </w:r>
      <w:r>
        <w:t xml:space="preserve">or priors over the hypothesis space that scale with the number of tests</w:t>
      </w:r>
      <w:r>
        <w:t xml:space="preserve"> </w:t>
      </w:r>
      <w:r>
        <w:t xml:space="preserve">(</w:t>
      </w:r>
      <w:hyperlink w:anchor="ref-Jeffreys1938">
        <w:r>
          <w:rPr>
            <w:rStyle w:val="Hyperlink"/>
          </w:rPr>
          <w:t xml:space="preserve">Jeffreys, 1938</w:t>
        </w:r>
      </w:hyperlink>
      <w:r>
        <w:t xml:space="preserve">;</w:t>
      </w:r>
      <w:r>
        <w:t xml:space="preserve"> </w:t>
      </w:r>
      <w:hyperlink w:anchor="ref-Scott2006">
        <w:r>
          <w:rPr>
            <w:rStyle w:val="Hyperlink"/>
          </w:rPr>
          <w:t xml:space="preserve">Scott &amp; Berger, 2006</w:t>
        </w:r>
      </w:hyperlink>
      <w:r>
        <w:t xml:space="preserve">;</w:t>
      </w:r>
      <w:r>
        <w:t xml:space="preserve"> </w:t>
      </w:r>
      <w:hyperlink w:anchor="ref-Scott2010">
        <w:r>
          <w:rPr>
            <w:rStyle w:val="Hyperlink"/>
          </w:rPr>
          <w:t xml:space="preserve">Scott &amp; Berger, 2010</w:t>
        </w:r>
      </w:hyperlink>
      <w:r>
        <w:t xml:space="preserve">;</w:t>
      </w:r>
      <w:r>
        <w:t xml:space="preserve"> </w:t>
      </w:r>
      <w:hyperlink w:anchor="ref-Westfall1997">
        <w:r>
          <w:rPr>
            <w:rStyle w:val="Hyperlink"/>
          </w:rPr>
          <w:t xml:space="preserve">Westfall et al., 1997</w:t>
        </w:r>
      </w:hyperlink>
      <w:r>
        <w:t xml:space="preserve">)</w:t>
      </w:r>
      <w:r>
        <w:t xml:space="preserve">.</w:t>
      </w:r>
    </w:p>
    <w:p>
      <w:pPr>
        <w:pStyle w:val="BodyText"/>
      </w:pPr>
      <w:r>
        <w:t xml:space="preserve">Here we focus on a decision rule based on the probability of direction (</w:t>
      </w:r>
      <m:oMath>
        <m:r>
          <m:t>p</m:t>
        </m:r>
        <m:r>
          <m:t>d</m:t>
        </m:r>
      </m:oMath>
      <w:r>
        <w:t xml:space="preserve">), which is increasingly used in psychological research</w:t>
      </w:r>
      <w:r>
        <w:t xml:space="preserve"> </w:t>
      </w:r>
      <w:r>
        <w:t xml:space="preserve">(</w:t>
      </w:r>
      <w:hyperlink w:anchor="ref-Ben2022">
        <w:r>
          <w:rPr>
            <w:rStyle w:val="Hyperlink"/>
          </w:rPr>
          <w:t xml:space="preserve">Ben-Artzi et al., 2022</w:t>
        </w:r>
      </w:hyperlink>
      <w:r>
        <w:t xml:space="preserve">;</w:t>
      </w:r>
      <w:r>
        <w:t xml:space="preserve"> </w:t>
      </w:r>
      <w:hyperlink w:anchor="ref-Bramley2022">
        <w:r>
          <w:rPr>
            <w:rStyle w:val="Hyperlink"/>
          </w:rPr>
          <w:t xml:space="preserve">Bramley &amp; Ruggeri, 2022</w:t>
        </w:r>
      </w:hyperlink>
      <w:r>
        <w:t xml:space="preserve">;</w:t>
      </w:r>
      <w:r>
        <w:t xml:space="preserve"> </w:t>
      </w:r>
      <w:hyperlink w:anchor="ref-Brissenden2023">
        <w:r>
          <w:rPr>
            <w:rStyle w:val="Hyperlink"/>
          </w:rPr>
          <w:t xml:space="preserve">Brissenden et al., 2023</w:t>
        </w:r>
      </w:hyperlink>
      <w:r>
        <w:t xml:space="preserve">,</w:t>
      </w:r>
      <w:r>
        <w:t xml:space="preserve"> </w:t>
      </w:r>
      <w:hyperlink w:anchor="ref-Brissenden2024">
        <w:r>
          <w:rPr>
            <w:rStyle w:val="Hyperlink"/>
          </w:rPr>
          <w:t xml:space="preserve">2024</w:t>
        </w:r>
      </w:hyperlink>
      <w:r>
        <w:t xml:space="preserve">;</w:t>
      </w:r>
      <w:r>
        <w:t xml:space="preserve"> </w:t>
      </w:r>
      <w:hyperlink w:anchor="ref-Ciranka2026">
        <w:r>
          <w:rPr>
            <w:rStyle w:val="Hyperlink"/>
          </w:rPr>
          <w:t xml:space="preserve">Ciranka et al., 2026</w:t>
        </w:r>
      </w:hyperlink>
      <w:r>
        <w:t xml:space="preserve">;</w:t>
      </w:r>
      <w:r>
        <w:t xml:space="preserve"> </w:t>
      </w:r>
      <w:hyperlink w:anchor="ref-Hochman2025">
        <w:r>
          <w:rPr>
            <w:rStyle w:val="Hyperlink"/>
          </w:rPr>
          <w:t xml:space="preserve">Hochman et al., 2025</w:t>
        </w:r>
      </w:hyperlink>
      <w:r>
        <w:t xml:space="preserve">;</w:t>
      </w:r>
      <w:r>
        <w:t xml:space="preserve"> </w:t>
      </w:r>
      <w:hyperlink w:anchor="ref-Makowski2020">
        <w:r>
          <w:rPr>
            <w:rStyle w:val="Hyperlink"/>
          </w:rPr>
          <w:t xml:space="preserve">Makowski et al., 2020</w:t>
        </w:r>
      </w:hyperlink>
      <w:r>
        <w:t xml:space="preserve">;</w:t>
      </w:r>
      <w:r>
        <w:t xml:space="preserve"> </w:t>
      </w:r>
      <w:hyperlink w:anchor="ref-Schurr2024">
        <w:r>
          <w:rPr>
            <w:rStyle w:val="Hyperlink"/>
          </w:rPr>
          <w:t xml:space="preserve">Schurr et al., 2024</w:t>
        </w:r>
      </w:hyperlink>
      <w:r>
        <w:t xml:space="preserve">;</w:t>
      </w:r>
      <w:r>
        <w:t xml:space="preserve"> </w:t>
      </w:r>
      <w:hyperlink w:anchor="ref-Stone2024">
        <w:r>
          <w:rPr>
            <w:rStyle w:val="Hyperlink"/>
          </w:rPr>
          <w:t xml:space="preserve">Stone-Sabali et al., 2024</w:t>
        </w:r>
      </w:hyperlink>
      <w:r>
        <w:t xml:space="preserve">)</w:t>
      </w:r>
      <w:r>
        <w:t xml:space="preserve">. The</w:t>
      </w:r>
      <w:r>
        <w:t xml:space="preserve"> </w:t>
      </w:r>
      <m:oMath>
        <m:r>
          <m:t>p</m:t>
        </m:r>
        <m:r>
          <m:t>d</m:t>
        </m:r>
      </m:oMath>
      <w:r>
        <w:t xml:space="preserve"> </w:t>
      </w:r>
      <w:r>
        <w:t xml:space="preserve">is the posterior probability that a parameter lies in its dominant direction</w:t>
      </w:r>
      <w:r>
        <w:t xml:space="preserve"> </w:t>
      </w:r>
      <w:r>
        <w:t xml:space="preserve">(</w:t>
      </w:r>
      <w:hyperlink w:anchor="ref-Makowski2019">
        <w:r>
          <w:rPr>
            <w:rStyle w:val="Hyperlink"/>
          </w:rPr>
          <w:t xml:space="preserve">Makowski et al., 2019</w:t>
        </w:r>
      </w:hyperlink>
      <w:r>
        <w:t xml:space="preserve">;</w:t>
      </w:r>
      <w:r>
        <w:t xml:space="preserve"> </w:t>
      </w:r>
      <w:hyperlink w:anchor="ref-Shi2021">
        <w:r>
          <w:rPr>
            <w:rStyle w:val="Hyperlink"/>
          </w:rPr>
          <w:t xml:space="preserve">Shi &amp; Yin, 2021</w:t>
        </w:r>
      </w:hyperlink>
      <w:r>
        <w:t xml:space="preserve">)</w:t>
      </w:r>
      <w:r>
        <w:t xml:space="preserve">, and a direction is claimed when</w:t>
      </w:r>
      <w:r>
        <w:t xml:space="preserve"> </w:t>
      </w:r>
      <m:oMath>
        <m:r>
          <m:t>p</m:t>
        </m:r>
        <m:r>
          <m:t>d</m:t>
        </m:r>
      </m:oMath>
      <w:r>
        <w:t xml:space="preserve"> </w:t>
      </w:r>
      <w:r>
        <w:t xml:space="preserve">exceeds a fixed threshold (e.g.,</w:t>
      </w:r>
      <w:r>
        <w:t xml:space="preserve"> </w:t>
      </w:r>
      <m:oMath>
        <m:r>
          <m:t>p</m:t>
        </m:r>
        <m:r>
          <m:t>d</m:t>
        </m:r>
        <m:r>
          <m:rPr>
            <m:sty m:val="p"/>
          </m:rPr>
          <m:t>&gt;</m:t>
        </m:r>
        <m:r>
          <m:t>.95</m:t>
        </m:r>
      </m:oMath>
      <w:r>
        <w:t xml:space="preserve"> </w:t>
      </w:r>
      <w:r>
        <w:t xml:space="preserve">or</w:t>
      </w:r>
      <w:r>
        <w:t xml:space="preserve"> </w:t>
      </w:r>
      <m:oMath>
        <m:r>
          <m:t>p</m:t>
        </m:r>
        <m:r>
          <m:t>d</m:t>
        </m:r>
        <m:r>
          <m:rPr>
            <m:sty m:val="p"/>
          </m:rPr>
          <m:t>&gt;</m:t>
        </m:r>
        <m:r>
          <m:t>.975</m:t>
        </m:r>
      </m:oMath>
      <w:r>
        <w:t xml:space="preserve">). We examine the frequentist operating characteristics</w:t>
      </w:r>
      <w:r>
        <w:rPr>
          <w:rStyle w:val="FootnoteReference"/>
        </w:rPr>
        <w:footnoteReference w:id="48"/>
      </w:r>
      <w:r>
        <w:t xml:space="preserve"> </w:t>
      </w:r>
      <w:r>
        <w:t xml:space="preserve">of this rule and address the resulting multiplicity problem with the second strategy noted above, a penalty on the prior odds of each claim. This penalty is the classical Bayesian response to multiplicity, introduced by</w:t>
      </w:r>
      <w:r>
        <w:t xml:space="preserve"> </w:t>
      </w:r>
      <w:r>
        <w:t xml:space="preserve">Jeffreys (</w:t>
      </w:r>
      <w:hyperlink w:anchor="ref-Jeffreys1938">
        <w:r>
          <w:rPr>
            <w:rStyle w:val="Hyperlink"/>
          </w:rPr>
          <w:t xml:space="preserve">1938</w:t>
        </w:r>
      </w:hyperlink>
      <w:r>
        <w:t xml:space="preserve">)</w:t>
      </w:r>
      <w:r>
        <w:t xml:space="preserve"> </w:t>
      </w:r>
      <w:r>
        <w:t xml:space="preserve">and developed by</w:t>
      </w:r>
      <w:r>
        <w:t xml:space="preserve"> </w:t>
      </w:r>
      <w:r>
        <w:t xml:space="preserve">Westfall et al. (</w:t>
      </w:r>
      <w:hyperlink w:anchor="ref-Westfall1997">
        <w:r>
          <w:rPr>
            <w:rStyle w:val="Hyperlink"/>
          </w:rPr>
          <w:t xml:space="preserve">1997</w:t>
        </w:r>
      </w:hyperlink>
      <w:r>
        <w:t xml:space="preserve">)</w:t>
      </w:r>
      <w:r>
        <w:t xml:space="preserve">, and it underlies more recent Bayesian approaches to FDR control</w:t>
      </w:r>
      <w:r>
        <w:t xml:space="preserve"> </w:t>
      </w:r>
      <w:r>
        <w:t xml:space="preserve">(</w:t>
      </w:r>
      <w:hyperlink w:anchor="ref-Abraham2022">
        <w:r>
          <w:rPr>
            <w:rStyle w:val="Hyperlink"/>
          </w:rPr>
          <w:t xml:space="preserve">Abraham et al., 2022</w:t>
        </w:r>
      </w:hyperlink>
      <w:r>
        <w:t xml:space="preserve">;</w:t>
      </w:r>
      <w:r>
        <w:t xml:space="preserve"> </w:t>
      </w:r>
      <w:hyperlink w:anchor="ref-Efron2001">
        <w:r>
          <w:rPr>
            <w:rStyle w:val="Hyperlink"/>
          </w:rPr>
          <w:t xml:space="preserve">Efron et al., 2001</w:t>
        </w:r>
      </w:hyperlink>
      <w:r>
        <w:t xml:space="preserve">;</w:t>
      </w:r>
      <w:r>
        <w:t xml:space="preserve"> </w:t>
      </w:r>
      <w:hyperlink w:anchor="ref-Guo2010">
        <w:r>
          <w:rPr>
            <w:rStyle w:val="Hyperlink"/>
          </w:rPr>
          <w:t xml:space="preserve">Guo &amp; Heitjan, 2010</w:t>
        </w:r>
      </w:hyperlink>
      <w:r>
        <w:t xml:space="preserve">;</w:t>
      </w:r>
      <w:r>
        <w:t xml:space="preserve"> </w:t>
      </w:r>
      <w:hyperlink w:anchor="ref-Scott2006">
        <w:r>
          <w:rPr>
            <w:rStyle w:val="Hyperlink"/>
          </w:rPr>
          <w:t xml:space="preserve">Scott &amp; Berger, 2006</w:t>
        </w:r>
      </w:hyperlink>
      <w:r>
        <w:t xml:space="preserve">;</w:t>
      </w:r>
      <w:r>
        <w:t xml:space="preserve"> </w:t>
      </w:r>
      <w:hyperlink w:anchor="ref-Scott2010">
        <w:r>
          <w:rPr>
            <w:rStyle w:val="Hyperlink"/>
          </w:rPr>
          <w:t xml:space="preserve">Scott &amp; Berger, 2010</w:t>
        </w:r>
      </w:hyperlink>
      <w:r>
        <w:t xml:space="preserve">;</w:t>
      </w:r>
      <w:r>
        <w:t xml:space="preserve"> </w:t>
      </w:r>
      <w:hyperlink w:anchor="ref-Storey2002">
        <w:r>
          <w:rPr>
            <w:rStyle w:val="Hyperlink"/>
          </w:rPr>
          <w:t xml:space="preserve">Storey, 2002</w:t>
        </w:r>
      </w:hyperlink>
      <w:r>
        <w:t xml:space="preserve">,</w:t>
      </w:r>
      <w:r>
        <w:t xml:space="preserve"> </w:t>
      </w:r>
      <w:hyperlink w:anchor="ref-Storey2003">
        <w:r>
          <w:rPr>
            <w:rStyle w:val="Hyperlink"/>
          </w:rPr>
          <w:t xml:space="preserve">2003</w:t>
        </w:r>
      </w:hyperlink>
      <w:r>
        <w:t xml:space="preserve">)</w:t>
      </w:r>
      <w:r>
        <w:t xml:space="preserve"> </w:t>
      </w:r>
      <w:r>
        <w:t xml:space="preserve">as well as the post hoc correction implemented in JASP</w:t>
      </w:r>
      <w:r>
        <w:t xml:space="preserve"> </w:t>
      </w:r>
      <w:r>
        <w:t xml:space="preserve">(</w:t>
      </w:r>
      <w:hyperlink w:anchor="ref-deJong2019">
        <w:r>
          <w:rPr>
            <w:rStyle w:val="Hyperlink"/>
          </w:rPr>
          <w:t xml:space="preserve">de Jong, 2019</w:t>
        </w:r>
      </w:hyperlink>
      <w:r>
        <w:t xml:space="preserve">;</w:t>
      </w:r>
      <w:r>
        <w:t xml:space="preserve"> </w:t>
      </w:r>
      <w:hyperlink w:anchor="ref-Bergh2020">
        <w:r>
          <w:rPr>
            <w:rStyle w:val="Hyperlink"/>
          </w:rPr>
          <w:t xml:space="preserve">van den Bergh et al., 2020</w:t>
        </w:r>
      </w:hyperlink>
      <w:r>
        <w:t xml:space="preserve">)</w:t>
      </w:r>
      <w:r>
        <w:t xml:space="preserve">.</w:t>
      </w:r>
    </w:p>
    <w:p>
      <w:pPr>
        <w:pStyle w:val="BodyText"/>
      </w:pPr>
      <w:r>
        <w:t xml:space="preserve">To our knowledge, the penalty has not been applied to</w:t>
      </w:r>
      <w:r>
        <w:t xml:space="preserve"> </w:t>
      </w:r>
      <m:oMath>
        <m:r>
          <m:t>p</m:t>
        </m:r>
        <m:r>
          <m:t>d</m:t>
        </m:r>
      </m:oMath>
      <w:r>
        <w:t xml:space="preserve">. Because the direction of a claim based on</w:t>
      </w:r>
      <w:r>
        <w:t xml:space="preserve"> </w:t>
      </w:r>
      <m:oMath>
        <m:r>
          <m:t>p</m:t>
        </m:r>
        <m:r>
          <m:t>d</m:t>
        </m:r>
      </m:oMath>
      <w:r>
        <w:t xml:space="preserve"> </w:t>
      </w:r>
      <w:r>
        <w:t xml:space="preserve">is chosen by the data, the penalty cannot be attached to a direction fixed in advance; following the approach of robust Bayesian analysis</w:t>
      </w:r>
      <w:r>
        <w:t xml:space="preserve"> </w:t>
      </w:r>
      <w:r>
        <w:t xml:space="preserve">(</w:t>
      </w:r>
      <w:hyperlink w:anchor="ref-Berger1994">
        <w:r>
          <w:rPr>
            <w:rStyle w:val="Hyperlink"/>
          </w:rPr>
          <w:t xml:space="preserve">Berger, 1994</w:t>
        </w:r>
      </w:hyperlink>
      <w:r>
        <w:t xml:space="preserve">)</w:t>
      </w:r>
      <w:r>
        <w:t xml:space="preserve">, we therefore require each claim to hold under every prior in a class that lowers the prior odds of either direction. The resulting rule raises the threshold that</w:t>
      </w:r>
      <w:r>
        <w:t xml:space="preserve"> </w:t>
      </w:r>
      <m:oMath>
        <m:r>
          <m:t>p</m:t>
        </m:r>
        <m:r>
          <m:t>d</m:t>
        </m:r>
      </m:oMath>
      <w:r>
        <w:t xml:space="preserve"> </w:t>
      </w:r>
      <w:r>
        <w:t xml:space="preserve">must exceed and depends on a single quantity,</w:t>
      </w:r>
      <w:r>
        <w:t xml:space="preserve"> </w:t>
      </w:r>
      <m:oMath>
        <m:sSub>
          <m:e>
            <m:r>
              <m:t>π</m:t>
            </m:r>
          </m:e>
          <m:sub>
            <m:r>
              <m:t>0</m:t>
            </m:r>
          </m:sub>
        </m:sSub>
      </m:oMath>
      <w:r>
        <w:t xml:space="preserve">: an upper bound, set by the researcher, on the prior probability that a parameter has the sign opposite to the one claimed. When the same bound is used for every parameter in a family, it is also an upper bound on the expected proportion of parameters in the family that are not on the claimed side, null effects included. A judgment about how many null effects the family could contain can therefore inform its choice; alternatively, the bound can be set by fixing the prior probability that no claim in the family is correct, in which case it grows with the number of tests.</w:t>
      </w:r>
    </w:p>
    <w:p>
      <w:pPr>
        <w:pStyle w:val="BodyText"/>
      </w:pPr>
      <w:r>
        <w:t xml:space="preserve">The paper proceeds as follows. We begin by introducing</w:t>
      </w:r>
      <w:r>
        <w:t xml:space="preserve"> </w:t>
      </w:r>
      <m:oMath>
        <m:r>
          <m:t>p</m:t>
        </m:r>
        <m:r>
          <m:t>d</m:t>
        </m:r>
      </m:oMath>
      <w:r>
        <w:t xml:space="preserve"> </w:t>
      </w:r>
      <w:r>
        <w:t xml:space="preserve">and examining its use as a test of an effect’s existence, then discuss how prior choice shapes its behavior and why more skeptical within-model priors alone cannot resolve the multiplicity problem. We then show how lowering the prior odds of each claim, in whichever direction it is made, raises the threshold that</w:t>
      </w:r>
      <w:r>
        <w:t xml:space="preserve"> </w:t>
      </w:r>
      <m:oMath>
        <m:r>
          <m:t>p</m:t>
        </m:r>
        <m:r>
          <m:t>d</m:t>
        </m:r>
      </m:oMath>
      <w:r>
        <w:t xml:space="preserve"> </w:t>
      </w:r>
      <w:r>
        <w:t xml:space="preserve">must exceed, and how the same rule can be stated as the posterior probability of the claimed direction under the prior in the class most skeptical of it. We evaluate the rule through simulation, with values of</w:t>
      </w:r>
      <w:r>
        <w:t xml:space="preserve"> </w:t>
      </w:r>
      <m:oMath>
        <m:sSub>
          <m:e>
            <m:r>
              <m:t>π</m:t>
            </m:r>
          </m:e>
          <m:sub>
            <m:r>
              <m:t>0</m:t>
            </m:r>
          </m:sub>
        </m:sSub>
      </m:oMath>
      <w:r>
        <w:t xml:space="preserve"> </w:t>
      </w:r>
      <w:r>
        <w:t xml:space="preserve">below, equal to, and above the actual proportion of null effects, and compare it with two other Bayesian multiple-comparison procedures. A worked example using the accompanying R package</w:t>
      </w:r>
      <w:r>
        <w:t xml:space="preserve"> </w:t>
      </w:r>
      <w:r>
        <w:t xml:space="preserve">(</w:t>
      </w:r>
      <w:hyperlink w:anchor="ref-Calderan2026">
        <w:r>
          <w:rPr>
            <w:rStyle w:val="Hyperlink"/>
          </w:rPr>
          <w:t xml:space="preserve">Calderan &amp; Gambarota, 2026</w:t>
        </w:r>
      </w:hyperlink>
      <w:r>
        <w:t xml:space="preserve">)</w:t>
      </w:r>
      <w:r>
        <w:t xml:space="preserve"> </w:t>
      </w:r>
      <w:r>
        <w:t xml:space="preserve">follows, after which we conclude with a general discussion.</w:t>
      </w:r>
    </w:p>
    <w:bookmarkStart w:id="53" w:name="probability-of-direction"/>
    <w:p>
      <w:pPr>
        <w:pStyle w:val="Heading2"/>
      </w:pPr>
      <w:r>
        <w:t xml:space="preserve">Probability of Direction</w:t>
      </w:r>
    </w:p>
    <w:p>
      <w:pPr>
        <w:pStyle w:val="FirstParagraph"/>
      </w:pPr>
      <w:r>
        <w:t xml:space="preserve">The probability of direction (</w:t>
      </w:r>
      <m:oMath>
        <m:r>
          <m:t>p</m:t>
        </m:r>
        <m:r>
          <m:t>d</m:t>
        </m:r>
      </m:oMath>
      <w:r>
        <w:t xml:space="preserve">) is a posterior summary that quantifies how strongly the posterior distribution favors one direction of a parameter</w:t>
      </w:r>
      <w:r>
        <w:t xml:space="preserve"> </w:t>
      </w:r>
      <m:oMath>
        <m:r>
          <m:t>θ</m:t>
        </m:r>
      </m:oMath>
      <w:r>
        <w:t xml:space="preserve"> </w:t>
      </w:r>
      <w:r>
        <w:t xml:space="preserve">relative to a reference value</w:t>
      </w:r>
      <w:r>
        <w:t xml:space="preserve"> </w:t>
      </w:r>
      <m:oMath>
        <m:sSub>
          <m:e>
            <m:r>
              <m:t>θ</m:t>
            </m:r>
          </m:e>
          <m:sub>
            <m:r>
              <m:rPr>
                <m:nor/>
                <m:sty m:val="p"/>
              </m:rPr>
              <m:t>null</m:t>
            </m:r>
          </m:sub>
        </m:sSub>
      </m:oMath>
      <w:r>
        <w:t xml:space="preserve"> </w:t>
      </w:r>
      <w:r>
        <w:t xml:space="preserve">(</w:t>
      </w:r>
      <w:hyperlink w:anchor="ref-Makowski2019">
        <w:r>
          <w:rPr>
            <w:rStyle w:val="Hyperlink"/>
          </w:rPr>
          <w:t xml:space="preserve">Makowski et al., 2019</w:t>
        </w:r>
      </w:hyperlink>
      <w:r>
        <w:t xml:space="preserve">)</w:t>
      </w:r>
      <w:r>
        <w:t xml:space="preserve">. For a continuous posterior, it can be defined as the larger of the two one-sided posterior probabilities:</w:t>
      </w:r>
      <w:r>
        <w:t xml:space="preserve"> </w:t>
      </w:r>
      <m:oMath>
        <m:r>
          <m:t>p</m:t>
        </m:r>
        <m:r>
          <m:t>d</m:t>
        </m:r>
        <m:r>
          <m:rPr>
            <m:sty m:val="p"/>
          </m:rPr>
          <m:t>=</m:t>
        </m:r>
        <m:r>
          <m:rPr>
            <m:sty m:val="p"/>
          </m:rPr>
          <m:t>max</m:t>
        </m:r>
        <m:r>
          <m:rPr>
            <m:sty m:val="p"/>
          </m:rPr>
          <m:t>(</m:t>
        </m:r>
        <m:r>
          <m:rPr>
            <m:sty m:val="p"/>
          </m:rPr>
          <m:t>Pr</m:t>
        </m:r>
        <m:r>
          <m:rPr>
            <m:sty m:val="p"/>
          </m:rPr>
          <m:t>(</m:t>
        </m:r>
        <m:r>
          <m:t>θ</m:t>
        </m:r>
        <m:r>
          <m:rPr>
            <m:sty m:val="p"/>
          </m:rPr>
          <m:t>&lt;</m:t>
        </m:r>
        <m:sSub>
          <m:e>
            <m:r>
              <m:t>θ</m:t>
            </m:r>
          </m:e>
          <m:sub>
            <m:r>
              <m:rPr>
                <m:nor/>
                <m:sty m:val="p"/>
              </m:rPr>
              <m:t>null</m:t>
            </m:r>
          </m:sub>
        </m:sSub>
        <m:r>
          <m:rPr>
            <m:sty m:val="p"/>
          </m:rPr>
          <m:t>∣</m:t>
        </m:r>
        <m:r>
          <m:t>y</m:t>
        </m:r>
        <m:r>
          <m:rPr>
            <m:sty m:val="p"/>
          </m:rPr>
          <m:t>)</m:t>
        </m:r>
        <m:r>
          <m:rPr>
            <m:sty m:val="p"/>
          </m:rPr>
          <m:t>,</m:t>
        </m:r>
        <m:r>
          <m:t> </m:t>
        </m:r>
        <m:r>
          <m:rPr>
            <m:sty m:val="p"/>
          </m:rPr>
          <m:t>Pr</m:t>
        </m:r>
        <m:r>
          <m:rPr>
            <m:sty m:val="p"/>
          </m:rPr>
          <m:t>(</m:t>
        </m:r>
        <m:r>
          <m:t>θ</m:t>
        </m:r>
        <m:r>
          <m:rPr>
            <m:sty m:val="p"/>
          </m:rPr>
          <m:t>&gt;</m:t>
        </m:r>
        <m:sSub>
          <m:e>
            <m:r>
              <m:t>θ</m:t>
            </m:r>
          </m:e>
          <m:sub>
            <m:r>
              <m:rPr>
                <m:nor/>
                <m:sty m:val="p"/>
              </m:rPr>
              <m:t>null</m:t>
            </m:r>
          </m:sub>
        </m:sSub>
        <m:r>
          <m:rPr>
            <m:sty m:val="p"/>
          </m:rPr>
          <m:t>∣</m:t>
        </m:r>
        <m:r>
          <m:t>y</m:t>
        </m:r>
        <m:r>
          <m:rPr>
            <m:sty m:val="p"/>
          </m:rPr>
          <m:t>)</m:t>
        </m:r>
        <m:r>
          <m:rPr>
            <m:sty m:val="p"/>
          </m:rPr>
          <m:t>)</m:t>
        </m:r>
        <m:r>
          <m:rPr>
            <m:sty m:val="p"/>
          </m:rPr>
          <m:t>,</m:t>
        </m:r>
      </m:oMath>
      <w:r>
        <w:t xml:space="preserve"> </w:t>
      </w:r>
      <w:r>
        <w:t xml:space="preserve">and it ranges from .50 (no directional preference) to 1 (all on one side). The</w:t>
      </w:r>
      <w:r>
        <w:t xml:space="preserve"> </w:t>
      </w:r>
      <m:oMath>
        <m:r>
          <m:t>p</m:t>
        </m:r>
        <m:r>
          <m:t>d</m:t>
        </m:r>
      </m:oMath>
      <w:r>
        <w:t xml:space="preserve"> </w:t>
      </w:r>
      <w:r>
        <w:t xml:space="preserve">equals exactly the complement of the one-sided</w:t>
      </w:r>
      <w:r>
        <w:t xml:space="preserve"> </w:t>
      </w:r>
      <m:oMath>
        <m:r>
          <m:t>p</m:t>
        </m:r>
      </m:oMath>
      <w:r>
        <w:t xml:space="preserve">-value when computed on the posterior of a location parameter in exponential-family models estimated under a uniform prior; under a broader class of priors, this correspondence holds approximately</w:t>
      </w:r>
      <w:r>
        <w:t xml:space="preserve"> </w:t>
      </w:r>
      <w:r>
        <w:t xml:space="preserve">(</w:t>
      </w:r>
      <w:hyperlink w:anchor="ref-Casella1987">
        <w:r>
          <w:rPr>
            <w:rStyle w:val="Hyperlink"/>
          </w:rPr>
          <w:t xml:space="preserve">Casella &amp; Berger, 1987</w:t>
        </w:r>
      </w:hyperlink>
      <w:r>
        <w:t xml:space="preserve">;</w:t>
      </w:r>
      <w:r>
        <w:t xml:space="preserve"> </w:t>
      </w:r>
      <w:hyperlink w:anchor="ref-Marsman2017">
        <w:r>
          <w:rPr>
            <w:rStyle w:val="Hyperlink"/>
          </w:rPr>
          <w:t xml:space="preserve">Marsman &amp; Wagenmakers, 2017</w:t>
        </w:r>
      </w:hyperlink>
      <w:r>
        <w:t xml:space="preserve">;</w:t>
      </w:r>
      <w:r>
        <w:t xml:space="preserve"> </w:t>
      </w:r>
      <w:hyperlink w:anchor="ref-Shi2021">
        <w:r>
          <w:rPr>
            <w:rStyle w:val="Hyperlink"/>
          </w:rPr>
          <w:t xml:space="preserve">Shi &amp; Yin, 2021</w:t>
        </w:r>
      </w:hyperlink>
      <w:r>
        <w:t xml:space="preserve">)</w:t>
      </w:r>
      <w:r>
        <w:t xml:space="preserve">.</w:t>
      </w:r>
    </w:p>
    <w:p>
      <w:pPr>
        <w:pStyle w:val="BodyText"/>
      </w:pPr>
      <w:r>
        <w:t xml:space="preserve">In practice, the</w:t>
      </w:r>
      <w:r>
        <w:t xml:space="preserve"> </w:t>
      </w:r>
      <m:oMath>
        <m:r>
          <m:t>p</m:t>
        </m:r>
        <m:r>
          <m:t>d</m:t>
        </m:r>
      </m:oMath>
      <w:r>
        <w:t xml:space="preserve"> </w:t>
      </w:r>
      <w:r>
        <w:t xml:space="preserve">is often used to summarize both the direction and existence of an effect. This interpretation is clearest when phrased as a decision rule</w:t>
      </w:r>
      <w:r>
        <w:t xml:space="preserve"> </w:t>
      </w:r>
      <m:oMath>
        <m:r>
          <m:t>p</m:t>
        </m:r>
        <m:r>
          <m:t>d</m:t>
        </m:r>
        <m:r>
          <m:rPr>
            <m:sty m:val="p"/>
          </m:rPr>
          <m:t>&gt;</m:t>
        </m:r>
        <m:r>
          <m:t>c</m:t>
        </m:r>
      </m:oMath>
      <w:r>
        <w:t xml:space="preserve">: the posterior must assign more than</w:t>
      </w:r>
      <w:r>
        <w:t xml:space="preserve"> </w:t>
      </w:r>
      <m:oMath>
        <m:r>
          <m:t>c</m:t>
        </m:r>
      </m:oMath>
      <w:r>
        <w:t xml:space="preserve"> </w:t>
      </w:r>
      <w:r>
        <w:t xml:space="preserve">probability mass to the side of</w:t>
      </w:r>
      <w:r>
        <w:t xml:space="preserve"> </w:t>
      </w:r>
      <m:oMath>
        <m:sSub>
          <m:e>
            <m:r>
              <m:t>θ</m:t>
            </m:r>
          </m:e>
          <m:sub>
            <m:r>
              <m:rPr>
                <m:nor/>
                <m:sty m:val="p"/>
              </m:rPr>
              <m:t>null</m:t>
            </m:r>
          </m:sub>
        </m:sSub>
      </m:oMath>
      <w:r>
        <w:t xml:space="preserve"> </w:t>
      </w:r>
      <w:r>
        <w:t xml:space="preserve">favored by the data. Setting</w:t>
      </w:r>
      <w:r>
        <w:t xml:space="preserve"> </w:t>
      </w:r>
      <m:oMath>
        <m:r>
          <m:t>c</m:t>
        </m:r>
        <m:r>
          <m:rPr>
            <m:sty m:val="p"/>
          </m:rPr>
          <m:t>=</m:t>
        </m:r>
        <m:r>
          <m:t>1</m:t>
        </m:r>
        <m:r>
          <m:rPr>
            <m:sty m:val="p"/>
          </m:rPr>
          <m:t>−</m:t>
        </m:r>
        <m:r>
          <m:t>α</m:t>
        </m:r>
        <m:r>
          <m:rPr>
            <m:sty m:val="p"/>
          </m:rPr>
          <m:t>/</m:t>
        </m:r>
        <m:r>
          <m:t>2</m:t>
        </m:r>
      </m:oMath>
      <w:r>
        <w:t xml:space="preserve"> </w:t>
      </w:r>
      <w:r>
        <w:t xml:space="preserve">is convenient because it bounds the posterior mass in the opposite tail by</w:t>
      </w:r>
      <w:r>
        <w:t xml:space="preserve"> </w:t>
      </w:r>
      <m:oMath>
        <m:r>
          <m:t>α</m:t>
        </m:r>
        <m:r>
          <m:rPr>
            <m:sty m:val="p"/>
          </m:rPr>
          <m:t>/</m:t>
        </m:r>
        <m:r>
          <m:t>2</m:t>
        </m:r>
      </m:oMath>
      <w:r>
        <w:t xml:space="preserve">. For concreteness, suppose the posterior favors positive values, so that</w:t>
      </w:r>
      <w:r>
        <w:t xml:space="preserve"> </w:t>
      </w:r>
      <m:oMath>
        <m:r>
          <m:t>p</m:t>
        </m:r>
        <m:r>
          <m:t>d</m:t>
        </m:r>
        <m:r>
          <m:rPr>
            <m:sty m:val="p"/>
          </m:rPr>
          <m:t>=</m:t>
        </m:r>
        <m:r>
          <m:rPr>
            <m:sty m:val="p"/>
          </m:rPr>
          <m:t>Pr</m:t>
        </m:r>
        <m:r>
          <m:rPr>
            <m:sty m:val="p"/>
          </m:rPr>
          <m:t>(</m:t>
        </m:r>
        <m:r>
          <m:t>θ</m:t>
        </m:r>
        <m:r>
          <m:rPr>
            <m:sty m:val="p"/>
          </m:rPr>
          <m:t>&gt;</m:t>
        </m:r>
        <m:r>
          <m:t>0</m:t>
        </m:r>
        <m:r>
          <m:rPr>
            <m:sty m:val="p"/>
          </m:rPr>
          <m:t>∣</m:t>
        </m:r>
        <m:r>
          <m:t>y</m:t>
        </m:r>
        <m:r>
          <m:rPr>
            <m:sty m:val="p"/>
          </m:rPr>
          <m:t>)</m:t>
        </m:r>
      </m:oMath>
      <w:r>
        <w:t xml:space="preserve">. An</w:t>
      </w:r>
      <w:r>
        <w:t xml:space="preserve"> </w:t>
      </w:r>
      <m:oMath>
        <m:r>
          <m:t>α</m:t>
        </m:r>
        <m:r>
          <m:rPr>
            <m:sty m:val="p"/>
          </m:rPr>
          <m:t>=</m:t>
        </m:r>
        <m:r>
          <m:t>.05</m:t>
        </m:r>
      </m:oMath>
      <w:r>
        <w:t xml:space="preserve"> </w:t>
      </w:r>
      <w:r>
        <w:t xml:space="preserve">implies</w:t>
      </w:r>
      <w:r>
        <w:t xml:space="preserve"> </w:t>
      </w:r>
      <m:oMath>
        <m:r>
          <m:t>c</m:t>
        </m:r>
        <m:r>
          <m:rPr>
            <m:sty m:val="p"/>
          </m:rPr>
          <m:t>=</m:t>
        </m:r>
        <m:r>
          <m:t>.975</m:t>
        </m:r>
      </m:oMath>
      <w:r>
        <w:t xml:space="preserve">, therefore the rule</w:t>
      </w:r>
      <w:r>
        <w:t xml:space="preserve"> </w:t>
      </w:r>
      <m:oMath>
        <m:r>
          <m:t>p</m:t>
        </m:r>
        <m:r>
          <m:t>d</m:t>
        </m:r>
        <m:r>
          <m:rPr>
            <m:sty m:val="p"/>
          </m:rPr>
          <m:t>&gt;</m:t>
        </m:r>
        <m:r>
          <m:t>c</m:t>
        </m:r>
      </m:oMath>
      <w:r>
        <w:t xml:space="preserve"> </w:t>
      </w:r>
      <w:r>
        <w:t xml:space="preserve">requires that</w:t>
      </w:r>
      <w:r>
        <w:t xml:space="preserve"> </w:t>
      </w:r>
      <m:oMath>
        <m:r>
          <m:rPr>
            <m:sty m:val="p"/>
          </m:rPr>
          <m:t>Pr</m:t>
        </m:r>
        <m:r>
          <m:rPr>
            <m:sty m:val="p"/>
          </m:rPr>
          <m:t>(</m:t>
        </m:r>
        <m:r>
          <m:t>θ</m:t>
        </m:r>
        <m:r>
          <m:rPr>
            <m:sty m:val="p"/>
          </m:rPr>
          <m:t>≤</m:t>
        </m:r>
        <m:r>
          <m:t>0</m:t>
        </m:r>
        <m:r>
          <m:rPr>
            <m:sty m:val="p"/>
          </m:rPr>
          <m:t>∣</m:t>
        </m:r>
        <m:r>
          <m:t>y</m:t>
        </m:r>
        <m:r>
          <m:rPr>
            <m:sty m:val="p"/>
          </m:rPr>
          <m:t>)</m:t>
        </m:r>
        <m:r>
          <m:rPr>
            <m:sty m:val="p"/>
          </m:rPr>
          <m:t>&lt;</m:t>
        </m:r>
        <m:r>
          <m:t>.025</m:t>
        </m:r>
      </m:oMath>
      <w:r>
        <w:t xml:space="preserve">, placing less than 2.5% of posterior mass at or below</w:t>
      </w:r>
      <w:r>
        <w:t xml:space="preserve"> </w:t>
      </w:r>
      <m:oMath>
        <m:r>
          <m:t>0</m:t>
        </m:r>
      </m:oMath>
      <w:r>
        <w:t xml:space="preserve">.</w:t>
      </w:r>
    </w:p>
    <w:bookmarkStart w:id="52" w:name="fig-pd-ci"/>
    <w:p>
      <w:pPr>
        <w:pStyle w:val="FigureTitle"/>
      </w:pPr>
      <w:r>
        <w:t xml:space="preserve">Figure 1</w:t>
      </w:r>
    </w:p>
    <w:p>
      <w:pPr>
        <w:pStyle w:val="Caption"/>
      </w:pPr>
      <w:r>
        <w:t xml:space="preserve">Relationship Between the Probability of Direction and the 95% Credible Interval</w:t>
      </w:r>
    </w:p>
    <w:p>
      <w:pPr>
        <w:pStyle w:val="FigureWithNote"/>
      </w:pPr>
      <w:r>
        <w:drawing>
          <wp:inline>
            <wp:extent cx="5943600" cy="2080260"/>
            <wp:effectExtent b="0" l="0" r="0" t="0"/>
            <wp:docPr descr="" title="" id="50" name="Picture"/>
            <a:graphic>
              <a:graphicData uri="http://schemas.openxmlformats.org/drawingml/2006/picture">
                <pic:pic>
                  <pic:nvPicPr>
                    <pic:cNvPr descr="manuscript_v2_files/figure-docx/fig-pd-ci-1.png" id="51" name="Picture"/>
                    <pic:cNvPicPr>
                      <a:picLocks noChangeArrowheads="1" noChangeAspect="1"/>
                    </pic:cNvPicPr>
                  </pic:nvPicPr>
                  <pic:blipFill>
                    <a:blip r:embed="rId49"/>
                    <a:stretch>
                      <a:fillRect/>
                    </a:stretch>
                  </pic:blipFill>
                  <pic:spPr bwMode="auto">
                    <a:xfrm>
                      <a:off x="0" y="0"/>
                      <a:ext cx="5943600" cy="2080260"/>
                    </a:xfrm>
                    <a:prstGeom prst="rect">
                      <a:avLst/>
                    </a:prstGeom>
                    <a:noFill/>
                    <a:ln w="9525">
                      <a:noFill/>
                      <a:headEnd/>
                      <a:tailEnd/>
                    </a:ln>
                  </pic:spPr>
                </pic:pic>
              </a:graphicData>
            </a:graphic>
          </wp:inline>
        </w:drawing>
      </w:r>
    </w:p>
    <w:bookmarkEnd w:id="52"/>
    <w:p>
      <w:pPr>
        <w:pStyle w:val="FigureNote"/>
      </w:pPr>
      <w:r>
        <w:rPr>
          <w:i/>
          <w:iCs/>
        </w:rPr>
        <w:t xml:space="preserve">Note</w:t>
      </w:r>
      <w:r>
        <w:t xml:space="preserve">. Posterior distributions for two parameters, with</w:t>
      </w:r>
      <w:r>
        <w:t xml:space="preserve"> </w:t>
      </w:r>
      <m:oMath>
        <m:r>
          <m:t>c</m:t>
        </m:r>
        <m:r>
          <m:rPr>
            <m:sty m:val="p"/>
          </m:rPr>
          <m:t>=</m:t>
        </m:r>
        <m:r>
          <m:t>.975</m:t>
        </m:r>
      </m:oMath>
      <w:r>
        <w:t xml:space="preserve"> </w:t>
      </w:r>
      <w:r>
        <w:t xml:space="preserve">and</w:t>
      </w:r>
      <w:r>
        <w:t xml:space="preserve"> </w:t>
      </w:r>
      <m:oMath>
        <m:sSub>
          <m:e>
            <m:r>
              <m:t>θ</m:t>
            </m:r>
          </m:e>
          <m:sub>
            <m:r>
              <m:rPr>
                <m:nor/>
                <m:sty m:val="p"/>
              </m:rPr>
              <m:t>null</m:t>
            </m:r>
          </m:sub>
        </m:sSub>
        <m:r>
          <m:rPr>
            <m:sty m:val="p"/>
          </m:rPr>
          <m:t>=</m:t>
        </m:r>
        <m:r>
          <m:t>0</m:t>
        </m:r>
      </m:oMath>
      <w:r>
        <w:t xml:space="preserve">. Shaded areas show the posterior mass below (orange) and above (blue) zero; the black bar is the 95% equal-tailed credible interval (CI).</w:t>
      </w:r>
    </w:p>
    <w:p>
      <w:pPr>
        <w:pStyle w:val="BodyText"/>
      </w:pPr>
      <w:r>
        <w:t xml:space="preserve">As</w:t>
      </w:r>
      <w:r>
        <w:t xml:space="preserve"> </w:t>
      </w:r>
      <w:hyperlink w:anchor="fig-pd-ci">
        <w:r>
          <w:rPr>
            <w:rStyle w:val="Hyperlink"/>
          </w:rPr>
          <w:t xml:space="preserve">Figure 1</w:t>
        </w:r>
      </w:hyperlink>
      <w:r>
        <w:t xml:space="preserve"> </w:t>
      </w:r>
      <w:r>
        <w:t xml:space="preserve">illustrates, observing</w:t>
      </w:r>
      <w:r>
        <w:t xml:space="preserve"> </w:t>
      </w:r>
      <m:oMath>
        <m:r>
          <m:t>p</m:t>
        </m:r>
        <m:r>
          <m:t>d</m:t>
        </m:r>
        <m:r>
          <m:rPr>
            <m:sty m:val="p"/>
          </m:rPr>
          <m:t>&gt;</m:t>
        </m:r>
        <m:r>
          <m:t>.975</m:t>
        </m:r>
      </m:oMath>
      <w:r>
        <w:t xml:space="preserve"> </w:t>
      </w:r>
      <w:r>
        <w:t xml:space="preserve">is equivalent to excluding</w:t>
      </w:r>
      <w:r>
        <w:t xml:space="preserve"> </w:t>
      </w:r>
      <m:oMath>
        <m:r>
          <m:t>0</m:t>
        </m:r>
      </m:oMath>
      <w:r>
        <w:t xml:space="preserve"> </w:t>
      </w:r>
      <w:r>
        <w:t xml:space="preserve">from the central 95% equi-tailed credible interval. When the credible interval excludes the null value, one can infer that the null is relatively implausible</w:t>
      </w:r>
      <w:r>
        <w:t xml:space="preserve"> </w:t>
      </w:r>
      <w:r>
        <w:t xml:space="preserve">(</w:t>
      </w:r>
      <w:hyperlink w:anchor="ref-Box1992">
        <w:r>
          <w:rPr>
            <w:rStyle w:val="Hyperlink"/>
          </w:rPr>
          <w:t xml:space="preserve">Box &amp; Tiao, 1992</w:t>
        </w:r>
      </w:hyperlink>
      <w:r>
        <w:t xml:space="preserve">)</w:t>
      </w:r>
      <w:r>
        <w:t xml:space="preserve">.</w:t>
      </w:r>
      <w:r>
        <w:t xml:space="preserve"> </w:t>
      </w:r>
      <w:r>
        <w:t xml:space="preserve">Although we express the decision threshold as</w:t>
      </w:r>
      <w:r>
        <w:t xml:space="preserve"> </w:t>
      </w:r>
      <m:oMath>
        <m:r>
          <m:t>c</m:t>
        </m:r>
        <m:r>
          <m:rPr>
            <m:sty m:val="p"/>
          </m:rPr>
          <m:t>=</m:t>
        </m:r>
        <m:r>
          <m:t>1</m:t>
        </m:r>
        <m:r>
          <m:rPr>
            <m:sty m:val="p"/>
          </m:rPr>
          <m:t>−</m:t>
        </m:r>
        <m:r>
          <m:t>α</m:t>
        </m:r>
        <m:r>
          <m:rPr>
            <m:sty m:val="p"/>
          </m:rPr>
          <m:t>/</m:t>
        </m:r>
        <m:r>
          <m:t>2</m:t>
        </m:r>
      </m:oMath>
      <w:r>
        <w:t xml:space="preserve"> </w:t>
      </w:r>
      <w:r>
        <w:t xml:space="preserve">(with</w:t>
      </w:r>
      <w:r>
        <w:t xml:space="preserve"> </w:t>
      </w:r>
      <m:oMath>
        <m:r>
          <m:t>α</m:t>
        </m:r>
        <m:r>
          <m:rPr>
            <m:sty m:val="p"/>
          </m:rPr>
          <m:t>=</m:t>
        </m:r>
        <m:r>
          <m:t>.05</m:t>
        </m:r>
      </m:oMath>
      <w:r>
        <w:t xml:space="preserve">) and set</w:t>
      </w:r>
      <w:r>
        <w:t xml:space="preserve"> </w:t>
      </w:r>
      <m:oMath>
        <m:sSub>
          <m:e>
            <m:r>
              <m:t>θ</m:t>
            </m:r>
          </m:e>
          <m:sub>
            <m:r>
              <m:rPr>
                <m:nor/>
                <m:sty m:val="p"/>
              </m:rPr>
              <m:t>null</m:t>
            </m:r>
          </m:sub>
        </m:sSub>
        <m:r>
          <m:rPr>
            <m:sty m:val="p"/>
          </m:rPr>
          <m:t>=</m:t>
        </m:r>
        <m:r>
          <m:t>0</m:t>
        </m:r>
      </m:oMath>
      <w:r>
        <w:t xml:space="preserve"> </w:t>
      </w:r>
      <w:r>
        <w:t xml:space="preserve">throughout for ease of exposition, neither choice is restrictive. The threshold</w:t>
      </w:r>
      <w:r>
        <w:t xml:space="preserve"> </w:t>
      </w:r>
      <m:oMath>
        <m:r>
          <m:t>c</m:t>
        </m:r>
      </m:oMath>
      <w:r>
        <w:t xml:space="preserve"> </w:t>
      </w:r>
      <w:r>
        <w:t xml:space="preserve">can be set to any posterior probability cutoff, and</w:t>
      </w:r>
      <w:r>
        <w:t xml:space="preserve"> </w:t>
      </w:r>
      <m:oMath>
        <m:sSub>
          <m:e>
            <m:r>
              <m:t>θ</m:t>
            </m:r>
          </m:e>
          <m:sub>
            <m:r>
              <m:rPr>
                <m:nor/>
                <m:sty m:val="p"/>
              </m:rPr>
              <m:t>null</m:t>
            </m:r>
          </m:sub>
        </m:sSub>
      </m:oMath>
      <w:r>
        <w:t xml:space="preserve"> </w:t>
      </w:r>
      <w:r>
        <w:t xml:space="preserve">can take any non-zero value, which is particularly relevant when hypotheses involve a minimum effect of practical interest</w:t>
      </w:r>
      <w:r>
        <w:t xml:space="preserve"> </w:t>
      </w:r>
      <w:r>
        <w:t xml:space="preserve">(</w:t>
      </w:r>
      <w:hyperlink w:anchor="ref-Lakens2018">
        <w:r>
          <w:rPr>
            <w:rStyle w:val="Hyperlink"/>
          </w:rPr>
          <w:t xml:space="preserve">Lakens et al., 2018</w:t>
        </w:r>
      </w:hyperlink>
      <w:r>
        <w:t xml:space="preserve">)</w:t>
      </w:r>
      <w:r>
        <w:t xml:space="preserve">.</w:t>
      </w:r>
    </w:p>
    <w:bookmarkEnd w:id="53"/>
    <w:bookmarkStart w:id="58" w:name="multiplicity-problem"/>
    <w:p>
      <w:pPr>
        <w:pStyle w:val="Heading2"/>
      </w:pPr>
      <w:r>
        <w:t xml:space="preserve">Multiplicity Problem</w:t>
      </w:r>
    </w:p>
    <w:p>
      <w:pPr>
        <w:pStyle w:val="FirstParagraph"/>
      </w:pPr>
      <w:r>
        <w:t xml:space="preserve">When the true</w:t>
      </w:r>
      <w:r>
        <w:t xml:space="preserve"> </w:t>
      </w:r>
      <m:oMath>
        <m:r>
          <m:t>θ</m:t>
        </m:r>
      </m:oMath>
      <w:r>
        <w:t xml:space="preserve"> </w:t>
      </w:r>
      <w:r>
        <w:t xml:space="preserve">is 0 and the prior is diffuse,</w:t>
      </w:r>
      <w:r>
        <w:t xml:space="preserve"> </w:t>
      </w:r>
      <m:oMath>
        <m:r>
          <m:t>p</m:t>
        </m:r>
        <m:r>
          <m:t>d</m:t>
        </m:r>
      </m:oMath>
      <w:r>
        <w:t xml:space="preserve"> </w:t>
      </w:r>
      <w:r>
        <w:t xml:space="preserve">is approximately uniform on</w:t>
      </w:r>
      <w:r>
        <w:t xml:space="preserve"> </w:t>
      </w:r>
      <m:oMath>
        <m:r>
          <m:rPr>
            <m:sty m:val="p"/>
          </m:rPr>
          <m:t>[</m:t>
        </m:r>
        <m:r>
          <m:t>.5</m:t>
        </m:r>
        <m:r>
          <m:rPr>
            <m:sty m:val="p"/>
          </m:rPr>
          <m:t>,</m:t>
        </m:r>
        <m:r>
          <m:t>1</m:t>
        </m:r>
        <m:r>
          <m:rPr>
            <m:sty m:val="p"/>
          </m:rPr>
          <m:t>]</m:t>
        </m:r>
      </m:oMath>
      <w:r>
        <w:t xml:space="preserve"> </w:t>
      </w:r>
      <w:r>
        <w:t xml:space="preserve">across repeated samples (</w:t>
      </w:r>
      <w:hyperlink w:anchor="fig-uniform-pd">
        <w:r>
          <w:rPr>
            <w:rStyle w:val="Hyperlink"/>
          </w:rPr>
          <w:t xml:space="preserve">Figure 2</w:t>
        </w:r>
      </w:hyperlink>
      <w:r>
        <w:t xml:space="preserve">,</w:t>
      </w:r>
      <w:r>
        <w:t xml:space="preserve"> </w:t>
      </w:r>
      <m:oMath>
        <m:r>
          <m:t>τ</m:t>
        </m:r>
        <m:r>
          <m:rPr>
            <m:sty m:val="p"/>
          </m:rPr>
          <m:t>≥</m:t>
        </m:r>
        <m:r>
          <m:t>1</m:t>
        </m:r>
      </m:oMath>
      <w:r>
        <w:t xml:space="preserve">), so the rule</w:t>
      </w:r>
      <w:r>
        <w:t xml:space="preserve"> </w:t>
      </w:r>
      <m:oMath>
        <m:r>
          <m:t>p</m:t>
        </m:r>
        <m:r>
          <m:t>d</m:t>
        </m:r>
        <m:r>
          <m:rPr>
            <m:sty m:val="p"/>
          </m:rPr>
          <m:t>&gt;</m:t>
        </m:r>
        <m:r>
          <m:t>c</m:t>
        </m:r>
      </m:oMath>
      <w:r>
        <w:t xml:space="preserve"> </w:t>
      </w:r>
      <w:r>
        <w:t xml:space="preserve">with</w:t>
      </w:r>
      <w:r>
        <w:t xml:space="preserve"> </w:t>
      </w:r>
      <m:oMath>
        <m:r>
          <m:t>c</m:t>
        </m:r>
        <m:r>
          <m:rPr>
            <m:sty m:val="p"/>
          </m:rPr>
          <m:t>=</m:t>
        </m:r>
        <m:r>
          <m:t>1</m:t>
        </m:r>
        <m:r>
          <m:rPr>
            <m:sty m:val="p"/>
          </m:rPr>
          <m:t>−</m:t>
        </m:r>
        <m:r>
          <m:t>α</m:t>
        </m:r>
        <m:r>
          <m:rPr>
            <m:sty m:val="p"/>
          </m:rPr>
          <m:t>/</m:t>
        </m:r>
        <m:r>
          <m:t>2</m:t>
        </m:r>
      </m:oMath>
      <w:r>
        <w:t xml:space="preserve"> </w:t>
      </w:r>
      <w:r>
        <w:t xml:space="preserve">claims a direction for a null effect with probability about</w:t>
      </w:r>
      <w:r>
        <w:t xml:space="preserve"> </w:t>
      </w:r>
      <m:oMath>
        <m:r>
          <m:t>α</m:t>
        </m:r>
      </m:oMath>
      <w:r>
        <w:t xml:space="preserve">. A skeptical prior, which concentrates its mass near</w:t>
      </w:r>
      <w:r>
        <w:t xml:space="preserve"> </w:t>
      </w:r>
      <m:oMath>
        <m:r>
          <m:t>0</m:t>
        </m:r>
      </m:oMath>
      <w:r>
        <w:t xml:space="preserve">, shrinks</w:t>
      </w:r>
      <w:r>
        <w:t xml:space="preserve"> </w:t>
      </w:r>
      <m:oMath>
        <m:r>
          <m:t>p</m:t>
        </m:r>
        <m:r>
          <m:t>d</m:t>
        </m:r>
      </m:oMath>
      <w:r>
        <w:t xml:space="preserve"> </w:t>
      </w:r>
      <w:r>
        <w:t xml:space="preserve">toward</w:t>
      </w:r>
      <w:r>
        <w:t xml:space="preserve"> </w:t>
      </w:r>
      <m:oMath>
        <m:r>
          <m:t>.5</m:t>
        </m:r>
      </m:oMath>
      <w:r>
        <w:t xml:space="preserve"> </w:t>
      </w:r>
      <w:r>
        <w:t xml:space="preserve">and lowers this rate (</w:t>
      </w:r>
      <w:hyperlink w:anchor="fig-uniform-pd">
        <w:r>
          <w:rPr>
            <w:rStyle w:val="Hyperlink"/>
          </w:rPr>
          <w:t xml:space="preserve">Figure 2</w:t>
        </w:r>
      </w:hyperlink>
      <w:r>
        <w:t xml:space="preserve">,</w:t>
      </w:r>
      <w:r>
        <w:t xml:space="preserve"> </w:t>
      </w:r>
      <m:oMath>
        <m:r>
          <m:t>τ</m:t>
        </m:r>
        <m:r>
          <m:rPr>
            <m:sty m:val="p"/>
          </m:rPr>
          <m:t>=</m:t>
        </m:r>
        <m:r>
          <m:t>0.2</m:t>
        </m:r>
      </m:oMath>
      <w:r>
        <w:t xml:space="preserve">). With</w:t>
      </w:r>
      <w:r>
        <w:t xml:space="preserve"> </w:t>
      </w:r>
      <m:oMath>
        <m:r>
          <m:t>m</m:t>
        </m:r>
      </m:oMath>
      <w:r>
        <w:t xml:space="preserve"> </w:t>
      </w:r>
      <w:r>
        <w:t xml:space="preserve">tests, however, the probability that at least one of</w:t>
      </w:r>
      <w:r>
        <w:t xml:space="preserve"> </w:t>
      </w:r>
      <m:oMath>
        <m:r>
          <m:t>p</m:t>
        </m:r>
        <m:sSub>
          <m:e>
            <m:r>
              <m:t>d</m:t>
            </m:r>
          </m:e>
          <m:sub>
            <m:r>
              <m:t>1</m:t>
            </m:r>
          </m:sub>
        </m:sSub>
        <m:r>
          <m:rPr>
            <m:sty m:val="p"/>
          </m:rPr>
          <m:t>,</m:t>
        </m:r>
        <m:r>
          <m:rPr>
            <m:sty m:val="p"/>
          </m:rPr>
          <m:t>…</m:t>
        </m:r>
        <m:r>
          <m:rPr>
            <m:sty m:val="p"/>
          </m:rPr>
          <m:t>,</m:t>
        </m:r>
        <m:r>
          <m:t>p</m:t>
        </m:r>
        <m:sSub>
          <m:e>
            <m:r>
              <m:t>d</m:t>
            </m:r>
          </m:e>
          <m:sub>
            <m:r>
              <m:t>m</m:t>
            </m:r>
          </m:sub>
        </m:sSub>
      </m:oMath>
      <w:r>
        <w:t xml:space="preserve"> </w:t>
      </w:r>
      <w:r>
        <w:t xml:space="preserve">exceeds</w:t>
      </w:r>
      <w:r>
        <w:t xml:space="preserve"> </w:t>
      </w:r>
      <m:oMath>
        <m:r>
          <m:t>c</m:t>
        </m:r>
      </m:oMath>
      <w:r>
        <w:t xml:space="preserve"> </w:t>
      </w:r>
      <w:r>
        <w:t xml:space="preserve">still grows with</w:t>
      </w:r>
      <w:r>
        <w:t xml:space="preserve"> </w:t>
      </w:r>
      <m:oMath>
        <m:r>
          <m:t>m</m:t>
        </m:r>
      </m:oMath>
      <w:r>
        <w:t xml:space="preserve">. The approach presented below addresses this by asking the researcher to specify how large the prior probability that a parameter has the sign opposite to the one claimed could be. When the same value is used for every parameter in a family, it is also an upper bound on the expected proportion of parameters in the family that are not on the claimed side, null effects included, so that researchers who use diffuse or weakly informative priors for estimation can take into account how many null effects the family could contain.</w:t>
      </w:r>
    </w:p>
    <w:bookmarkStart w:id="57" w:name="fig-uniform-pd"/>
    <w:p>
      <w:pPr>
        <w:pStyle w:val="FigureTitle"/>
      </w:pPr>
      <w:r>
        <w:t xml:space="preserve">Figure 2</w:t>
      </w:r>
    </w:p>
    <w:p>
      <w:pPr>
        <w:pStyle w:val="Caption"/>
      </w:pPr>
      <w:r>
        <w:t xml:space="preserve">Distribution of the Probability of Direction When the Parameter Equals 0</w:t>
      </w:r>
    </w:p>
    <w:p>
      <w:pPr>
        <w:pStyle w:val="FigureWithNote"/>
      </w:pPr>
      <w:r>
        <w:drawing>
          <wp:inline>
            <wp:extent cx="5943600" cy="2724150"/>
            <wp:effectExtent b="0" l="0" r="0" t="0"/>
            <wp:docPr descr="" title="" id="55" name="Picture"/>
            <a:graphic>
              <a:graphicData uri="http://schemas.openxmlformats.org/drawingml/2006/picture">
                <pic:pic>
                  <pic:nvPicPr>
                    <pic:cNvPr descr="manuscript_v2_files/figure-docx/fig-uniform-pd-1.png" id="56" name="Picture"/>
                    <pic:cNvPicPr>
                      <a:picLocks noChangeArrowheads="1" noChangeAspect="1"/>
                    </pic:cNvPicPr>
                  </pic:nvPicPr>
                  <pic:blipFill>
                    <a:blip r:embed="rId54"/>
                    <a:stretch>
                      <a:fillRect/>
                    </a:stretch>
                  </pic:blipFill>
                  <pic:spPr bwMode="auto">
                    <a:xfrm>
                      <a:off x="0" y="0"/>
                      <a:ext cx="5943600" cy="2724150"/>
                    </a:xfrm>
                    <a:prstGeom prst="rect">
                      <a:avLst/>
                    </a:prstGeom>
                    <a:noFill/>
                    <a:ln w="9525">
                      <a:noFill/>
                      <a:headEnd/>
                      <a:tailEnd/>
                    </a:ln>
                  </pic:spPr>
                </pic:pic>
              </a:graphicData>
            </a:graphic>
          </wp:inline>
        </w:drawing>
      </w:r>
    </w:p>
    <w:bookmarkEnd w:id="57"/>
    <w:p>
      <w:pPr>
        <w:pStyle w:val="FigureNote"/>
      </w:pPr>
      <w:r>
        <w:rPr>
          <w:i/>
          <w:iCs/>
        </w:rPr>
        <w:t xml:space="preserve">Note</w:t>
      </w:r>
      <w:r>
        <w:t xml:space="preserve">. Density of</w:t>
      </w:r>
      <w:r>
        <w:t xml:space="preserve"> </w:t>
      </w:r>
      <m:oMath>
        <m:r>
          <m:t>p</m:t>
        </m:r>
        <m:r>
          <m:t>d</m:t>
        </m:r>
      </m:oMath>
      <w:r>
        <w:t xml:space="preserve"> </w:t>
      </w:r>
      <w:r>
        <w:t xml:space="preserve">across repeated samples when</w:t>
      </w:r>
      <w:r>
        <w:t xml:space="preserve"> </w:t>
      </w:r>
      <m:oMath>
        <m:r>
          <m:t>θ</m:t>
        </m:r>
        <m:r>
          <m:rPr>
            <m:sty m:val="p"/>
          </m:rPr>
          <m:t>=</m:t>
        </m:r>
        <m:r>
          <m:t>0</m:t>
        </m:r>
      </m:oMath>
      <w:r>
        <w:t xml:space="preserve">, for observations</w:t>
      </w:r>
      <w:r>
        <w:t xml:space="preserve"> </w:t>
      </w:r>
      <m:oMath>
        <m:sSub>
          <m:e>
            <m:r>
              <m:t>y</m:t>
            </m:r>
          </m:e>
          <m:sub>
            <m:r>
              <m:t>i</m:t>
            </m:r>
          </m:sub>
        </m:sSub>
        <m:r>
          <m:rPr>
            <m:sty m:val="p"/>
          </m:rPr>
          <m:t>∼</m:t>
        </m:r>
        <m:r>
          <m:rPr>
            <m:scr m:val="script"/>
            <m:sty m:val="p"/>
          </m:rPr>
          <m:t>N</m:t>
        </m:r>
        <m:r>
          <m:rPr>
            <m:sty m:val="p"/>
          </m:rPr>
          <m:t>(</m:t>
        </m:r>
        <m:r>
          <m:t>θ</m:t>
        </m:r>
        <m:r>
          <m:rPr>
            <m:sty m:val="p"/>
          </m:rPr>
          <m:t>,</m:t>
        </m:r>
        <m:r>
          <m:t>1</m:t>
        </m:r>
        <m:r>
          <m:rPr>
            <m:sty m:val="p"/>
          </m:rPr>
          <m:t>)</m:t>
        </m:r>
      </m:oMath>
      <w:r>
        <w:t xml:space="preserve"> </w:t>
      </w:r>
      <w:r>
        <w:t xml:space="preserve">and a normal prior</w:t>
      </w:r>
      <w:r>
        <w:t xml:space="preserve"> </w:t>
      </w:r>
      <m:oMath>
        <m:r>
          <m:t>θ</m:t>
        </m:r>
        <m:r>
          <m:rPr>
            <m:sty m:val="p"/>
          </m:rPr>
          <m:t>∼</m:t>
        </m:r>
        <m:r>
          <m:rPr>
            <m:scr m:val="script"/>
            <m:sty m:val="p"/>
          </m:rPr>
          <m:t>N</m:t>
        </m:r>
        <m:r>
          <m:rPr>
            <m:sty m:val="p"/>
          </m:rPr>
          <m:t>(</m:t>
        </m:r>
        <m:r>
          <m:t>0</m:t>
        </m:r>
        <m:r>
          <m:rPr>
            <m:sty m:val="p"/>
          </m:rPr>
          <m:t>,</m:t>
        </m:r>
        <m:r>
          <m:t>τ</m:t>
        </m:r>
        <m:r>
          <m:rPr>
            <m:sty m:val="p"/>
          </m:rPr>
          <m:t>)</m:t>
        </m:r>
      </m:oMath>
      <w:r>
        <w:t xml:space="preserve">, by sample size</w:t>
      </w:r>
      <w:r>
        <w:t xml:space="preserve"> </w:t>
      </w:r>
      <m:oMath>
        <m:r>
          <m:t>n</m:t>
        </m:r>
      </m:oMath>
      <w:r>
        <w:t xml:space="preserve"> </w:t>
      </w:r>
      <w:r>
        <w:t xml:space="preserve">(rows) and prior standard deviation</w:t>
      </w:r>
      <w:r>
        <w:t xml:space="preserve"> </w:t>
      </w:r>
      <m:oMath>
        <m:r>
          <m:t>τ</m:t>
        </m:r>
      </m:oMath>
      <w:r>
        <w:t xml:space="preserve"> </w:t>
      </w:r>
      <w:r>
        <w:t xml:space="preserve">(columns). With a diffuse prior (</w:t>
      </w:r>
      <m:oMath>
        <m:r>
          <m:t>τ</m:t>
        </m:r>
        <m:r>
          <m:rPr>
            <m:sty m:val="p"/>
          </m:rPr>
          <m:t>≥</m:t>
        </m:r>
        <m:r>
          <m:t>1</m:t>
        </m:r>
      </m:oMath>
      <w:r>
        <w:t xml:space="preserve">),</w:t>
      </w:r>
      <w:r>
        <w:t xml:space="preserve"> </w:t>
      </w:r>
      <m:oMath>
        <m:r>
          <m:t>p</m:t>
        </m:r>
        <m:r>
          <m:t>d</m:t>
        </m:r>
      </m:oMath>
      <w:r>
        <w:t xml:space="preserve"> </w:t>
      </w:r>
      <w:r>
        <w:t xml:space="preserve">is approximately uniform on</w:t>
      </w:r>
      <w:r>
        <w:t xml:space="preserve"> </w:t>
      </w:r>
      <m:oMath>
        <m:r>
          <m:rPr>
            <m:sty m:val="p"/>
          </m:rPr>
          <m:t>[</m:t>
        </m:r>
        <m:r>
          <m:t>.5</m:t>
        </m:r>
        <m:r>
          <m:rPr>
            <m:sty m:val="p"/>
          </m:rPr>
          <m:t>,</m:t>
        </m:r>
        <m:r>
          <m:t>1</m:t>
        </m:r>
        <m:r>
          <m:rPr>
            <m:sty m:val="p"/>
          </m:rPr>
          <m:t>]</m:t>
        </m:r>
      </m:oMath>
      <w:r>
        <w:t xml:space="preserve">; a skeptical prior (</w:t>
      </w:r>
      <m:oMath>
        <m:r>
          <m:t>τ</m:t>
        </m:r>
        <m:r>
          <m:rPr>
            <m:sty m:val="p"/>
          </m:rPr>
          <m:t>=</m:t>
        </m:r>
        <m:r>
          <m:t>0.2</m:t>
        </m:r>
      </m:oMath>
      <w:r>
        <w:t xml:space="preserve">) shrinks it toward</w:t>
      </w:r>
      <w:r>
        <w:t xml:space="preserve"> </w:t>
      </w:r>
      <m:oMath>
        <m:r>
          <m:t>.5</m:t>
        </m:r>
      </m:oMath>
      <w:r>
        <w:t xml:space="preserve">, especially in small samples. Bin width = 0.025.</w:t>
      </w:r>
    </w:p>
    <w:bookmarkEnd w:id="58"/>
    <w:bookmarkStart w:id="64" w:name="X91df8274ad8b4eba5c443fba032169baaea32bb"/>
    <w:p>
      <w:pPr>
        <w:pStyle w:val="Heading2"/>
      </w:pPr>
      <w:r>
        <w:t xml:space="preserve">Penalizing the Prior Odds of a Directional Claim</w:t>
      </w:r>
    </w:p>
    <w:p>
      <w:pPr>
        <w:pStyle w:val="FirstParagraph"/>
      </w:pPr>
      <w:r>
        <w:t xml:space="preserve">The penalty acts on the prior odds of the two directions of a parameter, so we first write the rule</w:t>
      </w:r>
      <w:r>
        <w:t xml:space="preserve"> </w:t>
      </w:r>
      <m:oMath>
        <m:r>
          <m:t>p</m:t>
        </m:r>
        <m:r>
          <m:t>d</m:t>
        </m:r>
        <m:r>
          <m:rPr>
            <m:sty m:val="p"/>
          </m:rPr>
          <m:t>&gt;</m:t>
        </m:r>
        <m:r>
          <m:t>c</m:t>
        </m:r>
      </m:oMath>
      <w:r>
        <w:t xml:space="preserve"> </w:t>
      </w:r>
      <w:r>
        <w:t xml:space="preserve">in terms of odds. Without loss of generality, we assume that the posterior favors positive values, so that the claim is</w:t>
      </w:r>
      <w:r>
        <w:t xml:space="preserve"> </w:t>
      </w:r>
      <m:oMath>
        <m:sSub>
          <m:e>
            <m:r>
              <m:t>H</m:t>
            </m:r>
          </m:e>
          <m:sub>
            <m:r>
              <m:rPr>
                <m:sty m:val="p"/>
              </m:rPr>
              <m:t>+</m:t>
            </m:r>
          </m:sub>
        </m:sSub>
        <m:r>
          <m:rPr>
            <m:sty m:val="p"/>
          </m:rPr>
          <m:t>:</m:t>
        </m:r>
        <m:r>
          <m:t>θ</m:t>
        </m:r>
        <m:r>
          <m:rPr>
            <m:sty m:val="p"/>
          </m:rPr>
          <m:t>&gt;</m:t>
        </m:r>
        <m:r>
          <m:t>0</m:t>
        </m:r>
      </m:oMath>
      <w:r>
        <w:t xml:space="preserve"> </w:t>
      </w:r>
      <w:r>
        <w:t xml:space="preserve">and its complement is</w:t>
      </w:r>
      <w:r>
        <w:t xml:space="preserve"> </w:t>
      </w:r>
      <m:oMath>
        <m:sSub>
          <m:e>
            <m:r>
              <m:t>H</m:t>
            </m:r>
          </m:e>
          <m:sub>
            <m:r>
              <m:rPr>
                <m:sty m:val="p"/>
              </m:rPr>
              <m:t>−</m:t>
            </m:r>
            <m:r>
              <m:t>0</m:t>
            </m:r>
          </m:sub>
        </m:sSub>
        <m:r>
          <m:rPr>
            <m:sty m:val="p"/>
          </m:rPr>
          <m:t>:</m:t>
        </m:r>
        <m:r>
          <m:t>θ</m:t>
        </m:r>
        <m:r>
          <m:rPr>
            <m:sty m:val="p"/>
          </m:rPr>
          <m:t>≤</m:t>
        </m:r>
        <m:r>
          <m:t>0</m:t>
        </m:r>
      </m:oMath>
      <w:r>
        <w:t xml:space="preserve">. For a negative claim, the two sides are exchanged: the claim is</w:t>
      </w:r>
      <w:r>
        <w:t xml:space="preserve"> </w:t>
      </w:r>
      <m:oMath>
        <m:r>
          <m:t>θ</m:t>
        </m:r>
        <m:r>
          <m:rPr>
            <m:sty m:val="p"/>
          </m:rPr>
          <m:t>&lt;</m:t>
        </m:r>
        <m:r>
          <m:t>0</m:t>
        </m:r>
      </m:oMath>
      <w:r>
        <w:t xml:space="preserve"> </w:t>
      </w:r>
      <w:r>
        <w:t xml:space="preserve">and its complement is</w:t>
      </w:r>
      <w:r>
        <w:t xml:space="preserve"> </w:t>
      </w:r>
      <m:oMath>
        <m:r>
          <m:t>θ</m:t>
        </m:r>
        <m:r>
          <m:rPr>
            <m:sty m:val="p"/>
          </m:rPr>
          <m:t>≥</m:t>
        </m:r>
        <m:r>
          <m:t>0</m:t>
        </m:r>
      </m:oMath>
      <w:r>
        <w:t xml:space="preserve">, which again contains</w:t>
      </w:r>
      <w:r>
        <w:t xml:space="preserve"> </w:t>
      </w:r>
      <m:oMath>
        <m:r>
          <m:t>0</m:t>
        </m:r>
      </m:oMath>
      <w:r>
        <w:t xml:space="preserve">, and everything that follows holds in the same way.</w:t>
      </w:r>
      <w:r>
        <w:rPr>
          <w:rStyle w:val="FootnoteReference"/>
        </w:rPr>
        <w:footnoteReference w:id="59"/>
      </w:r>
    </w:p>
    <w:p>
      <w:pPr>
        <w:pStyle w:val="BodyText"/>
      </w:pPr>
      <w:r>
        <w:t xml:space="preserve">We assume that the within-model prior, that is, the prior specified in the fitted model, is continuous and symmetric about</w:t>
      </w:r>
      <w:r>
        <w:t xml:space="preserve"> </w:t>
      </w:r>
      <m:oMath>
        <m:r>
          <m:t>0</m:t>
        </m:r>
      </m:oMath>
      <w:r>
        <w:t xml:space="preserve">, as are normal priors centered on</w:t>
      </w:r>
      <w:r>
        <w:t xml:space="preserve"> </w:t>
      </w:r>
      <m:oMath>
        <m:r>
          <m:t>0</m:t>
        </m:r>
      </m:oMath>
      <w:r>
        <w:t xml:space="preserve"> </w:t>
      </w:r>
      <w:r>
        <w:t xml:space="preserve">and, as a limit, flat priors.</w:t>
      </w:r>
      <w:r>
        <w:t xml:space="preserve"> </w:t>
      </w:r>
      <m:oMath>
        <m:sSub>
          <m:e>
            <m:r>
              <m:t>H</m:t>
            </m:r>
          </m:e>
          <m:sub>
            <m:r>
              <m:rPr>
                <m:sty m:val="p"/>
              </m:rPr>
              <m:t>+</m:t>
            </m:r>
          </m:sub>
        </m:sSub>
      </m:oMath>
      <w:r>
        <w:t xml:space="preserve"> </w:t>
      </w:r>
      <w:r>
        <w:t xml:space="preserve">and</w:t>
      </w:r>
      <w:r>
        <w:t xml:space="preserve"> </w:t>
      </w:r>
      <m:oMath>
        <m:sSub>
          <m:e>
            <m:r>
              <m:t>H</m:t>
            </m:r>
          </m:e>
          <m:sub>
            <m:r>
              <m:rPr>
                <m:sty m:val="p"/>
              </m:rPr>
              <m:t>−</m:t>
            </m:r>
            <m:r>
              <m:t>0</m:t>
            </m:r>
          </m:sub>
        </m:sSub>
      </m:oMath>
      <w:r>
        <w:t xml:space="preserve"> </w:t>
      </w:r>
      <w:r>
        <w:t xml:space="preserve">are then equally probable a priori,</w:t>
      </w:r>
      <w:r>
        <w:t xml:space="preserve"> </w:t>
      </w:r>
      <m:oMath>
        <m:r>
          <m:rPr>
            <m:sty m:val="p"/>
          </m:rPr>
          <m:t>Pr</m:t>
        </m:r>
        <m:r>
          <m:rPr>
            <m:sty m:val="p"/>
          </m:rPr>
          <m:t>(</m:t>
        </m:r>
        <m:sSub>
          <m:e>
            <m:r>
              <m:t>H</m:t>
            </m:r>
          </m:e>
          <m:sub>
            <m:r>
              <m:rPr>
                <m:sty m:val="p"/>
              </m:rPr>
              <m:t>+</m:t>
            </m:r>
          </m:sub>
        </m:sSub>
        <m:r>
          <m:rPr>
            <m:sty m:val="p"/>
          </m:rPr>
          <m:t>)</m:t>
        </m:r>
        <m:r>
          <m:rPr>
            <m:sty m:val="p"/>
          </m:rPr>
          <m:t>=</m:t>
        </m:r>
        <m:r>
          <m:rPr>
            <m:sty m:val="p"/>
          </m:rPr>
          <m:t>Pr</m:t>
        </m:r>
        <m:r>
          <m:rPr>
            <m:sty m:val="p"/>
          </m:rPr>
          <m:t>(</m:t>
        </m:r>
        <m:sSub>
          <m:e>
            <m:r>
              <m:t>H</m:t>
            </m:r>
          </m:e>
          <m:sub>
            <m:r>
              <m:rPr>
                <m:sty m:val="p"/>
              </m:rPr>
              <m:t>−</m:t>
            </m:r>
            <m:r>
              <m:t>0</m:t>
            </m:r>
          </m:sub>
        </m:sSub>
        <m:r>
          <m:rPr>
            <m:sty m:val="p"/>
          </m:rPr>
          <m:t>)</m:t>
        </m:r>
        <m:r>
          <m:rPr>
            <m:sty m:val="p"/>
          </m:rPr>
          <m:t>=</m:t>
        </m:r>
        <m:r>
          <m:t>.5</m:t>
        </m:r>
      </m:oMath>
      <w:r>
        <w:t xml:space="preserve">, and the prior odds are one. The posterior odds then equal the Bayes factor, so that</w:t>
      </w:r>
      <w:r>
        <w:t xml:space="preserve"> </w:t>
      </w:r>
      <m:oMath>
        <m:r>
          <m:t>p</m:t>
        </m:r>
        <m:r>
          <m:t>d</m:t>
        </m:r>
        <m:r>
          <m:rPr>
            <m:sty m:val="p"/>
          </m:rPr>
          <m:t>/</m:t>
        </m:r>
        <m:r>
          <m:rPr>
            <m:sty m:val="p"/>
          </m:rPr>
          <m:t>(</m:t>
        </m:r>
        <m:r>
          <m:t>1</m:t>
        </m:r>
        <m:r>
          <m:rPr>
            <m:sty m:val="p"/>
          </m:rPr>
          <m:t>−</m:t>
        </m:r>
        <m:r>
          <m:t>p</m:t>
        </m:r>
        <m:r>
          <m:t>d</m:t>
        </m:r>
        <m:r>
          <m:rPr>
            <m:sty m:val="p"/>
          </m:rPr>
          <m:t>)</m:t>
        </m:r>
      </m:oMath>
      <w:r>
        <w:t xml:space="preserve"> </w:t>
      </w:r>
      <w:r>
        <w:t xml:space="preserve">is the Bayes factor for</w:t>
      </w:r>
      <w:r>
        <w:t xml:space="preserve"> </w:t>
      </w:r>
      <m:oMath>
        <m:sSub>
          <m:e>
            <m:r>
              <m:t>H</m:t>
            </m:r>
          </m:e>
          <m:sub>
            <m:r>
              <m:rPr>
                <m:sty m:val="p"/>
              </m:rPr>
              <m:t>+</m:t>
            </m:r>
          </m:sub>
        </m:sSub>
      </m:oMath>
      <w:r>
        <w:t xml:space="preserve"> </w:t>
      </w:r>
      <w:r>
        <w:t xml:space="preserve">against</w:t>
      </w:r>
      <w:r>
        <w:t xml:space="preserve"> </w:t>
      </w:r>
      <m:oMath>
        <m:sSub>
          <m:e>
            <m:r>
              <m:t>H</m:t>
            </m:r>
          </m:e>
          <m:sub>
            <m:r>
              <m:rPr>
                <m:sty m:val="p"/>
              </m:rPr>
              <m:t>−</m:t>
            </m:r>
            <m:r>
              <m:t>0</m:t>
            </m:r>
          </m:sub>
        </m:sSub>
      </m:oMath>
      <w:r>
        <w:t xml:space="preserve"> </w:t>
      </w:r>
      <w:r>
        <w:t xml:space="preserve">(</w:t>
      </w:r>
      <w:hyperlink w:anchor="ref-Marsman2017">
        <w:r>
          <w:rPr>
            <w:rStyle w:val="Hyperlink"/>
          </w:rPr>
          <w:t xml:space="preserve">Marsman &amp; Wagenmakers, 2017</w:t>
        </w:r>
      </w:hyperlink>
      <w:r>
        <w:t xml:space="preserve">)</w:t>
      </w:r>
      <w:r>
        <w:t xml:space="preserve">.</w:t>
      </w:r>
    </w:p>
    <w:p>
      <w:pPr>
        <w:pStyle w:val="BodyText"/>
      </w:pPr>
      <w:r>
        <w:t xml:space="preserve">Because</w:t>
      </w:r>
      <w:r>
        <w:t xml:space="preserve"> </w:t>
      </w:r>
      <m:oMath>
        <m:r>
          <m:t>p</m:t>
        </m:r>
        <m:r>
          <m:t>d</m:t>
        </m:r>
        <m:r>
          <m:rPr>
            <m:sty m:val="p"/>
          </m:rPr>
          <m:t>&gt;</m:t>
        </m:r>
        <m:r>
          <m:t>c</m:t>
        </m:r>
      </m:oMath>
      <w:r>
        <w:t xml:space="preserve"> </w:t>
      </w:r>
      <w:r>
        <w:t xml:space="preserve">is the same as</w:t>
      </w:r>
      <w:r>
        <w:t xml:space="preserve"> </w:t>
      </w:r>
      <m:oMath>
        <m:r>
          <m:t>p</m:t>
        </m:r>
        <m:r>
          <m:t>d</m:t>
        </m:r>
        <m:r>
          <m:rPr>
            <m:sty m:val="p"/>
          </m:rPr>
          <m:t>/</m:t>
        </m:r>
        <m:r>
          <m:rPr>
            <m:sty m:val="p"/>
          </m:rPr>
          <m:t>(</m:t>
        </m:r>
        <m:r>
          <m:t>1</m:t>
        </m:r>
        <m:r>
          <m:rPr>
            <m:sty m:val="p"/>
          </m:rPr>
          <m:t>−</m:t>
        </m:r>
        <m:r>
          <m:t>p</m:t>
        </m:r>
        <m:r>
          <m:t>d</m:t>
        </m:r>
        <m:r>
          <m:rPr>
            <m:sty m:val="p"/>
          </m:rPr>
          <m:t>)</m:t>
        </m:r>
        <m:r>
          <m:rPr>
            <m:sty m:val="p"/>
          </m:rPr>
          <m:t>&gt;</m:t>
        </m:r>
        <m:r>
          <m:t>c</m:t>
        </m:r>
        <m:r>
          <m:rPr>
            <m:sty m:val="p"/>
          </m:rPr>
          <m:t>/</m:t>
        </m:r>
        <m:r>
          <m:rPr>
            <m:sty m:val="p"/>
          </m:rPr>
          <m:t>(</m:t>
        </m:r>
        <m:r>
          <m:t>1</m:t>
        </m:r>
        <m:r>
          <m:rPr>
            <m:sty m:val="p"/>
          </m:rPr>
          <m:t>−</m:t>
        </m:r>
        <m:r>
          <m:t>c</m:t>
        </m:r>
        <m:r>
          <m:rPr>
            <m:sty m:val="p"/>
          </m:rPr>
          <m:t>)</m:t>
        </m:r>
      </m:oMath>
      <w:r>
        <w:t xml:space="preserve">, the rule</w:t>
      </w:r>
      <w:r>
        <w:t xml:space="preserve"> </w:t>
      </w:r>
      <m:oMath>
        <m:r>
          <m:t>p</m:t>
        </m:r>
        <m:r>
          <m:t>d</m:t>
        </m:r>
        <m:r>
          <m:rPr>
            <m:sty m:val="p"/>
          </m:rPr>
          <m:t>&gt;</m:t>
        </m:r>
        <m:r>
          <m:t>c</m:t>
        </m:r>
      </m:oMath>
      <w:r>
        <w:t xml:space="preserve"> </w:t>
      </w:r>
      <w:r>
        <w:t xml:space="preserve">accepts a directional claim whenever this Bayes factor exceeds</w:t>
      </w:r>
      <w:r>
        <w:t xml:space="preserve"> </w:t>
      </w:r>
      <m:oMath>
        <m:r>
          <m:t>c</m:t>
        </m:r>
        <m:r>
          <m:rPr>
            <m:sty m:val="p"/>
          </m:rPr>
          <m:t>/</m:t>
        </m:r>
        <m:r>
          <m:rPr>
            <m:sty m:val="p"/>
          </m:rPr>
          <m:t>(</m:t>
        </m:r>
        <m:r>
          <m:t>1</m:t>
        </m:r>
        <m:r>
          <m:rPr>
            <m:sty m:val="p"/>
          </m:rPr>
          <m:t>−</m:t>
        </m:r>
        <m:r>
          <m:t>c</m:t>
        </m:r>
        <m:r>
          <m:rPr>
            <m:sty m:val="p"/>
          </m:rPr>
          <m:t>)</m:t>
        </m:r>
      </m:oMath>
      <w:r>
        <w:t xml:space="preserve">, with prior odds fixed at one. Consider now a family of</w:t>
      </w:r>
      <w:r>
        <w:t xml:space="preserve"> </w:t>
      </w:r>
      <m:oMath>
        <m:r>
          <m:t>m</m:t>
        </m:r>
      </m:oMath>
      <w:r>
        <w:t xml:space="preserve"> </w:t>
      </w:r>
      <w:r>
        <w:t xml:space="preserve">tests, indexed by</w:t>
      </w:r>
      <w:r>
        <w:t xml:space="preserve"> </w:t>
      </w:r>
      <m:oMath>
        <m:r>
          <m:t>i</m:t>
        </m:r>
        <m:r>
          <m:rPr>
            <m:sty m:val="p"/>
          </m:rPr>
          <m:t>=</m:t>
        </m:r>
        <m:r>
          <m:t>1</m:t>
        </m:r>
        <m:r>
          <m:rPr>
            <m:sty m:val="p"/>
          </m:rPr>
          <m:t>,</m:t>
        </m:r>
        <m:r>
          <m:rPr>
            <m:sty m:val="p"/>
          </m:rPr>
          <m:t>…</m:t>
        </m:r>
        <m:r>
          <m:rPr>
            <m:sty m:val="p"/>
          </m:rPr>
          <m:t>,</m:t>
        </m:r>
        <m:r>
          <m:t>m</m:t>
        </m:r>
      </m:oMath>
      <w:r>
        <w:t xml:space="preserve">, each concerning a parameter</w:t>
      </w:r>
      <w:r>
        <w:t xml:space="preserve"> </w:t>
      </w:r>
      <m:oMath>
        <m:sSub>
          <m:e>
            <m:r>
              <m:t>θ</m:t>
            </m:r>
          </m:e>
          <m:sub>
            <m:r>
              <m:t>i</m:t>
            </m:r>
          </m:sub>
        </m:sSub>
      </m:oMath>
      <w:r>
        <w:t xml:space="preserve"> </w:t>
      </w:r>
      <w:r>
        <w:t xml:space="preserve">with probability of direction</w:t>
      </w:r>
      <w:r>
        <w:t xml:space="preserve"> </w:t>
      </w:r>
      <m:oMath>
        <m:r>
          <m:t>p</m:t>
        </m:r>
        <m:sSub>
          <m:e>
            <m:r>
              <m:t>d</m:t>
            </m:r>
          </m:e>
          <m:sub>
            <m:r>
              <m:t>i</m:t>
            </m:r>
          </m:sub>
        </m:sSub>
      </m:oMath>
      <w:r>
        <w:t xml:space="preserve">; the claim licensed by</w:t>
      </w:r>
      <w:r>
        <w:t xml:space="preserve"> </w:t>
      </w:r>
      <m:oMath>
        <m:r>
          <m:t>p</m:t>
        </m:r>
        <m:sSub>
          <m:e>
            <m:r>
              <m:t>d</m:t>
            </m:r>
          </m:e>
          <m:sub>
            <m:r>
              <m:t>i</m:t>
            </m:r>
          </m:sub>
        </m:sSub>
        <m:r>
          <m:rPr>
            <m:sty m:val="p"/>
          </m:rPr>
          <m:t>&gt;</m:t>
        </m:r>
        <m:r>
          <m:t>c</m:t>
        </m:r>
      </m:oMath>
      <w:r>
        <w:t xml:space="preserve"> </w:t>
      </w:r>
      <w:r>
        <w:t xml:space="preserve">is that</w:t>
      </w:r>
      <w:r>
        <w:t xml:space="preserve"> </w:t>
      </w:r>
      <m:oMath>
        <m:sSub>
          <m:e>
            <m:r>
              <m:t>θ</m:t>
            </m:r>
          </m:e>
          <m:sub>
            <m:r>
              <m:t>i</m:t>
            </m:r>
          </m:sub>
        </m:sSub>
      </m:oMath>
      <w:r>
        <w:t xml:space="preserve"> </w:t>
      </w:r>
      <w:r>
        <w:t xml:space="preserve">lies on the side of</w:t>
      </w:r>
      <w:r>
        <w:t xml:space="preserve"> </w:t>
      </w:r>
      <m:oMath>
        <m:r>
          <m:t>0</m:t>
        </m:r>
      </m:oMath>
      <w:r>
        <w:t xml:space="preserve"> </w:t>
      </w:r>
      <w:r>
        <w:t xml:space="preserve">favored by the posterior. The claim is wrong when</w:t>
      </w:r>
      <w:r>
        <w:t xml:space="preserve"> </w:t>
      </w:r>
      <m:oMath>
        <m:sSub>
          <m:e>
            <m:r>
              <m:t>θ</m:t>
            </m:r>
          </m:e>
          <m:sub>
            <m:r>
              <m:t>i</m:t>
            </m:r>
          </m:sub>
        </m:sSub>
      </m:oMath>
      <w:r>
        <w:t xml:space="preserve"> </w:t>
      </w:r>
      <w:r>
        <w:t xml:space="preserve">equals</w:t>
      </w:r>
      <w:r>
        <w:t xml:space="preserve"> </w:t>
      </w:r>
      <m:oMath>
        <m:r>
          <m:t>0</m:t>
        </m:r>
      </m:oMath>
      <w:r>
        <w:t xml:space="preserve"> </w:t>
      </w:r>
      <w:r>
        <w:t xml:space="preserve">or lies on the other side.</w:t>
      </w:r>
    </w:p>
    <w:p>
      <w:pPr>
        <w:pStyle w:val="BodyText"/>
      </w:pPr>
      <w:r>
        <w:t xml:space="preserve">Prior odds of one mean that each parameter has prior probability</w:t>
      </w:r>
      <w:r>
        <w:t xml:space="preserve"> </w:t>
      </w:r>
      <m:oMath>
        <m:r>
          <m:t>.5</m:t>
        </m:r>
      </m:oMath>
      <w:r>
        <w:t xml:space="preserve"> </w:t>
      </w:r>
      <w:r>
        <w:t xml:space="preserve">of having the sign opposite to the one claimed. If the parameters are independent a priori, the prior probability that every parameter has the sign opposite to its claim, that is, that no claim in the family is correct, is therefore</w:t>
      </w:r>
      <w:r>
        <w:t xml:space="preserve"> </w:t>
      </w:r>
      <m:oMath>
        <m:sSup>
          <m:e>
            <m:r>
              <m:t>.5</m:t>
            </m:r>
          </m:e>
          <m:sup>
            <m:r>
              <m:t>m</m:t>
            </m:r>
          </m:sup>
        </m:sSup>
      </m:oMath>
      <w:r>
        <w:t xml:space="preserve">, which tends to zero as</w:t>
      </w:r>
      <w:r>
        <w:t xml:space="preserve"> </w:t>
      </w:r>
      <m:oMath>
        <m:r>
          <m:t>m</m:t>
        </m:r>
      </m:oMath>
      <w:r>
        <w:t xml:space="preserve"> </w:t>
      </w:r>
      <w:r>
        <w:t xml:space="preserve">grows (for</w:t>
      </w:r>
      <w:r>
        <w:t xml:space="preserve"> </w:t>
      </w:r>
      <m:oMath>
        <m:r>
          <m:t>m</m:t>
        </m:r>
        <m:r>
          <m:rPr>
            <m:sty m:val="p"/>
          </m:rPr>
          <m:t>=</m:t>
        </m:r>
        <m:r>
          <m:t>10</m:t>
        </m:r>
      </m:oMath>
      <w:r>
        <w:t xml:space="preserve">,</w:t>
      </w:r>
      <w:r>
        <w:t xml:space="preserve"> </w:t>
      </w:r>
      <m:oMath>
        <m:sSup>
          <m:e>
            <m:r>
              <m:t>.5</m:t>
            </m:r>
          </m:e>
          <m:sup>
            <m:r>
              <m:t>10</m:t>
            </m:r>
          </m:sup>
        </m:sSup>
        <m:r>
          <m:rPr>
            <m:sty m:val="p"/>
          </m:rPr>
          <m:t>≈</m:t>
        </m:r>
        <m:r>
          <m:t>.001</m:t>
        </m:r>
      </m:oMath>
      <w:r>
        <w:t xml:space="preserve">). Before any data are observed, the rule thus treats it as nearly certain that at least one claim in a large family is correct.</w:t>
      </w:r>
    </w:p>
    <w:p>
      <w:pPr>
        <w:pStyle w:val="BodyText"/>
      </w:pPr>
      <w:r>
        <w:t xml:space="preserve">Following</w:t>
      </w:r>
      <w:r>
        <w:t xml:space="preserve"> </w:t>
      </w:r>
      <w:r>
        <w:t xml:space="preserve">Jeffreys (</w:t>
      </w:r>
      <w:hyperlink w:anchor="ref-Jeffreys1938">
        <w:r>
          <w:rPr>
            <w:rStyle w:val="Hyperlink"/>
          </w:rPr>
          <w:t xml:space="preserve">1938</w:t>
        </w:r>
      </w:hyperlink>
      <w:r>
        <w:t xml:space="preserve">)</w:t>
      </w:r>
      <w:r>
        <w:t xml:space="preserve"> </w:t>
      </w:r>
      <w:r>
        <w:t xml:space="preserve">and</w:t>
      </w:r>
      <w:r>
        <w:t xml:space="preserve"> </w:t>
      </w:r>
      <w:r>
        <w:t xml:space="preserve">Westfall et al. (</w:t>
      </w:r>
      <w:hyperlink w:anchor="ref-Westfall1997">
        <w:r>
          <w:rPr>
            <w:rStyle w:val="Hyperlink"/>
          </w:rPr>
          <w:t xml:space="preserve">1997</w:t>
        </w:r>
      </w:hyperlink>
      <w:r>
        <w:t xml:space="preserve">)</w:t>
      </w:r>
      <w:r>
        <w:t xml:space="preserve">, we penalize the prior odds of each claim in the family. In their setting, the penalized hypotheses are stated before the data. Here, instead, the direction of each claim is chosen by the posterior, so the penalty cannot be attached to one direction in advance. We therefore lower the prior probability of whichever direction is claimed, by changing how much probability the prior gives to each side of</w:t>
      </w:r>
      <w:r>
        <w:t xml:space="preserve"> </w:t>
      </w:r>
      <m:oMath>
        <m:r>
          <m:t>0</m:t>
        </m:r>
      </m:oMath>
      <w:r>
        <w:t xml:space="preserve"> </w:t>
      </w:r>
      <w:r>
        <w:t xml:space="preserve">while keeping its shape on each side.</w:t>
      </w:r>
      <w:r>
        <w:t xml:space="preserve"> </w:t>
      </w:r>
      <w:r>
        <w:t xml:space="preserve">For example, let the within-model prior of</w:t>
      </w:r>
      <w:r>
        <w:t xml:space="preserve"> </w:t>
      </w:r>
      <m:oMath>
        <m:sSub>
          <m:e>
            <m:r>
              <m:t>θ</m:t>
            </m:r>
          </m:e>
          <m:sub>
            <m:r>
              <m:t>i</m:t>
            </m:r>
          </m:sub>
        </m:sSub>
      </m:oMath>
      <w:r>
        <w:t xml:space="preserve"> </w:t>
      </w:r>
      <w:r>
        <w:t xml:space="preserve">be normal with mean</w:t>
      </w:r>
      <w:r>
        <w:t xml:space="preserve"> </w:t>
      </w:r>
      <m:oMath>
        <m:r>
          <m:t>0</m:t>
        </m:r>
      </m:oMath>
      <w:r>
        <w:t xml:space="preserve"> </w:t>
      </w:r>
      <w:r>
        <w:t xml:space="preserve">and standard deviation</w:t>
      </w:r>
      <w:r>
        <w:t xml:space="preserve"> </w:t>
      </w:r>
      <m:oMath>
        <m:r>
          <m:t>τ</m:t>
        </m:r>
      </m:oMath>
      <w:r>
        <w:t xml:space="preserve">, and let</w:t>
      </w:r>
      <w:r>
        <w:t xml:space="preserve"> </w:t>
      </w:r>
      <m:oMath>
        <m:sSub>
          <m:e>
            <m:r>
              <m:rPr>
                <m:scr m:val="script"/>
                <m:sty m:val="p"/>
              </m:rPr>
              <m:t>N</m:t>
            </m:r>
          </m:e>
          <m:sub>
            <m:r>
              <m:rPr>
                <m:sty m:val="p"/>
              </m:rPr>
              <m:t>−</m:t>
            </m:r>
          </m:sub>
        </m:sSub>
        <m:r>
          <m:rPr>
            <m:sty m:val="p"/>
          </m:rPr>
          <m:t>(</m:t>
        </m:r>
        <m:r>
          <m:t>0</m:t>
        </m:r>
        <m:r>
          <m:rPr>
            <m:sty m:val="p"/>
          </m:rPr>
          <m:t>,</m:t>
        </m:r>
        <m:r>
          <m:t>τ</m:t>
        </m:r>
        <m:r>
          <m:rPr>
            <m:sty m:val="p"/>
          </m:rPr>
          <m:t>)</m:t>
        </m:r>
      </m:oMath>
      <w:r>
        <w:t xml:space="preserve"> </w:t>
      </w:r>
      <w:r>
        <w:t xml:space="preserve">and</w:t>
      </w:r>
      <w:r>
        <w:t xml:space="preserve"> </w:t>
      </w:r>
      <m:oMath>
        <m:sSub>
          <m:e>
            <m:r>
              <m:rPr>
                <m:scr m:val="script"/>
                <m:sty m:val="p"/>
              </m:rPr>
              <m:t>N</m:t>
            </m:r>
          </m:e>
          <m:sub>
            <m:r>
              <m:rPr>
                <m:sty m:val="p"/>
              </m:rPr>
              <m:t>+</m:t>
            </m:r>
          </m:sub>
        </m:sSub>
        <m:r>
          <m:rPr>
            <m:sty m:val="p"/>
          </m:rPr>
          <m:t>(</m:t>
        </m:r>
        <m:r>
          <m:t>0</m:t>
        </m:r>
        <m:r>
          <m:rPr>
            <m:sty m:val="p"/>
          </m:rPr>
          <m:t>,</m:t>
        </m:r>
        <m:r>
          <m:t>τ</m:t>
        </m:r>
        <m:r>
          <m:rPr>
            <m:sty m:val="p"/>
          </m:rPr>
          <m:t>)</m:t>
        </m:r>
      </m:oMath>
      <w:r>
        <w:t xml:space="preserve"> </w:t>
      </w:r>
      <w:r>
        <w:t xml:space="preserve">denote this normal truncated to values at or below</w:t>
      </w:r>
      <w:r>
        <w:t xml:space="preserve"> </w:t>
      </w:r>
      <m:oMath>
        <m:r>
          <m:t>0</m:t>
        </m:r>
      </m:oMath>
      <w:r>
        <w:t xml:space="preserve"> </w:t>
      </w:r>
      <w:r>
        <w:t xml:space="preserve">and to values above</w:t>
      </w:r>
      <w:r>
        <w:t xml:space="preserve"> </w:t>
      </w:r>
      <m:oMath>
        <m:r>
          <m:t>0</m:t>
        </m:r>
      </m:oMath>
      <w:r>
        <w:t xml:space="preserve">, the regions of</w:t>
      </w:r>
      <w:r>
        <w:t xml:space="preserve"> </w:t>
      </w:r>
      <m:oMath>
        <m:sSub>
          <m:e>
            <m:r>
              <m:t>H</m:t>
            </m:r>
          </m:e>
          <m:sub>
            <m:r>
              <m:rPr>
                <m:sty m:val="p"/>
              </m:rPr>
              <m:t>−</m:t>
            </m:r>
            <m:r>
              <m:t>0</m:t>
            </m:r>
          </m:sub>
        </m:sSub>
      </m:oMath>
      <w:r>
        <w:t xml:space="preserve"> </w:t>
      </w:r>
      <w:r>
        <w:t xml:space="preserve">and</w:t>
      </w:r>
      <w:r>
        <w:t xml:space="preserve"> </w:t>
      </w:r>
      <m:oMath>
        <m:sSub>
          <m:e>
            <m:r>
              <m:t>H</m:t>
            </m:r>
          </m:e>
          <m:sub>
            <m:r>
              <m:rPr>
                <m:sty m:val="p"/>
              </m:rPr>
              <m:t>+</m:t>
            </m:r>
          </m:sub>
        </m:sSub>
      </m:oMath>
      <w:r>
        <w:t xml:space="preserve">. The within-model prior is then the equal mixture</w:t>
      </w:r>
      <w:r>
        <w:t xml:space="preserve"> </w:t>
      </w:r>
      <m:oMath>
        <m:r>
          <m:t>.5</m:t>
        </m:r>
        <m:r>
          <m:t> </m:t>
        </m:r>
        <m:sSub>
          <m:e>
            <m:r>
              <m:rPr>
                <m:scr m:val="script"/>
                <m:sty m:val="p"/>
              </m:rPr>
              <m:t>N</m:t>
            </m:r>
          </m:e>
          <m:sub>
            <m:r>
              <m:rPr>
                <m:sty m:val="p"/>
              </m:rPr>
              <m:t>−</m:t>
            </m:r>
          </m:sub>
        </m:sSub>
        <m:r>
          <m:rPr>
            <m:sty m:val="p"/>
          </m:rPr>
          <m:t>+</m:t>
        </m:r>
        <m:r>
          <m:t>.5</m:t>
        </m:r>
        <m:r>
          <m:t> </m:t>
        </m:r>
        <m:sSub>
          <m:e>
            <m:r>
              <m:rPr>
                <m:scr m:val="script"/>
                <m:sty m:val="p"/>
              </m:rPr>
              <m:t>N</m:t>
            </m:r>
          </m:e>
          <m:sub>
            <m:r>
              <m:rPr>
                <m:sty m:val="p"/>
              </m:rPr>
              <m:t>+</m:t>
            </m:r>
          </m:sub>
        </m:sSub>
      </m:oMath>
      <w:r>
        <w:t xml:space="preserve">, and for a value</w:t>
      </w:r>
      <w:r>
        <w:t xml:space="preserve"> </w:t>
      </w:r>
      <m:oMath>
        <m:sSub>
          <m:e>
            <m:r>
              <m:t>π</m:t>
            </m:r>
          </m:e>
          <m:sub>
            <m:r>
              <m:t>0</m:t>
            </m:r>
          </m:sub>
        </m:sSub>
      </m:oMath>
      <w:r>
        <w:t xml:space="preserve"> </w:t>
      </w:r>
      <w:r>
        <w:t xml:space="preserve">between</w:t>
      </w:r>
      <w:r>
        <w:t xml:space="preserve"> </w:t>
      </w:r>
      <m:oMath>
        <m:r>
          <m:t>.5</m:t>
        </m:r>
      </m:oMath>
      <w:r>
        <w:t xml:space="preserve"> </w:t>
      </w:r>
      <w:r>
        <w:t xml:space="preserve">and</w:t>
      </w:r>
      <w:r>
        <w:t xml:space="preserve"> </w:t>
      </w:r>
      <m:oMath>
        <m:r>
          <m:t>1</m:t>
        </m:r>
      </m:oMath>
      <w:r>
        <w:t xml:space="preserve"> </w:t>
      </w:r>
      <w:r>
        <w:t xml:space="preserve">the reweighted prior</w:t>
      </w:r>
    </w:p>
    <w:p>
      <w:pPr>
        <w:pStyle w:val="BodyText"/>
      </w:pPr>
      <m:oMathPara>
        <m:oMathParaPr>
          <m:jc m:val="center"/>
        </m:oMathParaPr>
        <m:oMath>
          <m:sSub>
            <m:e>
              <m:r>
                <m:t>π</m:t>
              </m:r>
            </m:e>
            <m:sub>
              <m:r>
                <m:t>0</m:t>
              </m:r>
            </m:sub>
          </m:sSub>
          <m:r>
            <m:t> </m:t>
          </m:r>
          <m:sSub>
            <m:e>
              <m:r>
                <m:rPr>
                  <m:scr m:val="script"/>
                  <m:sty m:val="p"/>
                </m:rPr>
                <m:t>N</m:t>
              </m:r>
            </m:e>
            <m:sub>
              <m:r>
                <m:rPr>
                  <m:sty m:val="p"/>
                </m:rPr>
                <m:t>−</m:t>
              </m:r>
            </m:sub>
          </m:sSub>
          <m:r>
            <m:rPr>
              <m:sty m:val="p"/>
            </m:rPr>
            <m:t>(</m:t>
          </m:r>
          <m:r>
            <m:t>0</m:t>
          </m:r>
          <m:r>
            <m:rPr>
              <m:sty m:val="p"/>
            </m:rPr>
            <m:t>,</m:t>
          </m:r>
          <m:r>
            <m:t>τ</m:t>
          </m:r>
          <m:r>
            <m:rPr>
              <m:sty m:val="p"/>
            </m:rPr>
            <m:t>)</m:t>
          </m:r>
          <m:r>
            <m:rPr>
              <m:sty m:val="p"/>
            </m:rPr>
            <m:t>+</m:t>
          </m:r>
          <m:r>
            <m:rPr>
              <m:sty m:val="p"/>
            </m:rPr>
            <m:t>(</m:t>
          </m:r>
          <m:r>
            <m:t>1</m:t>
          </m:r>
          <m:r>
            <m:rPr>
              <m:sty m:val="p"/>
            </m:rPr>
            <m:t>−</m:t>
          </m:r>
          <m:sSub>
            <m:e>
              <m:r>
                <m:t>π</m:t>
              </m:r>
            </m:e>
            <m:sub>
              <m:r>
                <m:t>0</m:t>
              </m:r>
            </m:sub>
          </m:sSub>
          <m:r>
            <m:rPr>
              <m:sty m:val="p"/>
            </m:rPr>
            <m:t>)</m:t>
          </m:r>
          <m:r>
            <m:t> </m:t>
          </m:r>
          <m:sSub>
            <m:e>
              <m:r>
                <m:rPr>
                  <m:scr m:val="script"/>
                  <m:sty m:val="p"/>
                </m:rPr>
                <m:t>N</m:t>
              </m:r>
            </m:e>
            <m:sub>
              <m:r>
                <m:rPr>
                  <m:sty m:val="p"/>
                </m:rPr>
                <m:t>+</m:t>
              </m:r>
            </m:sub>
          </m:sSub>
          <m:r>
            <m:rPr>
              <m:sty m:val="p"/>
            </m:rPr>
            <m:t>(</m:t>
          </m:r>
          <m:r>
            <m:t>0</m:t>
          </m:r>
          <m:r>
            <m:rPr>
              <m:sty m:val="p"/>
            </m:rPr>
            <m:t>,</m:t>
          </m:r>
          <m:r>
            <m:t>τ</m:t>
          </m:r>
          <m:r>
            <m:rPr>
              <m:sty m:val="p"/>
            </m:rPr>
            <m:t>)</m:t>
          </m:r>
        </m:oMath>
      </m:oMathPara>
    </w:p>
    <w:p>
      <w:pPr>
        <w:pStyle w:val="FirstParagraph"/>
      </w:pPr>
      <w:r>
        <w:t xml:space="preserve">gives</w:t>
      </w:r>
      <w:r>
        <w:t xml:space="preserve"> </w:t>
      </w:r>
      <m:oMath>
        <m:sSub>
          <m:e>
            <m:r>
              <m:t>θ</m:t>
            </m:r>
          </m:e>
          <m:sub>
            <m:r>
              <m:t>i</m:t>
            </m:r>
          </m:sub>
        </m:sSub>
        <m:r>
          <m:rPr>
            <m:sty m:val="p"/>
          </m:rPr>
          <m:t>≤</m:t>
        </m:r>
        <m:r>
          <m:t>0</m:t>
        </m:r>
      </m:oMath>
      <w:r>
        <w:t xml:space="preserve"> </w:t>
      </w:r>
      <w:r>
        <w:t xml:space="preserve">probability</w:t>
      </w:r>
      <w:r>
        <w:t xml:space="preserve"> </w:t>
      </w:r>
      <m:oMath>
        <m:sSub>
          <m:e>
            <m:r>
              <m:t>π</m:t>
            </m:r>
          </m:e>
          <m:sub>
            <m:r>
              <m:t>0</m:t>
            </m:r>
          </m:sub>
        </m:sSub>
      </m:oMath>
      <w:r>
        <w:t xml:space="preserve"> </w:t>
      </w:r>
      <w:r>
        <w:t xml:space="preserve">and</w:t>
      </w:r>
      <w:r>
        <w:t xml:space="preserve"> </w:t>
      </w:r>
      <m:oMath>
        <m:sSub>
          <m:e>
            <m:r>
              <m:t>θ</m:t>
            </m:r>
          </m:e>
          <m:sub>
            <m:r>
              <m:t>i</m:t>
            </m:r>
          </m:sub>
        </m:sSub>
        <m:r>
          <m:rPr>
            <m:sty m:val="p"/>
          </m:rPr>
          <m:t>&gt;</m:t>
        </m:r>
        <m:r>
          <m:t>0</m:t>
        </m:r>
      </m:oMath>
      <w:r>
        <w:t xml:space="preserve"> </w:t>
      </w:r>
      <w:r>
        <w:t xml:space="preserve">probability</w:t>
      </w:r>
      <w:r>
        <w:t xml:space="preserve"> </w:t>
      </w:r>
      <m:oMath>
        <m:r>
          <m:t>1</m:t>
        </m:r>
        <m:r>
          <m:rPr>
            <m:sty m:val="p"/>
          </m:rPr>
          <m:t>−</m:t>
        </m:r>
        <m:sSub>
          <m:e>
            <m:r>
              <m:t>π</m:t>
            </m:r>
          </m:e>
          <m:sub>
            <m:r>
              <m:t>0</m:t>
            </m:r>
          </m:sub>
        </m:sSub>
      </m:oMath>
      <w:r>
        <w:t xml:space="preserve">. The prior odds of</w:t>
      </w:r>
      <w:r>
        <w:t xml:space="preserve"> </w:t>
      </w:r>
      <m:oMath>
        <m:sSub>
          <m:e>
            <m:r>
              <m:t>H</m:t>
            </m:r>
          </m:e>
          <m:sub>
            <m:r>
              <m:rPr>
                <m:sty m:val="p"/>
              </m:rPr>
              <m:t>+</m:t>
            </m:r>
          </m:sub>
        </m:sSub>
      </m:oMath>
      <w:r>
        <w:t xml:space="preserve"> </w:t>
      </w:r>
      <w:r>
        <w:t xml:space="preserve">are then</w:t>
      </w:r>
      <w:r>
        <w:t xml:space="preserve"> </w:t>
      </w:r>
      <m:oMath>
        <m:r>
          <m:rPr>
            <m:sty m:val="p"/>
          </m:rPr>
          <m:t>(</m:t>
        </m:r>
        <m:r>
          <m:t>1</m:t>
        </m:r>
        <m:r>
          <m:rPr>
            <m:sty m:val="p"/>
          </m:rPr>
          <m:t>−</m:t>
        </m:r>
        <m:sSub>
          <m:e>
            <m:r>
              <m:t>π</m:t>
            </m:r>
          </m:e>
          <m:sub>
            <m:r>
              <m:t>0</m:t>
            </m:r>
          </m:sub>
        </m:sSub>
        <m:r>
          <m:rPr>
            <m:sty m:val="p"/>
          </m:rPr>
          <m:t>)</m:t>
        </m:r>
        <m:r>
          <m:rPr>
            <m:sty m:val="p"/>
          </m:rPr>
          <m:t>/</m:t>
        </m:r>
        <m:sSub>
          <m:e>
            <m:r>
              <m:t>π</m:t>
            </m:r>
          </m:e>
          <m:sub>
            <m:r>
              <m:t>0</m:t>
            </m:r>
          </m:sub>
        </m:sSub>
      </m:oMath>
      <w:r>
        <w:t xml:space="preserve"> </w:t>
      </w:r>
      <w:r>
        <w:t xml:space="preserve">instead of one; with</w:t>
      </w:r>
      <w:r>
        <w:t xml:space="preserve"> </w:t>
      </w:r>
      <m:oMath>
        <m:sSub>
          <m:e>
            <m:r>
              <m:t>π</m:t>
            </m:r>
          </m:e>
          <m:sub>
            <m:r>
              <m:t>0</m:t>
            </m:r>
          </m:sub>
        </m:sSub>
        <m:r>
          <m:rPr>
            <m:sty m:val="p"/>
          </m:rPr>
          <m:t>=</m:t>
        </m:r>
        <m:r>
          <m:t>.7</m:t>
        </m:r>
      </m:oMath>
      <w:r>
        <w:t xml:space="preserve">, for example,</w:t>
      </w:r>
      <w:r>
        <w:t xml:space="preserve"> </w:t>
      </w:r>
      <m:oMath>
        <m:r>
          <m:t>.3</m:t>
        </m:r>
        <m:r>
          <m:rPr>
            <m:sty m:val="p"/>
          </m:rPr>
          <m:t>/</m:t>
        </m:r>
        <m:r>
          <m:t>.7</m:t>
        </m:r>
        <m:r>
          <m:rPr>
            <m:sty m:val="p"/>
          </m:rPr>
          <m:t>≈</m:t>
        </m:r>
        <m:r>
          <m:t>0.43</m:t>
        </m:r>
      </m:oMath>
      <w:r>
        <w:t xml:space="preserve">.</w:t>
      </w:r>
    </w:p>
    <w:p>
      <w:pPr>
        <w:pStyle w:val="BodyText"/>
      </w:pPr>
      <w:r>
        <w:t xml:space="preserve">The researcher specifies</w:t>
      </w:r>
      <w:r>
        <w:t xml:space="preserve"> </w:t>
      </w:r>
      <m:oMath>
        <m:sSub>
          <m:e>
            <m:r>
              <m:t>π</m:t>
            </m:r>
          </m:e>
          <m:sub>
            <m:r>
              <m:t>0</m:t>
            </m:r>
          </m:sub>
        </m:sSub>
      </m:oMath>
      <w:r>
        <w:t xml:space="preserve"> </w:t>
      </w:r>
      <w:r>
        <w:t xml:space="preserve">before the data, and we consider the class</w:t>
      </w:r>
      <w:r>
        <w:t xml:space="preserve"> </w:t>
      </w:r>
      <m:oMath>
        <m:r>
          <m:rPr>
            <m:sty m:val="p"/>
          </m:rPr>
          <m:t>Γ</m:t>
        </m:r>
      </m:oMath>
      <w:r>
        <w:t xml:space="preserve"> </w:t>
      </w:r>
      <w:r>
        <w:t xml:space="preserve">of all priors obtained by reweighting the within-model prior in this way, with the probability of each sign of every</w:t>
      </w:r>
      <w:r>
        <w:t xml:space="preserve"> </w:t>
      </w:r>
      <m:oMath>
        <m:sSub>
          <m:e>
            <m:r>
              <m:t>θ</m:t>
            </m:r>
          </m:e>
          <m:sub>
            <m:r>
              <m:t>i</m:t>
            </m:r>
          </m:sub>
        </m:sSub>
      </m:oMath>
      <w:r>
        <w:t xml:space="preserve"> </w:t>
      </w:r>
      <w:r>
        <w:t xml:space="preserve">between</w:t>
      </w:r>
      <w:r>
        <w:t xml:space="preserve"> </w:t>
      </w:r>
      <m:oMath>
        <m:r>
          <m:t>1</m:t>
        </m:r>
        <m:r>
          <m:rPr>
            <m:sty m:val="p"/>
          </m:rPr>
          <m:t>−</m:t>
        </m:r>
        <m:sSub>
          <m:e>
            <m:r>
              <m:t>π</m:t>
            </m:r>
          </m:e>
          <m:sub>
            <m:r>
              <m:t>0</m:t>
            </m:r>
          </m:sub>
        </m:sSub>
      </m:oMath>
      <w:r>
        <w:t xml:space="preserve"> </w:t>
      </w:r>
      <w:r>
        <w:t xml:space="preserve">and</w:t>
      </w:r>
      <w:r>
        <w:t xml:space="preserve"> </w:t>
      </w:r>
      <m:oMath>
        <m:sSub>
          <m:e>
            <m:r>
              <m:t>π</m:t>
            </m:r>
          </m:e>
          <m:sub>
            <m:r>
              <m:t>0</m:t>
            </m:r>
          </m:sub>
        </m:sSub>
      </m:oMath>
      <w:r>
        <w:t xml:space="preserve">. The within-model prior is one of the priors in</w:t>
      </w:r>
      <w:r>
        <w:t xml:space="preserve"> </w:t>
      </w:r>
      <m:oMath>
        <m:r>
          <m:rPr>
            <m:sty m:val="p"/>
          </m:rPr>
          <m:t>Γ</m:t>
        </m:r>
      </m:oMath>
      <w:r>
        <w:t xml:space="preserve">, and the bounds are the same for</w:t>
      </w:r>
      <w:r>
        <w:t xml:space="preserve"> </w:t>
      </w:r>
      <m:oMath>
        <m:sSub>
          <m:e>
            <m:r>
              <m:t>θ</m:t>
            </m:r>
          </m:e>
          <m:sub>
            <m:r>
              <m:t>i</m:t>
            </m:r>
          </m:sub>
        </m:sSub>
        <m:r>
          <m:rPr>
            <m:sty m:val="p"/>
          </m:rPr>
          <m:t>&gt;</m:t>
        </m:r>
        <m:r>
          <m:t>0</m:t>
        </m:r>
      </m:oMath>
      <w:r>
        <w:t xml:space="preserve"> </w:t>
      </w:r>
      <w:r>
        <w:t xml:space="preserve">and</w:t>
      </w:r>
      <w:r>
        <w:t xml:space="preserve"> </w:t>
      </w:r>
      <m:oMath>
        <m:sSub>
          <m:e>
            <m:r>
              <m:t>θ</m:t>
            </m:r>
          </m:e>
          <m:sub>
            <m:r>
              <m:t>i</m:t>
            </m:r>
          </m:sub>
        </m:sSub>
        <m:r>
          <m:rPr>
            <m:sty m:val="p"/>
          </m:rPr>
          <m:t>&lt;</m:t>
        </m:r>
        <m:r>
          <m:t>0</m:t>
        </m:r>
      </m:oMath>
      <w:r>
        <w:t xml:space="preserve">, so that, whichever sign is claimed, the prior probability of the opposite sign ranges from</w:t>
      </w:r>
      <w:r>
        <w:t xml:space="preserve"> </w:t>
      </w:r>
      <m:oMath>
        <m:r>
          <m:t>1</m:t>
        </m:r>
        <m:r>
          <m:rPr>
            <m:sty m:val="p"/>
          </m:rPr>
          <m:t>−</m:t>
        </m:r>
        <m:sSub>
          <m:e>
            <m:r>
              <m:t>π</m:t>
            </m:r>
          </m:e>
          <m:sub>
            <m:r>
              <m:t>0</m:t>
            </m:r>
          </m:sub>
        </m:sSub>
      </m:oMath>
      <w:r>
        <w:t xml:space="preserve"> </w:t>
      </w:r>
      <w:r>
        <w:t xml:space="preserve">to</w:t>
      </w:r>
      <w:r>
        <w:t xml:space="preserve"> </w:t>
      </w:r>
      <m:oMath>
        <m:sSub>
          <m:e>
            <m:r>
              <m:t>π</m:t>
            </m:r>
          </m:e>
          <m:sub>
            <m:r>
              <m:t>0</m:t>
            </m:r>
          </m:sub>
        </m:sSub>
      </m:oMath>
      <w:r>
        <w:t xml:space="preserve"> </w:t>
      </w:r>
      <w:r>
        <w:t xml:space="preserve">across</w:t>
      </w:r>
      <w:r>
        <w:t xml:space="preserve"> </w:t>
      </w:r>
      <m:oMath>
        <m:r>
          <m:rPr>
            <m:sty m:val="p"/>
          </m:rPr>
          <m:t>Γ</m:t>
        </m:r>
      </m:oMath>
      <w:r>
        <w:t xml:space="preserve">. The class</w:t>
      </w:r>
      <w:r>
        <w:t xml:space="preserve"> </w:t>
      </w:r>
      <m:oMath>
        <m:r>
          <m:rPr>
            <m:sty m:val="p"/>
          </m:rPr>
          <m:t>Γ</m:t>
        </m:r>
      </m:oMath>
      <w:r>
        <w:t xml:space="preserve"> </w:t>
      </w:r>
      <w:r>
        <w:t xml:space="preserve">contains every split between the two extremes, not only the extremes, because a mixture of two priors in</w:t>
      </w:r>
      <w:r>
        <w:t xml:space="preserve"> </w:t>
      </w:r>
      <m:oMath>
        <m:r>
          <m:rPr>
            <m:sty m:val="p"/>
          </m:rPr>
          <m:t>Γ</m:t>
        </m:r>
      </m:oMath>
      <w:r>
        <w:t xml:space="preserve"> </w:t>
      </w:r>
      <w:r>
        <w:t xml:space="preserve">is again in</w:t>
      </w:r>
      <w:r>
        <w:t xml:space="preserve"> </w:t>
      </w:r>
      <m:oMath>
        <m:r>
          <m:rPr>
            <m:sty m:val="p"/>
          </m:rPr>
          <m:t>Γ</m:t>
        </m:r>
      </m:oMath>
      <w:r>
        <w:t xml:space="preserve">: the equal mixture of the two extremes, for example, is the within-model prior. Thus</w:t>
      </w:r>
      <w:r>
        <w:t xml:space="preserve"> </w:t>
      </w:r>
      <m:oMath>
        <m:sSub>
          <m:e>
            <m:r>
              <m:t>π</m:t>
            </m:r>
          </m:e>
          <m:sub>
            <m:r>
              <m:t>0</m:t>
            </m:r>
          </m:sub>
        </m:sSub>
      </m:oMath>
      <w:r>
        <w:t xml:space="preserve"> </w:t>
      </w:r>
      <w:r>
        <w:t xml:space="preserve">is an upper bound, set by the researcher, on the prior probability of either sign of a parameter, and in particular of the sign opposite to the one claimed. For example, with</w:t>
      </w:r>
      <w:r>
        <w:t xml:space="preserve"> </w:t>
      </w:r>
      <m:oMath>
        <m:sSub>
          <m:e>
            <m:r>
              <m:t>π</m:t>
            </m:r>
          </m:e>
          <m:sub>
            <m:r>
              <m:t>0</m:t>
            </m:r>
          </m:sub>
        </m:sSub>
        <m:r>
          <m:rPr>
            <m:sty m:val="p"/>
          </m:rPr>
          <m:t>=</m:t>
        </m:r>
        <m:r>
          <m:t>.7</m:t>
        </m:r>
      </m:oMath>
      <w:r>
        <w:t xml:space="preserve"> </w:t>
      </w:r>
      <w:r>
        <w:t xml:space="preserve">the claimed sign can have prior probability as low as</w:t>
      </w:r>
      <w:r>
        <w:t xml:space="preserve"> </w:t>
      </w:r>
      <m:oMath>
        <m:r>
          <m:t>.3</m:t>
        </m:r>
      </m:oMath>
      <w:r>
        <w:t xml:space="preserve"> </w:t>
      </w:r>
      <w:r>
        <w:t xml:space="preserve">across</w:t>
      </w:r>
      <w:r>
        <w:t xml:space="preserve"> </w:t>
      </w:r>
      <m:oMath>
        <m:r>
          <m:rPr>
            <m:sty m:val="p"/>
          </m:rPr>
          <m:t>Γ</m:t>
        </m:r>
      </m:oMath>
      <w:r>
        <w:t xml:space="preserve">, so the remaining</w:t>
      </w:r>
      <w:r>
        <w:t xml:space="preserve"> </w:t>
      </w:r>
      <m:oMath>
        <m:r>
          <m:t>.7</m:t>
        </m:r>
      </m:oMath>
      <w:r>
        <w:t xml:space="preserve"> </w:t>
      </w:r>
      <w:r>
        <w:t xml:space="preserve">lies on the other side. With</w:t>
      </w:r>
      <w:r>
        <w:t xml:space="preserve"> </w:t>
      </w:r>
      <m:oMath>
        <m:sSub>
          <m:e>
            <m:r>
              <m:t>π</m:t>
            </m:r>
          </m:e>
          <m:sub>
            <m:r>
              <m:t>0</m:t>
            </m:r>
          </m:sub>
        </m:sSub>
        <m:r>
          <m:rPr>
            <m:sty m:val="p"/>
          </m:rPr>
          <m:t>=</m:t>
        </m:r>
        <m:r>
          <m:t>.5</m:t>
        </m:r>
      </m:oMath>
      <w:r>
        <w:t xml:space="preserve">,</w:t>
      </w:r>
      <w:r>
        <w:t xml:space="preserve"> </w:t>
      </w:r>
      <m:oMath>
        <m:r>
          <m:rPr>
            <m:sty m:val="p"/>
          </m:rPr>
          <m:t>Γ</m:t>
        </m:r>
      </m:oMath>
      <w:r>
        <w:t xml:space="preserve"> </w:t>
      </w:r>
      <w:r>
        <w:t xml:space="preserve">contains only the within-model prior and no penalty is applied.</w:t>
      </w:r>
      <w:r>
        <w:t xml:space="preserve"> </w:t>
      </w:r>
      <w:hyperlink w:anchor="fig-class">
        <w:r>
          <w:rPr>
            <w:rStyle w:val="Hyperlink"/>
          </w:rPr>
          <w:t xml:space="preserve">Figure 3</w:t>
        </w:r>
      </w:hyperlink>
      <w:r>
        <w:t xml:space="preserve"> </w:t>
      </w:r>
      <w:r>
        <w:t xml:space="preserve">shows the class for</w:t>
      </w:r>
      <w:r>
        <w:t xml:space="preserve"> </w:t>
      </w:r>
      <m:oMath>
        <m:sSub>
          <m:e>
            <m:r>
              <m:t>π</m:t>
            </m:r>
          </m:e>
          <m:sub>
            <m:r>
              <m:t>0</m:t>
            </m:r>
          </m:sub>
        </m:sSub>
        <m:r>
          <m:rPr>
            <m:sty m:val="p"/>
          </m:rPr>
          <m:t>=</m:t>
        </m:r>
        <m:r>
          <m:t>.7</m:t>
        </m:r>
      </m:oMath>
      <w:r>
        <w:t xml:space="preserve"> </w:t>
      </w:r>
      <w:r>
        <w:t xml:space="preserve">and</w:t>
      </w:r>
      <w:r>
        <w:t xml:space="preserve"> </w:t>
      </w:r>
      <m:oMath>
        <m:sSub>
          <m:e>
            <m:r>
              <m:t>π</m:t>
            </m:r>
          </m:e>
          <m:sub>
            <m:r>
              <m:t>0</m:t>
            </m:r>
          </m:sub>
        </m:sSub>
        <m:r>
          <m:rPr>
            <m:sty m:val="p"/>
          </m:rPr>
          <m:t>=</m:t>
        </m:r>
        <m:r>
          <m:t>.9</m:t>
        </m:r>
      </m:oMath>
      <w:r>
        <w:t xml:space="preserve">.</w:t>
      </w:r>
    </w:p>
    <w:bookmarkStart w:id="63" w:name="fig-class"/>
    <w:p>
      <w:pPr>
        <w:pStyle w:val="FigureTitle"/>
      </w:pPr>
      <w:r>
        <w:t xml:space="preserve">Figure 3</w:t>
      </w:r>
    </w:p>
    <w:p>
      <w:pPr>
        <w:pStyle w:val="Caption"/>
      </w:pPr>
      <w:r>
        <w:t xml:space="preserve">The Class of Priors for Two Values of</w:t>
      </w:r>
      <w:r>
        <w:t xml:space="preserve"> </w:t>
      </w:r>
      <m:oMath>
        <m:sSub>
          <m:e>
            <m:r>
              <m:t>π</m:t>
            </m:r>
          </m:e>
          <m:sub>
            <m:r>
              <m:t>0</m:t>
            </m:r>
          </m:sub>
        </m:sSub>
      </m:oMath>
    </w:p>
    <w:p>
      <w:pPr>
        <w:pStyle w:val="FigureWithNote"/>
      </w:pPr>
      <w:r>
        <w:drawing>
          <wp:inline>
            <wp:extent cx="5943600" cy="2731084"/>
            <wp:effectExtent b="0" l="0" r="0" t="0"/>
            <wp:docPr descr="" title="" id="61" name="Picture"/>
            <a:graphic>
              <a:graphicData uri="http://schemas.openxmlformats.org/drawingml/2006/picture">
                <pic:pic>
                  <pic:nvPicPr>
                    <pic:cNvPr descr="manuscript_v2_files/figure-docx/fig-class-1.png" id="62" name="Picture"/>
                    <pic:cNvPicPr>
                      <a:picLocks noChangeArrowheads="1" noChangeAspect="1"/>
                    </pic:cNvPicPr>
                  </pic:nvPicPr>
                  <pic:blipFill>
                    <a:blip r:embed="rId60"/>
                    <a:stretch>
                      <a:fillRect/>
                    </a:stretch>
                  </pic:blipFill>
                  <pic:spPr bwMode="auto">
                    <a:xfrm>
                      <a:off x="0" y="0"/>
                      <a:ext cx="5943600" cy="2731084"/>
                    </a:xfrm>
                    <a:prstGeom prst="rect">
                      <a:avLst/>
                    </a:prstGeom>
                    <a:noFill/>
                    <a:ln w="9525">
                      <a:noFill/>
                      <a:headEnd/>
                      <a:tailEnd/>
                    </a:ln>
                  </pic:spPr>
                </pic:pic>
              </a:graphicData>
            </a:graphic>
          </wp:inline>
        </w:drawing>
      </w:r>
    </w:p>
    <w:bookmarkEnd w:id="63"/>
    <w:p>
      <w:pPr>
        <w:pStyle w:val="FigureNote"/>
      </w:pPr>
      <w:r>
        <w:rPr>
          <w:i/>
          <w:iCs/>
        </w:rPr>
        <w:t xml:space="preserve">Note</w:t>
      </w:r>
      <w:r>
        <w:t xml:space="preserve">. The priors in</w:t>
      </w:r>
      <w:r>
        <w:t xml:space="preserve"> </w:t>
      </w:r>
      <m:oMath>
        <m:r>
          <m:rPr>
            <m:sty m:val="p"/>
          </m:rPr>
          <m:t>Γ</m:t>
        </m:r>
      </m:oMath>
      <w:r>
        <w:t xml:space="preserve"> </w:t>
      </w:r>
      <w:r>
        <w:t xml:space="preserve">reweight the two halves of the within-model prior, here</w:t>
      </w:r>
      <w:r>
        <w:t xml:space="preserve"> </w:t>
      </w:r>
      <m:oMath>
        <m:r>
          <m:rPr>
            <m:scr m:val="script"/>
            <m:sty m:val="p"/>
          </m:rPr>
          <m:t>N</m:t>
        </m:r>
        <m:r>
          <m:rPr>
            <m:sty m:val="p"/>
          </m:rPr>
          <m:t>(</m:t>
        </m:r>
        <m:r>
          <m:t>0</m:t>
        </m:r>
        <m:r>
          <m:rPr>
            <m:sty m:val="p"/>
          </m:rPr>
          <m:t>,</m:t>
        </m:r>
        <m:r>
          <m:t>1</m:t>
        </m:r>
        <m:r>
          <m:rPr>
            <m:sty m:val="p"/>
          </m:rPr>
          <m:t>)</m:t>
        </m:r>
      </m:oMath>
      <w:r>
        <w:t xml:space="preserve"> </w:t>
      </w:r>
      <w:r>
        <w:t xml:space="preserve">(black), keeping the shape of each half; every prior in</w:t>
      </w:r>
      <w:r>
        <w:t xml:space="preserve"> </w:t>
      </w:r>
      <m:oMath>
        <m:r>
          <m:rPr>
            <m:sty m:val="p"/>
          </m:rPr>
          <m:t>Γ</m:t>
        </m:r>
      </m:oMath>
      <w:r>
        <w:t xml:space="preserve">, including the within-model prior, lies within the grey band. Panel A: for</w:t>
      </w:r>
      <w:r>
        <w:t xml:space="preserve"> </w:t>
      </w:r>
      <m:oMath>
        <m:sSub>
          <m:e>
            <m:r>
              <m:t>π</m:t>
            </m:r>
          </m:e>
          <m:sub>
            <m:r>
              <m:t>0</m:t>
            </m:r>
          </m:sub>
        </m:sSub>
        <m:r>
          <m:rPr>
            <m:sty m:val="p"/>
          </m:rPr>
          <m:t>=</m:t>
        </m:r>
        <m:r>
          <m:t>.7</m:t>
        </m:r>
      </m:oMath>
      <w:r>
        <w:t xml:space="preserve">, the prior probability of</w:t>
      </w:r>
      <w:r>
        <w:t xml:space="preserve"> </w:t>
      </w:r>
      <m:oMath>
        <m:r>
          <m:t>θ</m:t>
        </m:r>
        <m:r>
          <m:rPr>
            <m:sty m:val="p"/>
          </m:rPr>
          <m:t>&gt;</m:t>
        </m:r>
        <m:r>
          <m:t>0</m:t>
        </m:r>
      </m:oMath>
      <w:r>
        <w:t xml:space="preserve"> </w:t>
      </w:r>
      <w:r>
        <w:t xml:space="preserve">lies between</w:t>
      </w:r>
      <w:r>
        <w:t xml:space="preserve"> </w:t>
      </w:r>
      <m:oMath>
        <m:r>
          <m:t>.3</m:t>
        </m:r>
      </m:oMath>
      <w:r>
        <w:t xml:space="preserve"> </w:t>
      </w:r>
      <w:r>
        <w:t xml:space="preserve">and</w:t>
      </w:r>
      <w:r>
        <w:t xml:space="preserve"> </w:t>
      </w:r>
      <m:oMath>
        <m:r>
          <m:t>.7</m:t>
        </m:r>
      </m:oMath>
      <w:r>
        <w:t xml:space="preserve">; the colored lines are the two extreme priors of the class, the one most skeptical of</w:t>
      </w:r>
      <w:r>
        <w:t xml:space="preserve"> </w:t>
      </w:r>
      <m:oMath>
        <m:r>
          <m:t>θ</m:t>
        </m:r>
        <m:r>
          <m:rPr>
            <m:sty m:val="p"/>
          </m:rPr>
          <m:t>&gt;</m:t>
        </m:r>
        <m:r>
          <m:t>0</m:t>
        </m:r>
      </m:oMath>
      <w:r>
        <w:t xml:space="preserve"> </w:t>
      </w:r>
      <w:r>
        <w:t xml:space="preserve">(solid) and the one most skeptical of</w:t>
      </w:r>
      <w:r>
        <w:t xml:space="preserve"> </w:t>
      </w:r>
      <m:oMath>
        <m:r>
          <m:t>θ</m:t>
        </m:r>
        <m:r>
          <m:rPr>
            <m:sty m:val="p"/>
          </m:rPr>
          <m:t>&lt;</m:t>
        </m:r>
        <m:r>
          <m:t>0</m:t>
        </m:r>
      </m:oMath>
      <w:r>
        <w:t xml:space="preserve"> </w:t>
      </w:r>
      <w:r>
        <w:t xml:space="preserve">(dashed). Panel B: the same for</w:t>
      </w:r>
      <w:r>
        <w:t xml:space="preserve"> </w:t>
      </w:r>
      <m:oMath>
        <m:sSub>
          <m:e>
            <m:r>
              <m:t>π</m:t>
            </m:r>
          </m:e>
          <m:sub>
            <m:r>
              <m:t>0</m:t>
            </m:r>
          </m:sub>
        </m:sSub>
        <m:r>
          <m:rPr>
            <m:sty m:val="p"/>
          </m:rPr>
          <m:t>=</m:t>
        </m:r>
        <m:r>
          <m:t>.9</m:t>
        </m:r>
      </m:oMath>
      <w:r>
        <w:t xml:space="preserve">, for which the prior probability of</w:t>
      </w:r>
      <w:r>
        <w:t xml:space="preserve"> </w:t>
      </w:r>
      <m:oMath>
        <m:r>
          <m:t>θ</m:t>
        </m:r>
        <m:r>
          <m:rPr>
            <m:sty m:val="p"/>
          </m:rPr>
          <m:t>&gt;</m:t>
        </m:r>
        <m:r>
          <m:t>0</m:t>
        </m:r>
      </m:oMath>
      <w:r>
        <w:t xml:space="preserve"> </w:t>
      </w:r>
      <w:r>
        <w:t xml:space="preserve">lies between</w:t>
      </w:r>
      <w:r>
        <w:t xml:space="preserve"> </w:t>
      </w:r>
      <m:oMath>
        <m:r>
          <m:t>.1</m:t>
        </m:r>
      </m:oMath>
      <w:r>
        <w:t xml:space="preserve"> </w:t>
      </w:r>
      <w:r>
        <w:t xml:space="preserve">and</w:t>
      </w:r>
      <w:r>
        <w:t xml:space="preserve"> </w:t>
      </w:r>
      <m:oMath>
        <m:r>
          <m:t>.9</m:t>
        </m:r>
      </m:oMath>
      <w:r>
        <w:t xml:space="preserve">. A larger</w:t>
      </w:r>
      <w:r>
        <w:t xml:space="preserve"> </w:t>
      </w:r>
      <m:oMath>
        <m:sSub>
          <m:e>
            <m:r>
              <m:t>π</m:t>
            </m:r>
          </m:e>
          <m:sub>
            <m:r>
              <m:t>0</m:t>
            </m:r>
          </m:sub>
        </m:sSub>
      </m:oMath>
      <w:r>
        <w:t xml:space="preserve"> </w:t>
      </w:r>
      <w:r>
        <w:t xml:space="preserve">gives a wider class. Only the extreme prior most skeptical of the claimed direction determines whether a claim is made.</w:t>
      </w:r>
    </w:p>
    <w:p>
      <w:pPr>
        <w:pStyle w:val="BodyText"/>
      </w:pPr>
      <w:r>
        <w:t xml:space="preserve">The same</w:t>
      </w:r>
      <w:r>
        <w:t xml:space="preserve"> </w:t>
      </w:r>
      <m:oMath>
        <m:sSub>
          <m:e>
            <m:r>
              <m:t>π</m:t>
            </m:r>
          </m:e>
          <m:sub>
            <m:r>
              <m:t>0</m:t>
            </m:r>
          </m:sub>
        </m:sSub>
      </m:oMath>
      <w:r>
        <w:t xml:space="preserve"> </w:t>
      </w:r>
      <w:r>
        <w:t xml:space="preserve">is applied to every parameter in the family, which assumes that the parameters are exchangeable, an assumption we return to in the Discussion;</w:t>
      </w:r>
      <w:r>
        <w:t xml:space="preserve"> </w:t>
      </w:r>
      <m:oMath>
        <m:sSub>
          <m:e>
            <m:r>
              <m:t>π</m:t>
            </m:r>
          </m:e>
          <m:sub>
            <m:r>
              <m:t>0</m:t>
            </m:r>
          </m:sub>
        </m:sSub>
      </m:oMath>
      <w:r>
        <w:t xml:space="preserve"> </w:t>
      </w:r>
      <w:r>
        <w:t xml:space="preserve">can then be chosen in two ways. For exchangeable parameters, the prior probability that a parameter lies on a given side of</w:t>
      </w:r>
      <w:r>
        <w:t xml:space="preserve"> </w:t>
      </w:r>
      <m:oMath>
        <m:r>
          <m:t>0</m:t>
        </m:r>
      </m:oMath>
      <w:r>
        <w:t xml:space="preserve"> </w:t>
      </w:r>
      <w:r>
        <w:t xml:space="preserve">equals the expected proportion of parameters in the family that lie on that side. The bound</w:t>
      </w:r>
      <w:r>
        <w:t xml:space="preserve"> </w:t>
      </w:r>
      <m:oMath>
        <m:sSub>
          <m:e>
            <m:r>
              <m:t>π</m:t>
            </m:r>
          </m:e>
          <m:sub>
            <m:r>
              <m:t>0</m:t>
            </m:r>
          </m:sub>
        </m:sSub>
      </m:oMath>
      <w:r>
        <w:t xml:space="preserve"> </w:t>
      </w:r>
      <w:r>
        <w:t xml:space="preserve">is therefore also an upper bound on the expected proportion of parameters that are not on the claimed side. Like a parameter of the opposite sign, a null effect, that is, a parameter equal to</w:t>
      </w:r>
      <w:r>
        <w:t xml:space="preserve"> </w:t>
      </w:r>
      <m:oMath>
        <m:r>
          <m:t>0</m:t>
        </m:r>
      </m:oMath>
      <w:r>
        <w:t xml:space="preserve">, does not lie on the claimed side, so a judgment about how many null effects the family could contain can guide the choice of</w:t>
      </w:r>
      <w:r>
        <w:t xml:space="preserve"> </w:t>
      </w:r>
      <m:oMath>
        <m:sSub>
          <m:e>
            <m:r>
              <m:t>π</m:t>
            </m:r>
          </m:e>
          <m:sub>
            <m:r>
              <m:t>0</m:t>
            </m:r>
          </m:sub>
        </m:sSub>
      </m:oMath>
      <w:r>
        <w:t xml:space="preserve">: if up to 70% of the parameters could be null effects and the others are expected to have the claimed sign, the corresponding value is</w:t>
      </w:r>
      <w:r>
        <w:t xml:space="preserve"> </w:t>
      </w:r>
      <m:oMath>
        <m:sSub>
          <m:e>
            <m:r>
              <m:t>π</m:t>
            </m:r>
          </m:e>
          <m:sub>
            <m:r>
              <m:t>0</m:t>
            </m:r>
          </m:sub>
        </m:sSub>
        <m:r>
          <m:rPr>
            <m:sty m:val="p"/>
          </m:rPr>
          <m:t>=</m:t>
        </m:r>
        <m:r>
          <m:t>.7</m:t>
        </m:r>
      </m:oMath>
      <w:r>
        <w:t xml:space="preserve">.</w:t>
      </w:r>
    </w:p>
    <w:p>
      <w:pPr>
        <w:pStyle w:val="BodyText"/>
      </w:pPr>
      <w:r>
        <w:t xml:space="preserve">Alternatively, let</w:t>
      </w:r>
      <w:r>
        <w:t xml:space="preserve"> </w:t>
      </w:r>
      <m:oMath>
        <m:sSub>
          <m:e>
            <m:r>
              <m:t>H</m:t>
            </m:r>
          </m:e>
          <m:sub>
            <m:r>
              <m:t>0</m:t>
            </m:r>
          </m:sub>
        </m:sSub>
      </m:oMath>
      <w:r>
        <w:t xml:space="preserve"> </w:t>
      </w:r>
      <w:r>
        <w:t xml:space="preserve">denote the event that no claim in the family is correct. If the parameters are independent a priori, the largest prior probability of</w:t>
      </w:r>
      <w:r>
        <w:t xml:space="preserve"> </w:t>
      </w:r>
      <m:oMath>
        <m:sSub>
          <m:e>
            <m:r>
              <m:t>H</m:t>
            </m:r>
          </m:e>
          <m:sub>
            <m:r>
              <m:t>0</m:t>
            </m:r>
          </m:sub>
        </m:sSub>
      </m:oMath>
      <w:r>
        <w:t xml:space="preserve"> </w:t>
      </w:r>
      <w:r>
        <w:t xml:space="preserve">over</w:t>
      </w:r>
      <w:r>
        <w:t xml:space="preserve"> </w:t>
      </w:r>
      <m:oMath>
        <m:r>
          <m:rPr>
            <m:sty m:val="p"/>
          </m:rPr>
          <m:t>Γ</m:t>
        </m:r>
      </m:oMath>
      <w:r>
        <w:t xml:space="preserve"> </w:t>
      </w:r>
      <w:r>
        <w:t xml:space="preserve">is</w:t>
      </w:r>
      <w:r>
        <w:t xml:space="preserve"> </w:t>
      </w:r>
      <m:oMath>
        <m:sSubSup>
          <m:e>
            <m:r>
              <m:t>π</m:t>
            </m:r>
          </m:e>
          <m:sub>
            <m:r>
              <m:t>0</m:t>
            </m:r>
          </m:sub>
          <m:sup>
            <m:r>
              <m:t>m</m:t>
            </m:r>
          </m:sup>
        </m:sSubSup>
      </m:oMath>
      <w:r>
        <w:t xml:space="preserve">, so that</w:t>
      </w:r>
      <w:r>
        <w:t xml:space="preserve"> </w:t>
      </w:r>
      <m:oMath>
        <m:sSub>
          <m:e>
            <m:r>
              <m:t>π</m:t>
            </m:r>
          </m:e>
          <m:sub>
            <m:r>
              <m:t>0</m:t>
            </m:r>
          </m:sub>
        </m:sSub>
      </m:oMath>
      <w:r>
        <w:t xml:space="preserve"> </w:t>
      </w:r>
      <w:r>
        <w:t xml:space="preserve">can be set for the family through</w:t>
      </w:r>
      <w:r>
        <w:t xml:space="preserve"> </w:t>
      </w:r>
      <m:oMath>
        <m:r>
          <m:rPr>
            <m:sty m:val="p"/>
          </m:rPr>
          <m:t>Pr</m:t>
        </m:r>
        <m:r>
          <m:rPr>
            <m:sty m:val="p"/>
          </m:rPr>
          <m:t>(</m:t>
        </m:r>
        <m:sSub>
          <m:e>
            <m:r>
              <m:t>H</m:t>
            </m:r>
          </m:e>
          <m:sub>
            <m:r>
              <m:t>0</m:t>
            </m:r>
          </m:sub>
        </m:sSub>
        <m:r>
          <m:rPr>
            <m:sty m:val="p"/>
          </m:rPr>
          <m:t>)</m:t>
        </m:r>
      </m:oMath>
      <w:r>
        <w:t xml:space="preserve">, with</w:t>
      </w:r>
      <w:r>
        <w:t xml:space="preserve"> </w:t>
      </w:r>
      <m:oMath>
        <m:sSub>
          <m:e>
            <m:r>
              <m:t>π</m:t>
            </m:r>
          </m:e>
          <m:sub>
            <m:r>
              <m:t>0</m:t>
            </m:r>
          </m:sub>
        </m:sSub>
        <m:r>
          <m:rPr>
            <m:sty m:val="p"/>
          </m:rPr>
          <m:t>=</m:t>
        </m:r>
        <m:r>
          <m:rPr>
            <m:sty m:val="p"/>
          </m:rPr>
          <m:t>Pr</m:t>
        </m:r>
        <m:r>
          <m:rPr>
            <m:sty m:val="p"/>
          </m:rPr>
          <m:t>(</m:t>
        </m:r>
        <m:sSub>
          <m:e>
            <m:r>
              <m:t>H</m:t>
            </m:r>
          </m:e>
          <m:sub>
            <m:r>
              <m:t>0</m:t>
            </m:r>
          </m:sub>
        </m:sSub>
        <m:sSup>
          <m:e>
            <m:r>
              <m:rPr>
                <m:sty m:val="p"/>
              </m:rPr>
              <m:t>)</m:t>
            </m:r>
          </m:e>
          <m:sup>
            <m:r>
              <m:t>1</m:t>
            </m:r>
            <m:r>
              <m:rPr>
                <m:sty m:val="p"/>
              </m:rPr>
              <m:t>/</m:t>
            </m:r>
            <m:r>
              <m:t>m</m:t>
            </m:r>
          </m:sup>
        </m:sSup>
      </m:oMath>
      <w:r>
        <w:t xml:space="preserve">. For a fixed</w:t>
      </w:r>
      <w:r>
        <w:t xml:space="preserve"> </w:t>
      </w:r>
      <m:oMath>
        <m:r>
          <m:rPr>
            <m:sty m:val="p"/>
          </m:rPr>
          <m:t>Pr</m:t>
        </m:r>
        <m:r>
          <m:rPr>
            <m:sty m:val="p"/>
          </m:rPr>
          <m:t>(</m:t>
        </m:r>
        <m:sSub>
          <m:e>
            <m:r>
              <m:t>H</m:t>
            </m:r>
          </m:e>
          <m:sub>
            <m:r>
              <m:t>0</m:t>
            </m:r>
          </m:sub>
        </m:sSub>
        <m:r>
          <m:rPr>
            <m:sty m:val="p"/>
          </m:rPr>
          <m:t>)</m:t>
        </m:r>
      </m:oMath>
      <w:r>
        <w:t xml:space="preserve">,</w:t>
      </w:r>
      <w:r>
        <w:t xml:space="preserve"> </w:t>
      </w:r>
      <m:oMath>
        <m:sSub>
          <m:e>
            <m:r>
              <m:t>π</m:t>
            </m:r>
          </m:e>
          <m:sub>
            <m:r>
              <m:t>0</m:t>
            </m:r>
          </m:sub>
        </m:sSub>
      </m:oMath>
      <w:r>
        <w:t xml:space="preserve"> </w:t>
      </w:r>
      <w:r>
        <w:t xml:space="preserve">increases with</w:t>
      </w:r>
      <w:r>
        <w:t xml:space="preserve"> </w:t>
      </w:r>
      <m:oMath>
        <m:r>
          <m:t>m</m:t>
        </m:r>
      </m:oMath>
      <w:r>
        <w:t xml:space="preserve">, so that the class widens as the family grows: with</w:t>
      </w:r>
      <w:r>
        <w:t xml:space="preserve"> </w:t>
      </w:r>
      <m:oMath>
        <m:r>
          <m:rPr>
            <m:sty m:val="p"/>
          </m:rPr>
          <m:t>Pr</m:t>
        </m:r>
        <m:r>
          <m:rPr>
            <m:sty m:val="p"/>
          </m:rPr>
          <m:t>(</m:t>
        </m:r>
        <m:sSub>
          <m:e>
            <m:r>
              <m:t>H</m:t>
            </m:r>
          </m:e>
          <m:sub>
            <m:r>
              <m:t>0</m:t>
            </m:r>
          </m:sub>
        </m:sSub>
        <m:r>
          <m:rPr>
            <m:sty m:val="p"/>
          </m:rPr>
          <m:t>)</m:t>
        </m:r>
        <m:r>
          <m:rPr>
            <m:sty m:val="p"/>
          </m:rPr>
          <m:t>=</m:t>
        </m:r>
        <m:r>
          <m:t>.5</m:t>
        </m:r>
      </m:oMath>
      <w:r>
        <w:t xml:space="preserve">, for example,</w:t>
      </w:r>
      <w:r>
        <w:t xml:space="preserve"> </w:t>
      </w:r>
      <m:oMath>
        <m:sSub>
          <m:e>
            <m:r>
              <m:t>π</m:t>
            </m:r>
          </m:e>
          <m:sub>
            <m:r>
              <m:t>0</m:t>
            </m:r>
          </m:sub>
        </m:sSub>
      </m:oMath>
      <w:r>
        <w:t xml:space="preserve"> </w:t>
      </w:r>
      <w:r>
        <w:t xml:space="preserve">is</w:t>
      </w:r>
      <w:r>
        <w:t xml:space="preserve"> </w:t>
      </w:r>
      <m:oMath>
        <m:r>
          <m:t>.71</m:t>
        </m:r>
      </m:oMath>
      <w:r>
        <w:t xml:space="preserve"> </w:t>
      </w:r>
      <w:r>
        <w:t xml:space="preserve">for</w:t>
      </w:r>
      <w:r>
        <w:t xml:space="preserve"> </w:t>
      </w:r>
      <m:oMath>
        <m:r>
          <m:t>m</m:t>
        </m:r>
        <m:r>
          <m:rPr>
            <m:sty m:val="p"/>
          </m:rPr>
          <m:t>=</m:t>
        </m:r>
        <m:r>
          <m:t>2</m:t>
        </m:r>
      </m:oMath>
      <w:r>
        <w:t xml:space="preserve">,</w:t>
      </w:r>
      <w:r>
        <w:t xml:space="preserve"> </w:t>
      </w:r>
      <m:oMath>
        <m:r>
          <m:t>.93</m:t>
        </m:r>
      </m:oMath>
      <w:r>
        <w:t xml:space="preserve"> </w:t>
      </w:r>
      <w:r>
        <w:t xml:space="preserve">for</w:t>
      </w:r>
      <w:r>
        <w:t xml:space="preserve"> </w:t>
      </w:r>
      <m:oMath>
        <m:r>
          <m:t>m</m:t>
        </m:r>
        <m:r>
          <m:rPr>
            <m:sty m:val="p"/>
          </m:rPr>
          <m:t>=</m:t>
        </m:r>
        <m:r>
          <m:t>9</m:t>
        </m:r>
      </m:oMath>
      <w:r>
        <w:t xml:space="preserve">, and</w:t>
      </w:r>
      <w:r>
        <w:t xml:space="preserve"> </w:t>
      </w:r>
      <m:oMath>
        <m:r>
          <m:t>.97</m:t>
        </m:r>
      </m:oMath>
      <w:r>
        <w:t xml:space="preserve"> </w:t>
      </w:r>
      <w:r>
        <w:t xml:space="preserve">for</w:t>
      </w:r>
      <w:r>
        <w:t xml:space="preserve"> </w:t>
      </w:r>
      <m:oMath>
        <m:r>
          <m:t>m</m:t>
        </m:r>
        <m:r>
          <m:rPr>
            <m:sty m:val="p"/>
          </m:rPr>
          <m:t>=</m:t>
        </m:r>
        <m:r>
          <m:t>20</m:t>
        </m:r>
      </m:oMath>
      <w:r>
        <w:t xml:space="preserve">.</w:t>
      </w:r>
    </w:p>
    <w:bookmarkEnd w:id="64"/>
    <w:bookmarkStart w:id="69" w:name="the-penalty-as-a-threshold-on-pd"/>
    <w:p>
      <w:pPr>
        <w:pStyle w:val="Heading2"/>
      </w:pPr>
      <w:r>
        <w:t xml:space="preserve">The Penalty as a Threshold on</w:t>
      </w:r>
      <w:r>
        <w:t xml:space="preserve"> </w:t>
      </w:r>
      <m:oMath>
        <m:r>
          <m:t>p</m:t>
        </m:r>
        <m:r>
          <m:t>d</m:t>
        </m:r>
      </m:oMath>
    </w:p>
    <w:p>
      <w:pPr>
        <w:pStyle w:val="FirstParagraph"/>
      </w:pPr>
      <w:r>
        <w:t xml:space="preserve">Reweighting the two halves of the within-model prior leaves the likelihood unchanged, so the posterior under any prior in</w:t>
      </w:r>
      <w:r>
        <w:t xml:space="preserve"> </w:t>
      </w:r>
      <m:oMath>
        <m:r>
          <m:rPr>
            <m:sty m:val="p"/>
          </m:rPr>
          <m:t>Γ</m:t>
        </m:r>
      </m:oMath>
      <w:r>
        <w:t xml:space="preserve"> </w:t>
      </w:r>
      <w:r>
        <w:t xml:space="preserve">is the posterior under the within-model prior, reweighted on each side of</w:t>
      </w:r>
      <w:r>
        <w:t xml:space="preserve"> </w:t>
      </w:r>
      <m:oMath>
        <m:r>
          <m:t>0</m:t>
        </m:r>
      </m:oMath>
      <w:r>
        <w:t xml:space="preserve"> </w:t>
      </w:r>
      <w:r>
        <w:t xml:space="preserve">by the same factors. When the posteriors of the</w:t>
      </w:r>
      <w:r>
        <w:t xml:space="preserve"> </w:t>
      </w:r>
      <m:oMath>
        <m:r>
          <m:t>m</m:t>
        </m:r>
      </m:oMath>
      <w:r>
        <w:t xml:space="preserve"> </w:t>
      </w:r>
      <w:r>
        <w:t xml:space="preserve">parameters are independent, as for independent tests, the reweighting of the other parameters does not affect the posterior of</w:t>
      </w:r>
      <w:r>
        <w:t xml:space="preserve"> </w:t>
      </w:r>
      <m:oMath>
        <m:sSub>
          <m:e>
            <m:r>
              <m:t>θ</m:t>
            </m:r>
          </m:e>
          <m:sub>
            <m:r>
              <m:t>i</m:t>
            </m:r>
          </m:sub>
        </m:sSub>
      </m:oMath>
      <w:r>
        <w:t xml:space="preserve">. Since the posterior odds are the Bayes factor multiplied by the prior odds, the posterior odds of</w:t>
      </w:r>
      <w:r>
        <w:t xml:space="preserve"> </w:t>
      </w:r>
      <m:oMath>
        <m:sSub>
          <m:e>
            <m:r>
              <m:t>H</m:t>
            </m:r>
          </m:e>
          <m:sub>
            <m:r>
              <m:rPr>
                <m:sty m:val="p"/>
              </m:rPr>
              <m:t>+</m:t>
            </m:r>
          </m:sub>
        </m:sSub>
      </m:oMath>
      <w:r>
        <w:t xml:space="preserve"> </w:t>
      </w:r>
      <w:r>
        <w:t xml:space="preserve">under a prior in</w:t>
      </w:r>
      <w:r>
        <w:t xml:space="preserve"> </w:t>
      </w:r>
      <m:oMath>
        <m:r>
          <m:rPr>
            <m:sty m:val="p"/>
          </m:rPr>
          <m:t>Γ</m:t>
        </m:r>
      </m:oMath>
      <w:r>
        <w:t xml:space="preserve"> </w:t>
      </w:r>
      <w:r>
        <w:t xml:space="preserve">are the Bayes factor</w:t>
      </w:r>
      <w:r>
        <w:t xml:space="preserve"> </w:t>
      </w:r>
      <m:oMath>
        <m:r>
          <m:t>p</m:t>
        </m:r>
        <m:sSub>
          <m:e>
            <m:r>
              <m:t>d</m:t>
            </m:r>
          </m:e>
          <m:sub>
            <m:r>
              <m:t>i</m:t>
            </m:r>
          </m:sub>
        </m:sSub>
        <m:r>
          <m:rPr>
            <m:sty m:val="p"/>
          </m:rPr>
          <m:t>/</m:t>
        </m:r>
        <m:r>
          <m:rPr>
            <m:sty m:val="p"/>
          </m:rPr>
          <m:t>(</m:t>
        </m:r>
        <m:r>
          <m:t>1</m:t>
        </m:r>
        <m:r>
          <m:rPr>
            <m:sty m:val="p"/>
          </m:rPr>
          <m:t>−</m:t>
        </m:r>
        <m:r>
          <m:t>p</m:t>
        </m:r>
        <m:sSub>
          <m:e>
            <m:r>
              <m:t>d</m:t>
            </m:r>
          </m:e>
          <m:sub>
            <m:r>
              <m:t>i</m:t>
            </m:r>
          </m:sub>
        </m:sSub>
        <m:r>
          <m:rPr>
            <m:sty m:val="p"/>
          </m:rPr>
          <m:t>)</m:t>
        </m:r>
      </m:oMath>
      <w:r>
        <w:t xml:space="preserve">, computed from the posterior under the within-model prior, multiplied by the prior odds of</w:t>
      </w:r>
      <w:r>
        <w:t xml:space="preserve"> </w:t>
      </w:r>
      <m:oMath>
        <m:sSub>
          <m:e>
            <m:r>
              <m:t>H</m:t>
            </m:r>
          </m:e>
          <m:sub>
            <m:r>
              <m:rPr>
                <m:sty m:val="p"/>
              </m:rPr>
              <m:t>+</m:t>
            </m:r>
          </m:sub>
        </m:sSub>
      </m:oMath>
      <w:r>
        <w:t xml:space="preserve"> </w:t>
      </w:r>
      <w:r>
        <w:t xml:space="preserve">under that prior, so that the model does not need to be refitted. They are smallest under the prior in</w:t>
      </w:r>
      <w:r>
        <w:t xml:space="preserve"> </w:t>
      </w:r>
      <m:oMath>
        <m:r>
          <m:rPr>
            <m:sty m:val="p"/>
          </m:rPr>
          <m:t>Γ</m:t>
        </m:r>
      </m:oMath>
      <w:r>
        <w:t xml:space="preserve"> </w:t>
      </w:r>
      <w:r>
        <w:t xml:space="preserve">most skeptical of the claim, which gives</w:t>
      </w:r>
      <w:r>
        <w:t xml:space="preserve"> </w:t>
      </w:r>
      <m:oMath>
        <m:sSub>
          <m:e>
            <m:r>
              <m:t>H</m:t>
            </m:r>
          </m:e>
          <m:sub>
            <m:r>
              <m:rPr>
                <m:sty m:val="p"/>
              </m:rPr>
              <m:t>+</m:t>
            </m:r>
          </m:sub>
        </m:sSub>
      </m:oMath>
      <w:r>
        <w:t xml:space="preserve"> </w:t>
      </w:r>
      <w:r>
        <w:t xml:space="preserve">prior probability</w:t>
      </w:r>
      <w:r>
        <w:t xml:space="preserve"> </w:t>
      </w:r>
      <m:oMath>
        <m:r>
          <m:t>1</m:t>
        </m:r>
        <m:r>
          <m:rPr>
            <m:sty m:val="p"/>
          </m:rPr>
          <m:t>−</m:t>
        </m:r>
        <m:sSub>
          <m:e>
            <m:r>
              <m:t>π</m:t>
            </m:r>
          </m:e>
          <m:sub>
            <m:r>
              <m:t>0</m:t>
            </m:r>
          </m:sub>
        </m:sSub>
      </m:oMath>
      <w:r>
        <w:t xml:space="preserve">, where they equal</w:t>
      </w:r>
    </w:p>
    <w:p>
      <w:pPr>
        <w:pStyle w:val="BodyText"/>
      </w:pPr>
      <m:oMathPara>
        <m:oMathParaPr>
          <m:jc m:val="center"/>
        </m:oMathParaPr>
        <m:oMath>
          <m:f>
            <m:fPr>
              <m:type m:val="bar"/>
            </m:fPr>
            <m:num>
              <m:r>
                <m:t>p</m:t>
              </m:r>
              <m:sSub>
                <m:e>
                  <m:r>
                    <m:t>d</m:t>
                  </m:r>
                </m:e>
                <m:sub>
                  <m:r>
                    <m:t>i</m:t>
                  </m:r>
                </m:sub>
              </m:sSub>
            </m:num>
            <m:den>
              <m:r>
                <m:t>1</m:t>
              </m:r>
              <m:r>
                <m:rPr>
                  <m:sty m:val="p"/>
                </m:rPr>
                <m:t>−</m:t>
              </m:r>
              <m:r>
                <m:t>p</m:t>
              </m:r>
              <m:sSub>
                <m:e>
                  <m:r>
                    <m:t>d</m:t>
                  </m:r>
                </m:e>
                <m:sub>
                  <m:r>
                    <m:t>i</m:t>
                  </m:r>
                </m:sub>
              </m:sSub>
            </m:den>
          </m:f>
          <m:r>
            <m:rPr>
              <m:sty m:val="p"/>
            </m:rPr>
            <m:t>×</m:t>
          </m:r>
          <m:f>
            <m:fPr>
              <m:type m:val="bar"/>
            </m:fPr>
            <m:num>
              <m:r>
                <m:t>1</m:t>
              </m:r>
              <m:r>
                <m:rPr>
                  <m:sty m:val="p"/>
                </m:rPr>
                <m:t>−</m:t>
              </m:r>
              <m:sSub>
                <m:e>
                  <m:r>
                    <m:t>π</m:t>
                  </m:r>
                </m:e>
                <m:sub>
                  <m:r>
                    <m:t>0</m:t>
                  </m:r>
                </m:sub>
              </m:sSub>
            </m:num>
            <m:den>
              <m:sSub>
                <m:e>
                  <m:r>
                    <m:t>π</m:t>
                  </m:r>
                </m:e>
                <m:sub>
                  <m:r>
                    <m:t>0</m:t>
                  </m:r>
                </m:sub>
              </m:sSub>
            </m:den>
          </m:f>
          <m:r>
            <m:rPr>
              <m:sty m:val="p"/>
            </m:rPr>
            <m:t>.</m:t>
          </m:r>
        </m:oMath>
      </m:oMathPara>
    </w:p>
    <w:p>
      <w:pPr>
        <w:pStyle w:val="FirstParagraph"/>
      </w:pPr>
      <w:r>
        <w:t xml:space="preserve">The priors between the two extremes therefore never decide whether a claim holds under every prior in</w:t>
      </w:r>
      <w:r>
        <w:t xml:space="preserve"> </w:t>
      </w:r>
      <m:oMath>
        <m:r>
          <m:rPr>
            <m:sty m:val="p"/>
          </m:rPr>
          <m:t>Γ</m:t>
        </m:r>
      </m:oMath>
      <w:r>
        <w:t xml:space="preserve">. When the posteriors are correlated, reweighting the other parameters can lower the posterior probability of the claim further, so that its smallest value over</w:t>
      </w:r>
      <w:r>
        <w:t xml:space="preserve"> </w:t>
      </w:r>
      <m:oMath>
        <m:r>
          <m:rPr>
            <m:sty m:val="p"/>
          </m:rPr>
          <m:t>Γ</m:t>
        </m:r>
      </m:oMath>
      <w:r>
        <w:t xml:space="preserve"> </w:t>
      </w:r>
      <w:r>
        <w:t xml:space="preserve">is at or below this one.</w:t>
      </w:r>
    </w:p>
    <w:p>
      <w:pPr>
        <w:pStyle w:val="BodyText"/>
      </w:pPr>
      <w:r>
        <w:t xml:space="preserve">We accept a claim only if its posterior probability exceeds</w:t>
      </w:r>
      <w:r>
        <w:t xml:space="preserve"> </w:t>
      </w:r>
      <m:oMath>
        <m:r>
          <m:t>c</m:t>
        </m:r>
      </m:oMath>
      <w:r>
        <w:t xml:space="preserve"> </w:t>
      </w:r>
      <w:r>
        <w:t xml:space="preserve">under every prior in</w:t>
      </w:r>
      <w:r>
        <w:t xml:space="preserve"> </w:t>
      </w:r>
      <m:oMath>
        <m:r>
          <m:rPr>
            <m:sty m:val="p"/>
          </m:rPr>
          <m:t>Γ</m:t>
        </m:r>
      </m:oMath>
      <w:r>
        <w:t xml:space="preserve">. With independent posteriors, the smallest of these probabilities is the posterior probability of</w:t>
      </w:r>
      <w:r>
        <w:t xml:space="preserve"> </w:t>
      </w:r>
      <m:oMath>
        <m:sSub>
          <m:e>
            <m:r>
              <m:t>H</m:t>
            </m:r>
          </m:e>
          <m:sub>
            <m:r>
              <m:rPr>
                <m:sty m:val="p"/>
              </m:rPr>
              <m:t>+</m:t>
            </m:r>
          </m:sub>
        </m:sSub>
      </m:oMath>
      <w:r>
        <w:t xml:space="preserve"> </w:t>
      </w:r>
      <w:r>
        <w:t xml:space="preserve">under the most skeptical prior,</w:t>
      </w:r>
    </w:p>
    <w:p>
      <w:pPr>
        <w:pStyle w:val="BodyText"/>
      </w:pPr>
      <m:oMathPara>
        <m:oMathParaPr>
          <m:jc m:val="center"/>
        </m:oMathParaPr>
        <m:oMath>
          <m:r>
            <m:t>p</m:t>
          </m:r>
          <m:sSub>
            <m:e>
              <m:r>
                <m:t>d</m:t>
              </m:r>
            </m:e>
            <m:sub>
              <m:r>
                <m:rPr>
                  <m:nor/>
                  <m:sty m:val="p"/>
                </m:rPr>
                <m:t>adj</m:t>
              </m:r>
              <m:r>
                <m:rPr>
                  <m:sty m:val="p"/>
                </m:rPr>
                <m:t>,</m:t>
              </m:r>
              <m:r>
                <m:t>i</m:t>
              </m:r>
            </m:sub>
          </m:sSub>
          <m:r>
            <m:rPr>
              <m:sty m:val="p"/>
            </m:rPr>
            <m:t>=</m:t>
          </m:r>
          <m:f>
            <m:fPr>
              <m:type m:val="bar"/>
            </m:fPr>
            <m:num>
              <m:r>
                <m:t>p</m:t>
              </m:r>
              <m:sSub>
                <m:e>
                  <m:r>
                    <m:t>d</m:t>
                  </m:r>
                </m:e>
                <m:sub>
                  <m:r>
                    <m:t>i</m:t>
                  </m:r>
                </m:sub>
              </m:sSub>
              <m:r>
                <m:t> </m:t>
              </m:r>
              <m:r>
                <m:rPr>
                  <m:sty m:val="p"/>
                </m:rPr>
                <m:t>(</m:t>
              </m:r>
              <m:r>
                <m:t>1</m:t>
              </m:r>
              <m:r>
                <m:rPr>
                  <m:sty m:val="p"/>
                </m:rPr>
                <m:t>−</m:t>
              </m:r>
              <m:sSub>
                <m:e>
                  <m:r>
                    <m:t>π</m:t>
                  </m:r>
                </m:e>
                <m:sub>
                  <m:r>
                    <m:t>0</m:t>
                  </m:r>
                </m:sub>
              </m:sSub>
              <m:r>
                <m:rPr>
                  <m:sty m:val="p"/>
                </m:rPr>
                <m:t>)</m:t>
              </m:r>
            </m:num>
            <m:den>
              <m:r>
                <m:t>p</m:t>
              </m:r>
              <m:sSub>
                <m:e>
                  <m:r>
                    <m:t>d</m:t>
                  </m:r>
                </m:e>
                <m:sub>
                  <m:r>
                    <m:t>i</m:t>
                  </m:r>
                </m:sub>
              </m:sSub>
              <m:r>
                <m:t> </m:t>
              </m:r>
              <m:r>
                <m:rPr>
                  <m:sty m:val="p"/>
                </m:rPr>
                <m:t>(</m:t>
              </m:r>
              <m:r>
                <m:t>1</m:t>
              </m:r>
              <m:r>
                <m:rPr>
                  <m:sty m:val="p"/>
                </m:rPr>
                <m:t>−</m:t>
              </m:r>
              <m:sSub>
                <m:e>
                  <m:r>
                    <m:t>π</m:t>
                  </m:r>
                </m:e>
                <m:sub>
                  <m:r>
                    <m:t>0</m:t>
                  </m:r>
                </m:sub>
              </m:sSub>
              <m:r>
                <m:rPr>
                  <m:sty m:val="p"/>
                </m:rPr>
                <m:t>)</m:t>
              </m:r>
              <m:r>
                <m:rPr>
                  <m:sty m:val="p"/>
                </m:rPr>
                <m:t>+</m:t>
              </m:r>
              <m:r>
                <m:rPr>
                  <m:sty m:val="p"/>
                </m:rPr>
                <m:t>(</m:t>
              </m:r>
              <m:r>
                <m:t>1</m:t>
              </m:r>
              <m:r>
                <m:rPr>
                  <m:sty m:val="p"/>
                </m:rPr>
                <m:t>−</m:t>
              </m:r>
              <m:r>
                <m:t>p</m:t>
              </m:r>
              <m:sSub>
                <m:e>
                  <m:r>
                    <m:t>d</m:t>
                  </m:r>
                </m:e>
                <m:sub>
                  <m:r>
                    <m:t>i</m:t>
                  </m:r>
                </m:sub>
              </m:sSub>
              <m:r>
                <m:rPr>
                  <m:sty m:val="p"/>
                </m:rPr>
                <m:t>)</m:t>
              </m:r>
              <m:r>
                <m:t> </m:t>
              </m:r>
              <m:sSub>
                <m:e>
                  <m:r>
                    <m:t>π</m:t>
                  </m:r>
                </m:e>
                <m:sub>
                  <m:r>
                    <m:t>0</m:t>
                  </m:r>
                </m:sub>
              </m:sSub>
            </m:den>
          </m:f>
          <m:r>
            <m:rPr>
              <m:sty m:val="p"/>
            </m:rPr>
            <m:t>,</m:t>
          </m:r>
        </m:oMath>
      </m:oMathPara>
    </w:p>
    <w:p>
      <w:pPr>
        <w:pStyle w:val="FirstParagraph"/>
      </w:pPr>
      <w:r>
        <w:t xml:space="preserve">and under the same prior</w:t>
      </w:r>
      <w:r>
        <w:t xml:space="preserve"> </w:t>
      </w:r>
      <m:oMath>
        <m:sSub>
          <m:e>
            <m:r>
              <m:t>H</m:t>
            </m:r>
          </m:e>
          <m:sub>
            <m:r>
              <m:rPr>
                <m:sty m:val="p"/>
              </m:rPr>
              <m:t>−</m:t>
            </m:r>
            <m:r>
              <m:t>0</m:t>
            </m:r>
          </m:sub>
        </m:sSub>
      </m:oMath>
      <w:r>
        <w:t xml:space="preserve"> </w:t>
      </w:r>
      <w:r>
        <w:t xml:space="preserve">has posterior probability</w:t>
      </w:r>
      <w:r>
        <w:t xml:space="preserve"> </w:t>
      </w:r>
      <m:oMath>
        <m:r>
          <m:t>1</m:t>
        </m:r>
        <m:r>
          <m:rPr>
            <m:sty m:val="p"/>
          </m:rPr>
          <m:t>−</m:t>
        </m:r>
        <m:r>
          <m:t>p</m:t>
        </m:r>
        <m:sSub>
          <m:e>
            <m:r>
              <m:t>d</m:t>
            </m:r>
          </m:e>
          <m:sub>
            <m:r>
              <m:rPr>
                <m:nor/>
                <m:sty m:val="p"/>
              </m:rPr>
              <m:t>adj</m:t>
            </m:r>
            <m:r>
              <m:rPr>
                <m:sty m:val="p"/>
              </m:rPr>
              <m:t>,</m:t>
            </m:r>
            <m:r>
              <m:t>i</m:t>
            </m:r>
          </m:sub>
        </m:sSub>
      </m:oMath>
      <w:r>
        <w:t xml:space="preserve">, so that the two sum to one. A claim is accepted when</w:t>
      </w:r>
      <w:r>
        <w:t xml:space="preserve"> </w:t>
      </w:r>
      <m:oMath>
        <m:r>
          <m:t>p</m:t>
        </m:r>
        <m:sSub>
          <m:e>
            <m:r>
              <m:t>d</m:t>
            </m:r>
          </m:e>
          <m:sub>
            <m:r>
              <m:rPr>
                <m:nor/>
                <m:sty m:val="p"/>
              </m:rPr>
              <m:t>adj</m:t>
            </m:r>
            <m:r>
              <m:rPr>
                <m:sty m:val="p"/>
              </m:rPr>
              <m:t>,</m:t>
            </m:r>
            <m:r>
              <m:t>i</m:t>
            </m:r>
          </m:sub>
        </m:sSub>
        <m:r>
          <m:rPr>
            <m:sty m:val="p"/>
          </m:rPr>
          <m:t>&gt;</m:t>
        </m:r>
        <m:r>
          <m:t>c</m:t>
        </m:r>
      </m:oMath>
      <w:r>
        <w:t xml:space="preserve">, which is equivalent to requiring</w:t>
      </w:r>
    </w:p>
    <w:p>
      <w:pPr>
        <w:pStyle w:val="BodyText"/>
      </w:pPr>
      <m:oMathPara>
        <m:oMathParaPr>
          <m:jc m:val="center"/>
        </m:oMathParaPr>
        <m:oMath>
          <m:r>
            <m:t>p</m:t>
          </m:r>
          <m:sSub>
            <m:e>
              <m:r>
                <m:t>d</m:t>
              </m:r>
            </m:e>
            <m:sub>
              <m:r>
                <m:t>i</m:t>
              </m:r>
            </m:sub>
          </m:sSub>
          <m:r>
            <m:rPr>
              <m:sty m:val="p"/>
            </m:rPr>
            <m:t>&gt;</m:t>
          </m:r>
          <m:sSup>
            <m:e>
              <m:r>
                <m:t>c</m:t>
              </m:r>
            </m:e>
            <m:sup>
              <m:r>
                <m:rPr>
                  <m:sty m:val="p"/>
                </m:rPr>
                <m:t>*</m:t>
              </m:r>
            </m:sup>
          </m:sSup>
          <m:r>
            <m:rPr>
              <m:sty m:val="p"/>
            </m:rPr>
            <m:t>,</m:t>
          </m:r>
          <m:r>
            <m:t>  </m:t>
          </m:r>
          <m:sSup>
            <m:e>
              <m:r>
                <m:t>c</m:t>
              </m:r>
            </m:e>
            <m:sup>
              <m:r>
                <m:rPr>
                  <m:sty m:val="p"/>
                </m:rPr>
                <m:t>*</m:t>
              </m:r>
            </m:sup>
          </m:sSup>
          <m:r>
            <m:rPr>
              <m:sty m:val="p"/>
            </m:rPr>
            <m:t>=</m:t>
          </m:r>
          <m:f>
            <m:fPr>
              <m:type m:val="bar"/>
            </m:fPr>
            <m:num>
              <m:r>
                <m:t>c</m:t>
              </m:r>
              <m:r>
                <m:t> </m:t>
              </m:r>
              <m:sSub>
                <m:e>
                  <m:r>
                    <m:t>π</m:t>
                  </m:r>
                </m:e>
                <m:sub>
                  <m:r>
                    <m:t>0</m:t>
                  </m:r>
                </m:sub>
              </m:sSub>
            </m:num>
            <m:den>
              <m:r>
                <m:rPr>
                  <m:sty m:val="p"/>
                </m:rPr>
                <m:t>(</m:t>
              </m:r>
              <m:r>
                <m:t>1</m:t>
              </m:r>
              <m:r>
                <m:rPr>
                  <m:sty m:val="p"/>
                </m:rPr>
                <m:t>−</m:t>
              </m:r>
              <m:r>
                <m:t>c</m:t>
              </m:r>
              <m:r>
                <m:rPr>
                  <m:sty m:val="p"/>
                </m:rPr>
                <m:t>)</m:t>
              </m:r>
              <m:r>
                <m:rPr>
                  <m:sty m:val="p"/>
                </m:rPr>
                <m:t>(</m:t>
              </m:r>
              <m:r>
                <m:t>1</m:t>
              </m:r>
              <m:r>
                <m:rPr>
                  <m:sty m:val="p"/>
                </m:rPr>
                <m:t>−</m:t>
              </m:r>
              <m:sSub>
                <m:e>
                  <m:r>
                    <m:t>π</m:t>
                  </m:r>
                </m:e>
                <m:sub>
                  <m:r>
                    <m:t>0</m:t>
                  </m:r>
                </m:sub>
              </m:sSub>
              <m:r>
                <m:rPr>
                  <m:sty m:val="p"/>
                </m:rPr>
                <m:t>)</m:t>
              </m:r>
              <m:r>
                <m:rPr>
                  <m:sty m:val="p"/>
                </m:rPr>
                <m:t>+</m:t>
              </m:r>
              <m:r>
                <m:t>c</m:t>
              </m:r>
              <m:r>
                <m:t> </m:t>
              </m:r>
              <m:sSub>
                <m:e>
                  <m:r>
                    <m:t>π</m:t>
                  </m:r>
                </m:e>
                <m:sub>
                  <m:r>
                    <m:t>0</m:t>
                  </m:r>
                </m:sub>
              </m:sSub>
            </m:den>
          </m:f>
          <m:r>
            <m:rPr>
              <m:sty m:val="p"/>
            </m:rPr>
            <m:t>,</m:t>
          </m:r>
        </m:oMath>
      </m:oMathPara>
    </w:p>
    <w:p>
      <w:pPr>
        <w:pStyle w:val="FirstParagraph"/>
      </w:pPr>
      <w:r>
        <w:t xml:space="preserve">with</w:t>
      </w:r>
      <w:r>
        <w:t xml:space="preserve"> </w:t>
      </w:r>
      <m:oMath>
        <m:sSup>
          <m:e>
            <m:r>
              <m:t>c</m:t>
            </m:r>
          </m:e>
          <m:sup>
            <m:r>
              <m:rPr>
                <m:sty m:val="p"/>
              </m:rPr>
              <m:t>*</m:t>
            </m:r>
          </m:sup>
        </m:sSup>
        <m:r>
          <m:rPr>
            <m:sty m:val="p"/>
          </m:rPr>
          <m:t>&gt;</m:t>
        </m:r>
        <m:r>
          <m:t>c</m:t>
        </m:r>
      </m:oMath>
      <w:r>
        <w:t xml:space="preserve"> </w:t>
      </w:r>
      <w:r>
        <w:t xml:space="preserve">whenever</w:t>
      </w:r>
      <w:r>
        <w:t xml:space="preserve"> </w:t>
      </w:r>
      <m:oMath>
        <m:sSub>
          <m:e>
            <m:r>
              <m:t>π</m:t>
            </m:r>
          </m:e>
          <m:sub>
            <m:r>
              <m:t>0</m:t>
            </m:r>
          </m:sub>
        </m:sSub>
        <m:r>
          <m:rPr>
            <m:sty m:val="p"/>
          </m:rPr>
          <m:t>&gt;</m:t>
        </m:r>
        <m:r>
          <m:t>.5</m:t>
        </m:r>
      </m:oMath>
      <w:r>
        <w:t xml:space="preserve">. The rule can therefore be stated either as the posterior probability</w:t>
      </w:r>
      <w:r>
        <w:t xml:space="preserve"> </w:t>
      </w:r>
      <m:oMath>
        <m:r>
          <m:t>p</m:t>
        </m:r>
        <m:sSub>
          <m:e>
            <m:r>
              <m:t>d</m:t>
            </m:r>
          </m:e>
          <m:sub>
            <m:r>
              <m:rPr>
                <m:nor/>
                <m:sty m:val="p"/>
              </m:rPr>
              <m:t>adj</m:t>
            </m:r>
            <m:r>
              <m:rPr>
                <m:sty m:val="p"/>
              </m:rPr>
              <m:t>,</m:t>
            </m:r>
            <m:r>
              <m:t>i</m:t>
            </m:r>
          </m:sub>
        </m:sSub>
      </m:oMath>
      <w:r>
        <w:t xml:space="preserve"> </w:t>
      </w:r>
      <w:r>
        <w:t xml:space="preserve">compared with</w:t>
      </w:r>
      <w:r>
        <w:t xml:space="preserve"> </w:t>
      </w:r>
      <m:oMath>
        <m:r>
          <m:t>c</m:t>
        </m:r>
      </m:oMath>
      <w:r>
        <w:t xml:space="preserve"> </w:t>
      </w:r>
      <w:r>
        <w:t xml:space="preserve">or as</w:t>
      </w:r>
      <w:r>
        <w:t xml:space="preserve"> </w:t>
      </w:r>
      <m:oMath>
        <m:r>
          <m:t>p</m:t>
        </m:r>
        <m:sSub>
          <m:e>
            <m:r>
              <m:t>d</m:t>
            </m:r>
          </m:e>
          <m:sub>
            <m:r>
              <m:t>i</m:t>
            </m:r>
          </m:sub>
        </m:sSub>
      </m:oMath>
      <w:r>
        <w:t xml:space="preserve"> </w:t>
      </w:r>
      <w:r>
        <w:t xml:space="preserve">compared with the raised threshold</w:t>
      </w:r>
      <w:r>
        <w:t xml:space="preserve"> </w:t>
      </w:r>
      <m:oMath>
        <m:sSup>
          <m:e>
            <m:r>
              <m:t>c</m:t>
            </m:r>
          </m:e>
          <m:sup>
            <m:r>
              <m:rPr>
                <m:sty m:val="p"/>
              </m:rPr>
              <m:t>*</m:t>
            </m:r>
          </m:sup>
        </m:sSup>
      </m:oMath>
      <w:r>
        <w:t xml:space="preserve">; the accompanying R package reports both. Because</w:t>
      </w:r>
      <w:r>
        <w:t xml:space="preserve"> </w:t>
      </w:r>
      <m:oMath>
        <m:sSup>
          <m:e>
            <m:r>
              <m:t>c</m:t>
            </m:r>
          </m:e>
          <m:sup>
            <m:r>
              <m:rPr>
                <m:sty m:val="p"/>
              </m:rPr>
              <m:t>*</m:t>
            </m:r>
          </m:sup>
        </m:sSup>
        <m:r>
          <m:rPr>
            <m:sty m:val="p"/>
          </m:rPr>
          <m:t>&gt;</m:t>
        </m:r>
        <m:r>
          <m:t>.5</m:t>
        </m:r>
      </m:oMath>
      <w:r>
        <w:t xml:space="preserve">, at most one direction can satisfy this condition, namely the direction favored by the posterior. In what follows we use the rule</w:t>
      </w:r>
      <w:r>
        <w:t xml:space="preserve"> </w:t>
      </w:r>
      <m:oMath>
        <m:r>
          <m:t>p</m:t>
        </m:r>
        <m:sSub>
          <m:e>
            <m:r>
              <m:t>d</m:t>
            </m:r>
          </m:e>
          <m:sub>
            <m:r>
              <m:t>i</m:t>
            </m:r>
          </m:sub>
        </m:sSub>
        <m:r>
          <m:rPr>
            <m:sty m:val="p"/>
          </m:rPr>
          <m:t>&gt;</m:t>
        </m:r>
        <m:sSup>
          <m:e>
            <m:r>
              <m:t>c</m:t>
            </m:r>
          </m:e>
          <m:sup>
            <m:r>
              <m:rPr>
                <m:sty m:val="p"/>
              </m:rPr>
              <m:t>*</m:t>
            </m:r>
          </m:sup>
        </m:sSup>
      </m:oMath>
      <w:r>
        <w:t xml:space="preserve">, which is exact for independent posteriors and, with correlated posteriors, less stringent than the bound over</w:t>
      </w:r>
      <w:r>
        <w:t xml:space="preserve"> </w:t>
      </w:r>
      <m:oMath>
        <m:r>
          <m:rPr>
            <m:sty m:val="p"/>
          </m:rPr>
          <m:t>Γ</m:t>
        </m:r>
      </m:oMath>
      <w:r>
        <w:t xml:space="preserve">.</w:t>
      </w:r>
      <w:r>
        <w:t xml:space="preserve"> </w:t>
      </w:r>
      <m:oMath>
        <m:r>
          <m:rPr>
            <m:sty m:val="p"/>
          </m:rPr>
          <m:t>Γ</m:t>
        </m:r>
      </m:oMath>
      <w:r>
        <w:t xml:space="preserve"> </w:t>
      </w:r>
      <w:r>
        <w:t xml:space="preserve">and</w:t>
      </w:r>
      <w:r>
        <w:t xml:space="preserve"> </w:t>
      </w:r>
      <m:oMath>
        <m:sSup>
          <m:e>
            <m:r>
              <m:t>c</m:t>
            </m:r>
          </m:e>
          <m:sup>
            <m:r>
              <m:rPr>
                <m:sty m:val="p"/>
              </m:rPr>
              <m:t>*</m:t>
            </m:r>
          </m:sup>
        </m:sSup>
      </m:oMath>
      <w:r>
        <w:t xml:space="preserve"> </w:t>
      </w:r>
      <w:r>
        <w:t xml:space="preserve">are set before the data and are the same for a positive and a negative claim; the data only decide which direction is claimed, and hence which prior in</w:t>
      </w:r>
      <w:r>
        <w:t xml:space="preserve"> </w:t>
      </w:r>
      <m:oMath>
        <m:r>
          <m:rPr>
            <m:sty m:val="p"/>
          </m:rPr>
          <m:t>Γ</m:t>
        </m:r>
      </m:oMath>
      <w:r>
        <w:t xml:space="preserve"> </w:t>
      </w:r>
      <w:r>
        <w:t xml:space="preserve">gives that claim the lowest probability, the prior under which</w:t>
      </w:r>
      <w:r>
        <w:t xml:space="preserve"> </w:t>
      </w:r>
      <m:oMath>
        <m:r>
          <m:t>p</m:t>
        </m:r>
        <m:sSub>
          <m:e>
            <m:r>
              <m:t>d</m:t>
            </m:r>
          </m:e>
          <m:sub>
            <m:r>
              <m:rPr>
                <m:nor/>
                <m:sty m:val="p"/>
              </m:rPr>
              <m:t>adj</m:t>
            </m:r>
            <m:r>
              <m:rPr>
                <m:sty m:val="p"/>
              </m:rPr>
              <m:t>,</m:t>
            </m:r>
            <m:r>
              <m:t>i</m:t>
            </m:r>
          </m:sub>
        </m:sSub>
      </m:oMath>
      <w:r>
        <w:t xml:space="preserve"> </w:t>
      </w:r>
      <w:r>
        <w:t xml:space="preserve">is computed. Taking the smallest posterior probability over a class of priors is the approach of robust Bayesian analysis</w:t>
      </w:r>
      <w:r>
        <w:t xml:space="preserve"> </w:t>
      </w:r>
      <w:r>
        <w:t xml:space="preserve">(</w:t>
      </w:r>
      <w:hyperlink w:anchor="ref-Berger1994">
        <w:r>
          <w:rPr>
            <w:rStyle w:val="Hyperlink"/>
          </w:rPr>
          <w:t xml:space="preserve">Berger, 1994</w:t>
        </w:r>
      </w:hyperlink>
      <w:r>
        <w:t xml:space="preserve">)</w:t>
      </w:r>
      <w:r>
        <w:t xml:space="preserve">. For one-sided hypotheses,</w:t>
      </w:r>
      <w:r>
        <w:t xml:space="preserve"> </w:t>
      </w:r>
      <w:r>
        <w:t xml:space="preserve">Casella and Berger (</w:t>
      </w:r>
      <w:hyperlink w:anchor="ref-Casella1987">
        <w:r>
          <w:rPr>
            <w:rStyle w:val="Hyperlink"/>
          </w:rPr>
          <w:t xml:space="preserve">1987</w:t>
        </w:r>
      </w:hyperlink>
      <w:r>
        <w:t xml:space="preserve">)</w:t>
      </w:r>
      <w:r>
        <w:t xml:space="preserve"> </w:t>
      </w:r>
      <w:r>
        <w:t xml:space="preserve">obtained such bounds over classes of priors symmetric about the null value, which keep the prior odds of the two directions at one; the class</w:t>
      </w:r>
      <w:r>
        <w:t xml:space="preserve"> </w:t>
      </w:r>
      <m:oMath>
        <m:r>
          <m:rPr>
            <m:sty m:val="p"/>
          </m:rPr>
          <m:t>Γ</m:t>
        </m:r>
      </m:oMath>
      <w:r>
        <w:t xml:space="preserve"> </w:t>
      </w:r>
      <w:r>
        <w:t xml:space="preserve">varies exactly these odds. Since</w:t>
      </w:r>
      <w:r>
        <w:t xml:space="preserve"> </w:t>
      </w:r>
      <m:oMath>
        <m:sSup>
          <m:e>
            <m:r>
              <m:t>c</m:t>
            </m:r>
          </m:e>
          <m:sup>
            <m:r>
              <m:rPr>
                <m:sty m:val="p"/>
              </m:rPr>
              <m:t>*</m:t>
            </m:r>
          </m:sup>
        </m:sSup>
      </m:oMath>
      <w:r>
        <w:t xml:space="preserve"> </w:t>
      </w:r>
      <w:r>
        <w:t xml:space="preserve">increases with</w:t>
      </w:r>
      <w:r>
        <w:t xml:space="preserve"> </w:t>
      </w:r>
      <m:oMath>
        <m:sSub>
          <m:e>
            <m:r>
              <m:t>π</m:t>
            </m:r>
          </m:e>
          <m:sub>
            <m:r>
              <m:t>0</m:t>
            </m:r>
          </m:sub>
        </m:sSub>
      </m:oMath>
      <w:r>
        <w:t xml:space="preserve">, a larger</w:t>
      </w:r>
      <w:r>
        <w:t xml:space="preserve"> </w:t>
      </w:r>
      <m:oMath>
        <m:sSub>
          <m:e>
            <m:r>
              <m:t>π</m:t>
            </m:r>
          </m:e>
          <m:sub>
            <m:r>
              <m:t>0</m:t>
            </m:r>
          </m:sub>
        </m:sSub>
      </m:oMath>
      <w:r>
        <w:t xml:space="preserve"> </w:t>
      </w:r>
      <w:r>
        <w:t xml:space="preserve">requires stronger posterior evidence to claim a direction</w:t>
      </w:r>
      <w:r>
        <w:t xml:space="preserve"> </w:t>
      </w:r>
      <w:r>
        <w:t xml:space="preserve">(</w:t>
      </w:r>
      <w:hyperlink w:anchor="ref-Benjamin2017">
        <w:r>
          <w:rPr>
            <w:rStyle w:val="Hyperlink"/>
          </w:rPr>
          <w:t xml:space="preserve">Benjamin et al., 2017</w:t>
        </w:r>
      </w:hyperlink>
      <w:r>
        <w:t xml:space="preserve">)</w:t>
      </w:r>
      <w:r>
        <w:t xml:space="preserve">.</w:t>
      </w:r>
      <w:r>
        <w:t xml:space="preserve"> </w:t>
      </w:r>
      <w:hyperlink w:anchor="fig-rule">
        <w:r>
          <w:rPr>
            <w:rStyle w:val="Hyperlink"/>
          </w:rPr>
          <w:t xml:space="preserve">Figure 4</w:t>
        </w:r>
      </w:hyperlink>
      <w:r>
        <w:t xml:space="preserve">, Panel A, illustrates the rule for</w:t>
      </w:r>
      <w:r>
        <w:t xml:space="preserve"> </w:t>
      </w:r>
      <m:oMath>
        <m:sSub>
          <m:e>
            <m:r>
              <m:t>π</m:t>
            </m:r>
          </m:e>
          <m:sub>
            <m:r>
              <m:t>0</m:t>
            </m:r>
          </m:sub>
        </m:sSub>
        <m:r>
          <m:rPr>
            <m:sty m:val="p"/>
          </m:rPr>
          <m:t>=</m:t>
        </m:r>
        <m:r>
          <m:t>.7</m:t>
        </m:r>
      </m:oMath>
      <w:r>
        <w:t xml:space="preserve">, for which</w:t>
      </w:r>
      <w:r>
        <w:t xml:space="preserve"> </w:t>
      </w:r>
      <m:oMath>
        <m:sSup>
          <m:e>
            <m:r>
              <m:t>c</m:t>
            </m:r>
          </m:e>
          <m:sup>
            <m:r>
              <m:rPr>
                <m:sty m:val="p"/>
              </m:rPr>
              <m:t>*</m:t>
            </m:r>
          </m:sup>
        </m:sSup>
        <m:r>
          <m:rPr>
            <m:sty m:val="p"/>
          </m:rPr>
          <m:t>=</m:t>
        </m:r>
        <m:r>
          <m:t>.989</m:t>
        </m:r>
      </m:oMath>
      <w:r>
        <w:t xml:space="preserve">: each bar spans the posterior probability of</w:t>
      </w:r>
      <w:r>
        <w:t xml:space="preserve"> </w:t>
      </w:r>
      <m:oMath>
        <m:r>
          <m:t>θ</m:t>
        </m:r>
        <m:r>
          <m:rPr>
            <m:sty m:val="p"/>
          </m:rPr>
          <m:t>&gt;</m:t>
        </m:r>
        <m:r>
          <m:t>0</m:t>
        </m:r>
      </m:oMath>
      <w:r>
        <w:t xml:space="preserve"> </w:t>
      </w:r>
      <w:r>
        <w:t xml:space="preserve">across</w:t>
      </w:r>
      <w:r>
        <w:t xml:space="preserve"> </w:t>
      </w:r>
      <m:oMath>
        <m:r>
          <m:rPr>
            <m:sty m:val="p"/>
          </m:rPr>
          <m:t>Γ</m:t>
        </m:r>
      </m:oMath>
      <w:r>
        <w:t xml:space="preserve">, its left end is</w:t>
      </w:r>
      <w:r>
        <w:t xml:space="preserve"> </w:t>
      </w:r>
      <m:oMath>
        <m:r>
          <m:t>p</m:t>
        </m:r>
        <m:sSub>
          <m:e>
            <m:r>
              <m:t>d</m:t>
            </m:r>
          </m:e>
          <m:sub>
            <m:r>
              <m:rPr>
                <m:nor/>
                <m:sty m:val="p"/>
              </m:rPr>
              <m:t>adj</m:t>
            </m:r>
          </m:sub>
        </m:sSub>
      </m:oMath>
      <w:r>
        <w:t xml:space="preserve">, and the circle, its value under the within-model prior, lies inside the bar because that prior belongs to</w:t>
      </w:r>
      <w:r>
        <w:t xml:space="preserve"> </w:t>
      </w:r>
      <m:oMath>
        <m:r>
          <m:rPr>
            <m:sty m:val="p"/>
          </m:rPr>
          <m:t>Γ</m:t>
        </m:r>
      </m:oMath>
      <w:r>
        <w:t xml:space="preserve">. A parameter with</w:t>
      </w:r>
      <w:r>
        <w:t xml:space="preserve"> </w:t>
      </w:r>
      <m:oMath>
        <m:r>
          <m:t>p</m:t>
        </m:r>
        <m:r>
          <m:t>d</m:t>
        </m:r>
        <m:r>
          <m:rPr>
            <m:sty m:val="p"/>
          </m:rPr>
          <m:t>=</m:t>
        </m:r>
        <m:r>
          <m:t>.980</m:t>
        </m:r>
      </m:oMath>
      <w:r>
        <w:t xml:space="preserve"> </w:t>
      </w:r>
      <w:r>
        <w:t xml:space="preserve">exceeds</w:t>
      </w:r>
      <w:r>
        <w:t xml:space="preserve"> </w:t>
      </w:r>
      <m:oMath>
        <m:r>
          <m:t>c</m:t>
        </m:r>
        <m:r>
          <m:rPr>
            <m:sty m:val="p"/>
          </m:rPr>
          <m:t>=</m:t>
        </m:r>
        <m:r>
          <m:t>.975</m:t>
        </m:r>
      </m:oMath>
      <w:r>
        <w:t xml:space="preserve"> </w:t>
      </w:r>
      <w:r>
        <w:t xml:space="preserve">under the within-model prior but not under every prior in</w:t>
      </w:r>
      <w:r>
        <w:t xml:space="preserve"> </w:t>
      </w:r>
      <m:oMath>
        <m:r>
          <m:rPr>
            <m:sty m:val="p"/>
          </m:rPr>
          <m:t>Γ</m:t>
        </m:r>
      </m:oMath>
      <w:r>
        <w:t xml:space="preserve"> </w:t>
      </w:r>
      <w:r>
        <w:t xml:space="preserve">(</w:t>
      </w:r>
      <m:oMath>
        <m:r>
          <m:t>p</m:t>
        </m:r>
        <m:sSub>
          <m:e>
            <m:r>
              <m:t>d</m:t>
            </m:r>
          </m:e>
          <m:sub>
            <m:r>
              <m:rPr>
                <m:nor/>
                <m:sty m:val="p"/>
              </m:rPr>
              <m:t>adj</m:t>
            </m:r>
          </m:sub>
        </m:sSub>
        <m:r>
          <m:rPr>
            <m:sty m:val="p"/>
          </m:rPr>
          <m:t>=</m:t>
        </m:r>
        <m:r>
          <m:t>.955</m:t>
        </m:r>
      </m:oMath>
      <w:r>
        <w:t xml:space="preserve">), so no claim is made, whereas parameters with</w:t>
      </w:r>
      <w:r>
        <w:t xml:space="preserve"> </w:t>
      </w:r>
      <m:oMath>
        <m:r>
          <m:t>p</m:t>
        </m:r>
        <m:r>
          <m:t>d</m:t>
        </m:r>
        <m:r>
          <m:rPr>
            <m:sty m:val="p"/>
          </m:rPr>
          <m:t>=</m:t>
        </m:r>
        <m:r>
          <m:t>.990</m:t>
        </m:r>
      </m:oMath>
      <w:r>
        <w:t xml:space="preserve"> </w:t>
      </w:r>
      <w:r>
        <w:t xml:space="preserve">and</w:t>
      </w:r>
      <w:r>
        <w:t xml:space="preserve"> </w:t>
      </w:r>
      <m:oMath>
        <m:r>
          <m:t>p</m:t>
        </m:r>
        <m:r>
          <m:t>d</m:t>
        </m:r>
        <m:r>
          <m:rPr>
            <m:sty m:val="p"/>
          </m:rPr>
          <m:t>=</m:t>
        </m:r>
        <m:r>
          <m:t>.999</m:t>
        </m:r>
      </m:oMath>
      <w:r>
        <w:t xml:space="preserve"> </w:t>
      </w:r>
      <w:r>
        <w:t xml:space="preserve">are claimed. The bars are shorter for larger</w:t>
      </w:r>
      <w:r>
        <w:t xml:space="preserve"> </w:t>
      </w:r>
      <m:oMath>
        <m:r>
          <m:t>p</m:t>
        </m:r>
        <m:r>
          <m:t>d</m:t>
        </m:r>
      </m:oMath>
      <w:r>
        <w:t xml:space="preserve"> </w:t>
      </w:r>
      <w:r>
        <w:t xml:space="preserve">because lowering the prior odds by the same factor changes a posterior probability close to 1 by less.</w:t>
      </w:r>
    </w:p>
    <w:bookmarkStart w:id="68" w:name="fig-rule"/>
    <w:p>
      <w:pPr>
        <w:pStyle w:val="FigureTitle"/>
      </w:pPr>
      <w:r>
        <w:t xml:space="preserve">Figure 4</w:t>
      </w:r>
    </w:p>
    <w:p>
      <w:pPr>
        <w:pStyle w:val="Caption"/>
      </w:pPr>
      <w:r>
        <w:t xml:space="preserve">The Resulting Rule and Threshold</w:t>
      </w:r>
    </w:p>
    <w:p>
      <w:pPr>
        <w:pStyle w:val="FigureWithNote"/>
      </w:pPr>
      <w:r>
        <w:drawing>
          <wp:inline>
            <wp:extent cx="5943600" cy="2731084"/>
            <wp:effectExtent b="0" l="0" r="0" t="0"/>
            <wp:docPr descr="" title="" id="66" name="Picture"/>
            <a:graphic>
              <a:graphicData uri="http://schemas.openxmlformats.org/drawingml/2006/picture">
                <pic:pic>
                  <pic:nvPicPr>
                    <pic:cNvPr descr="manuscript_v2_files/figure-docx/fig-rule-1.png" id="67" name="Picture"/>
                    <pic:cNvPicPr>
                      <a:picLocks noChangeArrowheads="1" noChangeAspect="1"/>
                    </pic:cNvPicPr>
                  </pic:nvPicPr>
                  <pic:blipFill>
                    <a:blip r:embed="rId65"/>
                    <a:stretch>
                      <a:fillRect/>
                    </a:stretch>
                  </pic:blipFill>
                  <pic:spPr bwMode="auto">
                    <a:xfrm>
                      <a:off x="0" y="0"/>
                      <a:ext cx="5943600" cy="2731084"/>
                    </a:xfrm>
                    <a:prstGeom prst="rect">
                      <a:avLst/>
                    </a:prstGeom>
                    <a:noFill/>
                    <a:ln w="9525">
                      <a:noFill/>
                      <a:headEnd/>
                      <a:tailEnd/>
                    </a:ln>
                  </pic:spPr>
                </pic:pic>
              </a:graphicData>
            </a:graphic>
          </wp:inline>
        </w:drawing>
      </w:r>
    </w:p>
    <w:bookmarkEnd w:id="68"/>
    <w:p>
      <w:pPr>
        <w:pStyle w:val="FigureNote"/>
      </w:pPr>
      <w:r>
        <w:rPr>
          <w:i/>
          <w:iCs/>
        </w:rPr>
        <w:t xml:space="preserve">Note</w:t>
      </w:r>
      <w:r>
        <w:t xml:space="preserve">. Panel A: for four parameters and</w:t>
      </w:r>
      <w:r>
        <w:t xml:space="preserve"> </w:t>
      </w:r>
      <m:oMath>
        <m:sSub>
          <m:e>
            <m:r>
              <m:t>π</m:t>
            </m:r>
          </m:e>
          <m:sub>
            <m:r>
              <m:t>0</m:t>
            </m:r>
          </m:sub>
        </m:sSub>
        <m:r>
          <m:rPr>
            <m:sty m:val="p"/>
          </m:rPr>
          <m:t>=</m:t>
        </m:r>
        <m:r>
          <m:t>.7</m:t>
        </m:r>
      </m:oMath>
      <w:r>
        <w:t xml:space="preserve">, the range of the posterior probability of</w:t>
      </w:r>
      <w:r>
        <w:t xml:space="preserve"> </w:t>
      </w:r>
      <m:oMath>
        <m:r>
          <m:t>θ</m:t>
        </m:r>
        <m:r>
          <m:rPr>
            <m:sty m:val="p"/>
          </m:rPr>
          <m:t>&gt;</m:t>
        </m:r>
        <m:r>
          <m:t>0</m:t>
        </m:r>
      </m:oMath>
      <w:r>
        <w:t xml:space="preserve"> </w:t>
      </w:r>
      <w:r>
        <w:t xml:space="preserve">across</w:t>
      </w:r>
      <w:r>
        <w:t xml:space="preserve"> </w:t>
      </w:r>
      <m:oMath>
        <m:r>
          <m:rPr>
            <m:sty m:val="p"/>
          </m:rPr>
          <m:t>Γ</m:t>
        </m:r>
      </m:oMath>
      <w:r>
        <w:t xml:space="preserve"> </w:t>
      </w:r>
      <w:r>
        <w:t xml:space="preserve">(bars), whose left end is</w:t>
      </w:r>
      <w:r>
        <w:t xml:space="preserve"> </w:t>
      </w:r>
      <m:oMath>
        <m:r>
          <m:t>p</m:t>
        </m:r>
        <m:sSub>
          <m:e>
            <m:r>
              <m:t>d</m:t>
            </m:r>
          </m:e>
          <m:sub>
            <m:r>
              <m:rPr>
                <m:nor/>
                <m:sty m:val="p"/>
              </m:rPr>
              <m:t>adj</m:t>
            </m:r>
          </m:sub>
        </m:sSub>
      </m:oMath>
      <w:r>
        <w:t xml:space="preserve">, and its value under the within-model prior,</w:t>
      </w:r>
      <w:r>
        <w:t xml:space="preserve"> </w:t>
      </w:r>
      <m:oMath>
        <m:r>
          <m:t>p</m:t>
        </m:r>
        <m:r>
          <m:t>d</m:t>
        </m:r>
      </m:oMath>
      <w:r>
        <w:t xml:space="preserve"> </w:t>
      </w:r>
      <w:r>
        <w:t xml:space="preserve">(circles). A claim is made only when the whole bar lies above</w:t>
      </w:r>
      <w:r>
        <w:t xml:space="preserve"> </w:t>
      </w:r>
      <m:oMath>
        <m:r>
          <m:t>c</m:t>
        </m:r>
        <m:r>
          <m:rPr>
            <m:sty m:val="p"/>
          </m:rPr>
          <m:t>=</m:t>
        </m:r>
        <m:r>
          <m:t>.975</m:t>
        </m:r>
      </m:oMath>
      <w:r>
        <w:t xml:space="preserve"> </w:t>
      </w:r>
      <w:r>
        <w:t xml:space="preserve">(dashed line), that is, when</w:t>
      </w:r>
      <w:r>
        <w:t xml:space="preserve"> </w:t>
      </w:r>
      <m:oMath>
        <m:r>
          <m:t>p</m:t>
        </m:r>
        <m:sSub>
          <m:e>
            <m:r>
              <m:t>d</m:t>
            </m:r>
          </m:e>
          <m:sub>
            <m:r>
              <m:rPr>
                <m:nor/>
                <m:sty m:val="p"/>
              </m:rPr>
              <m:t>adj</m:t>
            </m:r>
          </m:sub>
        </m:sSub>
        <m:r>
          <m:rPr>
            <m:sty m:val="p"/>
          </m:rPr>
          <m:t>&gt;</m:t>
        </m:r>
        <m:r>
          <m:t>c</m:t>
        </m:r>
      </m:oMath>
      <w:r>
        <w:t xml:space="preserve">, which is equivalent to</w:t>
      </w:r>
      <w:r>
        <w:t xml:space="preserve"> </w:t>
      </w:r>
      <m:oMath>
        <m:r>
          <m:t>p</m:t>
        </m:r>
        <m:r>
          <m:t>d</m:t>
        </m:r>
        <m:r>
          <m:rPr>
            <m:sty m:val="p"/>
          </m:rPr>
          <m:t>&gt;</m:t>
        </m:r>
        <m:sSup>
          <m:e>
            <m:r>
              <m:t>c</m:t>
            </m:r>
          </m:e>
          <m:sup>
            <m:r>
              <m:rPr>
                <m:sty m:val="p"/>
              </m:rPr>
              <m:t>*</m:t>
            </m:r>
          </m:sup>
        </m:sSup>
        <m:r>
          <m:rPr>
            <m:sty m:val="p"/>
          </m:rPr>
          <m:t>=</m:t>
        </m:r>
        <m:r>
          <m:t>.989</m:t>
        </m:r>
      </m:oMath>
      <w:r>
        <w:t xml:space="preserve">. Panel B: the threshold</w:t>
      </w:r>
      <w:r>
        <w:t xml:space="preserve"> </w:t>
      </w:r>
      <m:oMath>
        <m:sSup>
          <m:e>
            <m:r>
              <m:t>c</m:t>
            </m:r>
          </m:e>
          <m:sup>
            <m:r>
              <m:rPr>
                <m:sty m:val="p"/>
              </m:rPr>
              <m:t>*</m:t>
            </m:r>
          </m:sup>
        </m:sSup>
      </m:oMath>
      <w:r>
        <w:t xml:space="preserve"> </w:t>
      </w:r>
      <w:r>
        <w:t xml:space="preserve">for</w:t>
      </w:r>
      <w:r>
        <w:t xml:space="preserve"> </w:t>
      </w:r>
      <m:oMath>
        <m:r>
          <m:t>c</m:t>
        </m:r>
        <m:r>
          <m:rPr>
            <m:sty m:val="p"/>
          </m:rPr>
          <m:t>=</m:t>
        </m:r>
        <m:r>
          <m:t>.975</m:t>
        </m:r>
      </m:oMath>
      <w:r>
        <w:t xml:space="preserve"> </w:t>
      </w:r>
      <w:r>
        <w:t xml:space="preserve">(dashed line) as a function of the number of tests</w:t>
      </w:r>
      <w:r>
        <w:t xml:space="preserve"> </w:t>
      </w:r>
      <m:oMath>
        <m:r>
          <m:t>m</m:t>
        </m:r>
      </m:oMath>
      <w:r>
        <w:t xml:space="preserve">, for three values of the largest prior probability that no claim in the family is correct,</w:t>
      </w:r>
      <w:r>
        <w:t xml:space="preserve"> </w:t>
      </w:r>
      <m:oMath>
        <m:r>
          <m:rPr>
            <m:sty m:val="p"/>
          </m:rPr>
          <m:t>Pr</m:t>
        </m:r>
        <m:r>
          <m:rPr>
            <m:sty m:val="p"/>
          </m:rPr>
          <m:t>(</m:t>
        </m:r>
        <m:sSub>
          <m:e>
            <m:r>
              <m:t>H</m:t>
            </m:r>
          </m:e>
          <m:sub>
            <m:r>
              <m:t>0</m:t>
            </m:r>
          </m:sub>
        </m:sSub>
        <m:r>
          <m:rPr>
            <m:sty m:val="p"/>
          </m:rPr>
          <m:t>)</m:t>
        </m:r>
      </m:oMath>
      <w:r>
        <w:t xml:space="preserve">. Even large values of</w:t>
      </w:r>
      <w:r>
        <w:t xml:space="preserve"> </w:t>
      </w:r>
      <m:oMath>
        <m:sSub>
          <m:e>
            <m:r>
              <m:t>π</m:t>
            </m:r>
          </m:e>
          <m:sub>
            <m:r>
              <m:t>0</m:t>
            </m:r>
          </m:sub>
        </m:sSub>
      </m:oMath>
      <w:r>
        <w:t xml:space="preserve"> </w:t>
      </w:r>
      <w:r>
        <w:t xml:space="preserve">raise the threshold only within the upper few percent of the</w:t>
      </w:r>
      <w:r>
        <w:t xml:space="preserve"> </w:t>
      </w:r>
      <m:oMath>
        <m:r>
          <m:t>p</m:t>
        </m:r>
        <m:r>
          <m:t>d</m:t>
        </m:r>
      </m:oMath>
      <w:r>
        <w:t xml:space="preserve"> </w:t>
      </w:r>
      <w:r>
        <w:t xml:space="preserve">range.</w:t>
      </w:r>
    </w:p>
    <w:p>
      <w:pPr>
        <w:pStyle w:val="BodyText"/>
      </w:pPr>
      <w:r>
        <w:t xml:space="preserve">Values of</w:t>
      </w:r>
      <w:r>
        <w:t xml:space="preserve"> </w:t>
      </w:r>
      <m:oMath>
        <m:sSub>
          <m:e>
            <m:r>
              <m:t>π</m:t>
            </m:r>
          </m:e>
          <m:sub>
            <m:r>
              <m:t>0</m:t>
            </m:r>
          </m:sub>
        </m:sSub>
      </m:oMath>
      <w:r>
        <w:t xml:space="preserve"> </w:t>
      </w:r>
      <w:r>
        <w:t xml:space="preserve">near</w:t>
      </w:r>
      <w:r>
        <w:t xml:space="preserve"> </w:t>
      </w:r>
      <m:oMath>
        <m:r>
          <m:t>.5</m:t>
        </m:r>
      </m:oMath>
      <w:r>
        <w:t xml:space="preserve"> </w:t>
      </w:r>
      <w:r>
        <w:t xml:space="preserve">are appropriate for confirmatory tests of parameters whose sign is well established, higher values for exploratory settings. When</w:t>
      </w:r>
      <w:r>
        <w:t xml:space="preserve"> </w:t>
      </w:r>
      <m:oMath>
        <m:sSub>
          <m:e>
            <m:r>
              <m:t>π</m:t>
            </m:r>
          </m:e>
          <m:sub>
            <m:r>
              <m:t>0</m:t>
            </m:r>
          </m:sub>
        </m:sSub>
      </m:oMath>
      <w:r>
        <w:t xml:space="preserve"> </w:t>
      </w:r>
      <w:r>
        <w:t xml:space="preserve">is set through a fixed</w:t>
      </w:r>
      <w:r>
        <w:t xml:space="preserve"> </w:t>
      </w:r>
      <m:oMath>
        <m:r>
          <m:rPr>
            <m:sty m:val="p"/>
          </m:rPr>
          <m:t>Pr</m:t>
        </m:r>
        <m:r>
          <m:rPr>
            <m:sty m:val="p"/>
          </m:rPr>
          <m:t>(</m:t>
        </m:r>
        <m:sSub>
          <m:e>
            <m:r>
              <m:t>H</m:t>
            </m:r>
          </m:e>
          <m:sub>
            <m:r>
              <m:t>0</m:t>
            </m:r>
          </m:sub>
        </m:sSub>
        <m:r>
          <m:rPr>
            <m:sty m:val="p"/>
          </m:rPr>
          <m:t>)</m:t>
        </m:r>
      </m:oMath>
      <w:r>
        <w:t xml:space="preserve">, larger families imply a larger</w:t>
      </w:r>
      <w:r>
        <w:t xml:space="preserve"> </w:t>
      </w:r>
      <m:oMath>
        <m:sSub>
          <m:e>
            <m:r>
              <m:t>π</m:t>
            </m:r>
          </m:e>
          <m:sub>
            <m:r>
              <m:t>0</m:t>
            </m:r>
          </m:sub>
        </m:sSub>
      </m:oMath>
      <w:r>
        <w:t xml:space="preserve"> </w:t>
      </w:r>
      <w:r>
        <w:t xml:space="preserve">and hence a higher threshold (</w:t>
      </w:r>
      <w:hyperlink w:anchor="fig-rule">
        <w:r>
          <w:rPr>
            <w:rStyle w:val="Hyperlink"/>
          </w:rPr>
          <w:t xml:space="preserve">Figure 4</w:t>
        </w:r>
      </w:hyperlink>
      <w:r>
        <w:t xml:space="preserve">, Panel B).</w:t>
      </w:r>
    </w:p>
    <w:p>
      <w:pPr>
        <w:pStyle w:val="BodyText"/>
      </w:pPr>
      <w:r>
        <w:t xml:space="preserve">When</w:t>
      </w:r>
      <w:r>
        <w:t xml:space="preserve"> </w:t>
      </w:r>
      <m:oMath>
        <m:r>
          <m:t>m</m:t>
        </m:r>
      </m:oMath>
      <w:r>
        <w:t xml:space="preserve"> </w:t>
      </w:r>
      <w:r>
        <w:t xml:space="preserve">is small and</w:t>
      </w:r>
      <w:r>
        <w:t xml:space="preserve"> </w:t>
      </w:r>
      <m:oMath>
        <m:r>
          <m:rPr>
            <m:sty m:val="p"/>
          </m:rPr>
          <m:t>Pr</m:t>
        </m:r>
        <m:r>
          <m:rPr>
            <m:sty m:val="p"/>
          </m:rPr>
          <m:t>(</m:t>
        </m:r>
        <m:sSub>
          <m:e>
            <m:r>
              <m:t>H</m:t>
            </m:r>
          </m:e>
          <m:sub>
            <m:r>
              <m:t>0</m:t>
            </m:r>
          </m:sub>
        </m:sSub>
        <m:r>
          <m:rPr>
            <m:sty m:val="p"/>
          </m:rPr>
          <m:t>)</m:t>
        </m:r>
      </m:oMath>
      <w:r>
        <w:t xml:space="preserve"> </w:t>
      </w:r>
      <w:r>
        <w:t xml:space="preserve">is low, the implied</w:t>
      </w:r>
      <w:r>
        <w:t xml:space="preserve"> </w:t>
      </w:r>
      <m:oMath>
        <m:sSub>
          <m:e>
            <m:r>
              <m:t>π</m:t>
            </m:r>
          </m:e>
          <m:sub>
            <m:r>
              <m:t>0</m:t>
            </m:r>
          </m:sub>
        </m:sSub>
      </m:oMath>
      <w:r>
        <w:t xml:space="preserve"> </w:t>
      </w:r>
      <w:r>
        <w:t xml:space="preserve">can fall below</w:t>
      </w:r>
      <w:r>
        <w:t xml:space="preserve"> </w:t>
      </w:r>
      <m:oMath>
        <m:r>
          <m:t>.5</m:t>
        </m:r>
      </m:oMath>
      <w:r>
        <w:t xml:space="preserve">. No prior can then give each sign a probability between</w:t>
      </w:r>
      <w:r>
        <w:t xml:space="preserve"> </w:t>
      </w:r>
      <m:oMath>
        <m:r>
          <m:t>1</m:t>
        </m:r>
        <m:r>
          <m:rPr>
            <m:sty m:val="p"/>
          </m:rPr>
          <m:t>−</m:t>
        </m:r>
        <m:sSub>
          <m:e>
            <m:r>
              <m:t>π</m:t>
            </m:r>
          </m:e>
          <m:sub>
            <m:r>
              <m:t>0</m:t>
            </m:r>
          </m:sub>
        </m:sSub>
      </m:oMath>
      <w:r>
        <w:t xml:space="preserve"> </w:t>
      </w:r>
      <w:r>
        <w:t xml:space="preserve">and</w:t>
      </w:r>
      <w:r>
        <w:t xml:space="preserve"> </w:t>
      </w:r>
      <m:oMath>
        <m:sSub>
          <m:e>
            <m:r>
              <m:t>π</m:t>
            </m:r>
          </m:e>
          <m:sub>
            <m:r>
              <m:t>0</m:t>
            </m:r>
          </m:sub>
        </m:sSub>
      </m:oMath>
      <w:r>
        <w:t xml:space="preserve">, and the expression for</w:t>
      </w:r>
      <w:r>
        <w:t xml:space="preserve"> </w:t>
      </w:r>
      <m:oMath>
        <m:sSup>
          <m:e>
            <m:r>
              <m:t>c</m:t>
            </m:r>
          </m:e>
          <m:sup>
            <m:r>
              <m:rPr>
                <m:sty m:val="p"/>
              </m:rPr>
              <m:t>*</m:t>
            </m:r>
          </m:sup>
        </m:sSup>
      </m:oMath>
      <w:r>
        <w:t xml:space="preserve"> </w:t>
      </w:r>
      <w:r>
        <w:t xml:space="preserve">would give a threshold below</w:t>
      </w:r>
      <w:r>
        <w:t xml:space="preserve"> </w:t>
      </w:r>
      <m:oMath>
        <m:r>
          <m:t>c</m:t>
        </m:r>
      </m:oMath>
      <w:r>
        <w:t xml:space="preserve">, as if the prior odds favored each claim. We therefore set</w:t>
      </w:r>
      <w:r>
        <w:t xml:space="preserve"> </w:t>
      </w:r>
      <m:oMath>
        <m:sSub>
          <m:e>
            <m:r>
              <m:t>π</m:t>
            </m:r>
          </m:e>
          <m:sub>
            <m:r>
              <m:t>0</m:t>
            </m:r>
          </m:sub>
        </m:sSub>
      </m:oMath>
      <w:r>
        <w:t xml:space="preserve"> </w:t>
      </w:r>
      <w:r>
        <w:t xml:space="preserve">to</w:t>
      </w:r>
      <w:r>
        <w:t xml:space="preserve"> </w:t>
      </w:r>
      <m:oMath>
        <m:r>
          <m:t>.5</m:t>
        </m:r>
      </m:oMath>
      <w:r>
        <w:t xml:space="preserve"> </w:t>
      </w:r>
      <w:r>
        <w:t xml:space="preserve">whenever it falls below this value, so that</w:t>
      </w:r>
      <w:r>
        <w:t xml:space="preserve"> </w:t>
      </w:r>
      <m:oMath>
        <m:r>
          <m:rPr>
            <m:sty m:val="p"/>
          </m:rPr>
          <m:t>Γ</m:t>
        </m:r>
      </m:oMath>
      <w:r>
        <w:t xml:space="preserve"> </w:t>
      </w:r>
      <w:r>
        <w:t xml:space="preserve">reduces to the within-model prior and the rule coincides with the unadjusted rule (</w:t>
      </w:r>
      <m:oMath>
        <m:sSup>
          <m:e>
            <m:r>
              <m:t>c</m:t>
            </m:r>
          </m:e>
          <m:sup>
            <m:r>
              <m:rPr>
                <m:sty m:val="p"/>
              </m:rPr>
              <m:t>*</m:t>
            </m:r>
          </m:sup>
        </m:sSup>
        <m:r>
          <m:rPr>
            <m:sty m:val="p"/>
          </m:rPr>
          <m:t>=</m:t>
        </m:r>
        <m:r>
          <m:t>c</m:t>
        </m:r>
      </m:oMath>
      <w:r>
        <w:t xml:space="preserve">).</w:t>
      </w:r>
    </w:p>
    <w:p>
      <w:pPr>
        <w:pStyle w:val="BodyText"/>
      </w:pPr>
      <w:r>
        <w:t xml:space="preserve">The penalty does not modify the posterior used for estimation, which is the one obtained under the within-model prior. The prior in</w:t>
      </w:r>
      <w:r>
        <w:t xml:space="preserve"> </w:t>
      </w:r>
      <m:oMath>
        <m:r>
          <m:rPr>
            <m:sty m:val="p"/>
          </m:rPr>
          <m:t>Γ</m:t>
        </m:r>
      </m:oMath>
      <w:r>
        <w:t xml:space="preserve"> </w:t>
      </w:r>
      <w:r>
        <w:t xml:space="preserve">that is most skeptical of a claim is not suited to estimation: since a continuous prior places no mass at</w:t>
      </w:r>
      <w:r>
        <w:t xml:space="preserve"> </w:t>
      </w:r>
      <m:oMath>
        <m:r>
          <m:t>0</m:t>
        </m:r>
      </m:oMath>
      <w:r>
        <w:t xml:space="preserve">, lowering the prior probability of one sign moves mass to the other side of</w:t>
      </w:r>
      <w:r>
        <w:t xml:space="preserve"> </w:t>
      </w:r>
      <m:oMath>
        <m:r>
          <m:t>0</m:t>
        </m:r>
      </m:oMath>
      <w:r>
        <w:t xml:space="preserve"> </w:t>
      </w:r>
      <w:r>
        <w:t xml:space="preserve">rather than to</w:t>
      </w:r>
      <w:r>
        <w:t xml:space="preserve"> </w:t>
      </w:r>
      <m:oMath>
        <m:r>
          <m:t>0</m:t>
        </m:r>
      </m:oMath>
      <w:r>
        <w:t xml:space="preserve"> </w:t>
      </w:r>
      <w:r>
        <w:t xml:space="preserve">itself, so that the estimates of parameters near</w:t>
      </w:r>
      <w:r>
        <w:t xml:space="preserve"> </w:t>
      </w:r>
      <m:oMath>
        <m:r>
          <m:t>0</m:t>
        </m:r>
      </m:oMath>
      <w:r>
        <w:t xml:space="preserve"> </w:t>
      </w:r>
      <w:r>
        <w:t xml:space="preserve">are pulled toward the side opposite to the claim and the posterior has a discontinuity at</w:t>
      </w:r>
      <w:r>
        <w:t xml:space="preserve"> </w:t>
      </w:r>
      <m:oMath>
        <m:r>
          <m:t>0</m:t>
        </m:r>
      </m:oMath>
      <w:r>
        <w:t xml:space="preserve">.</w:t>
      </w:r>
    </w:p>
    <w:bookmarkEnd w:id="69"/>
    <w:bookmarkStart w:id="85" w:name="error-rates"/>
    <w:p>
      <w:pPr>
        <w:pStyle w:val="Heading2"/>
      </w:pPr>
      <w:r>
        <w:t xml:space="preserve">Error Rates</w:t>
      </w:r>
    </w:p>
    <w:p>
      <w:pPr>
        <w:pStyle w:val="FirstParagraph"/>
      </w:pPr>
      <w:r>
        <w:t xml:space="preserve">The long-run error rates of the rule</w:t>
      </w:r>
      <w:r>
        <w:t xml:space="preserve"> </w:t>
      </w:r>
      <m:oMath>
        <m:r>
          <m:t>p</m:t>
        </m:r>
        <m:r>
          <m:t>d</m:t>
        </m:r>
        <m:r>
          <m:rPr>
            <m:sty m:val="p"/>
          </m:rPr>
          <m:t>&gt;</m:t>
        </m:r>
        <m:sSup>
          <m:e>
            <m:r>
              <m:t>c</m:t>
            </m:r>
          </m:e>
          <m:sup>
            <m:r>
              <m:rPr>
                <m:sty m:val="p"/>
              </m:rPr>
              <m:t>*</m:t>
            </m:r>
          </m:sup>
        </m:sSup>
      </m:oMath>
      <w:r>
        <w:t xml:space="preserve"> </w:t>
      </w:r>
      <w:r>
        <w:t xml:space="preserve">depend on the true proportion of null effects in the family, which we denote</w:t>
      </w:r>
      <w:r>
        <w:t xml:space="preserve"> </w:t>
      </w:r>
      <m:oMath>
        <m:sSub>
          <m:e>
            <m:r>
              <m:t>π</m:t>
            </m:r>
          </m:e>
          <m:sub>
            <m:r>
              <m:rPr>
                <m:nor/>
                <m:sty m:val="p"/>
              </m:rPr>
              <m:t>null</m:t>
            </m:r>
          </m:sub>
        </m:sSub>
      </m:oMath>
      <w:r>
        <w:t xml:space="preserve"> </w:t>
      </w:r>
      <w:r>
        <w:t xml:space="preserve">to distinguish it from the specified</w:t>
      </w:r>
      <w:r>
        <w:t xml:space="preserve"> </w:t>
      </w:r>
      <m:oMath>
        <m:sSub>
          <m:e>
            <m:r>
              <m:t>π</m:t>
            </m:r>
          </m:e>
          <m:sub>
            <m:r>
              <m:t>0</m:t>
            </m:r>
          </m:sub>
        </m:sSub>
      </m:oMath>
      <w:r>
        <w:t xml:space="preserve"> </w:t>
      </w:r>
      <w:r>
        <w:t xml:space="preserve">that determines the threshold. A claim is wrong when the parameter lies in the complement of the claim, which contains</w:t>
      </w:r>
      <w:r>
        <w:t xml:space="preserve"> </w:t>
      </w:r>
      <m:oMath>
        <m:r>
          <m:t>0</m:t>
        </m:r>
      </m:oMath>
      <w:r>
        <w:t xml:space="preserve">. The proportion of parameters that are not on the side favored by the posterior, which is the side that would be claimed, is therefore at least</w:t>
      </w:r>
      <w:r>
        <w:t xml:space="preserve"> </w:t>
      </w:r>
      <m:oMath>
        <m:sSub>
          <m:e>
            <m:r>
              <m:t>π</m:t>
            </m:r>
          </m:e>
          <m:sub>
            <m:r>
              <m:rPr>
                <m:nor/>
                <m:sty m:val="p"/>
              </m:rPr>
              <m:t>null</m:t>
            </m:r>
          </m:sub>
        </m:sSub>
      </m:oMath>
      <w:r>
        <w:t xml:space="preserve">, and close to</w:t>
      </w:r>
      <w:r>
        <w:t xml:space="preserve"> </w:t>
      </w:r>
      <m:oMath>
        <m:sSub>
          <m:e>
            <m:r>
              <m:t>π</m:t>
            </m:r>
          </m:e>
          <m:sub>
            <m:r>
              <m:rPr>
                <m:nor/>
                <m:sty m:val="p"/>
              </m:rPr>
              <m:t>null</m:t>
            </m:r>
          </m:sub>
        </m:sSub>
      </m:oMath>
      <w:r>
        <w:t xml:space="preserve"> </w:t>
      </w:r>
      <w:r>
        <w:t xml:space="preserve">when non-null effects are large relative to their standard errors. For non-null effects of</w:t>
      </w:r>
      <w:r>
        <w:t xml:space="preserve"> </w:t>
      </w:r>
      <m:oMath>
        <m:r>
          <m:t>θ</m:t>
        </m:r>
        <m:r>
          <m:rPr>
            <m:sty m:val="p"/>
          </m:rPr>
          <m:t>=</m:t>
        </m:r>
        <m:r>
          <m:t>0.3</m:t>
        </m:r>
      </m:oMath>
      <w:r>
        <w:t xml:space="preserve"> </w:t>
      </w:r>
      <w:r>
        <w:t xml:space="preserve">with unit-variance observations, the setting of the simulations below, it exceeds</w:t>
      </w:r>
      <w:r>
        <w:t xml:space="preserve"> </w:t>
      </w:r>
      <m:oMath>
        <m:sSub>
          <m:e>
            <m:r>
              <m:t>π</m:t>
            </m:r>
          </m:e>
          <m:sub>
            <m:r>
              <m:rPr>
                <m:nor/>
                <m:sty m:val="p"/>
              </m:rPr>
              <m:t>null</m:t>
            </m:r>
          </m:sub>
        </m:sSub>
      </m:oMath>
      <w:r>
        <w:t xml:space="preserve"> </w:t>
      </w:r>
      <w:r>
        <w:t xml:space="preserve">by at most</w:t>
      </w:r>
      <w:r>
        <w:t xml:space="preserve"> </w:t>
      </w:r>
      <m:oMath>
        <m:r>
          <m:t>.025</m:t>
        </m:r>
      </m:oMath>
      <w:r>
        <w:t xml:space="preserve"> </w:t>
      </w:r>
      <w:r>
        <w:t xml:space="preserve">(</w:t>
      </w:r>
      <m:oMath>
        <m:r>
          <m:t>n</m:t>
        </m:r>
        <m:r>
          <m:rPr>
            <m:sty m:val="p"/>
          </m:rPr>
          <m:t>=</m:t>
        </m:r>
        <m:r>
          <m:t>30</m:t>
        </m:r>
      </m:oMath>
      <w:r>
        <w:t xml:space="preserve">),</w:t>
      </w:r>
      <w:r>
        <w:t xml:space="preserve"> </w:t>
      </w:r>
      <m:oMath>
        <m:r>
          <m:t>.008</m:t>
        </m:r>
      </m:oMath>
      <w:r>
        <w:t xml:space="preserve"> </w:t>
      </w:r>
      <w:r>
        <w:t xml:space="preserve">(</w:t>
      </w:r>
      <m:oMath>
        <m:r>
          <m:t>n</m:t>
        </m:r>
        <m:r>
          <m:rPr>
            <m:sty m:val="p"/>
          </m:rPr>
          <m:t>=</m:t>
        </m:r>
        <m:r>
          <m:t>50</m:t>
        </m:r>
      </m:oMath>
      <w:r>
        <w:t xml:space="preserve">), and</w:t>
      </w:r>
      <w:r>
        <w:t xml:space="preserve"> </w:t>
      </w:r>
      <m:oMath>
        <m:r>
          <m:t>.001</m:t>
        </m:r>
      </m:oMath>
      <w:r>
        <w:t xml:space="preserve"> </w:t>
      </w:r>
      <w:r>
        <w:t xml:space="preserve">(</w:t>
      </w:r>
      <m:oMath>
        <m:r>
          <m:t>n</m:t>
        </m:r>
        <m:r>
          <m:rPr>
            <m:sty m:val="p"/>
          </m:rPr>
          <m:t>=</m:t>
        </m:r>
        <m:r>
          <m:t>100</m:t>
        </m:r>
      </m:oMath>
      <w:r>
        <w:t xml:space="preserve">), so that</w:t>
      </w:r>
      <w:r>
        <w:t xml:space="preserve"> </w:t>
      </w:r>
      <m:oMath>
        <m:sSub>
          <m:e>
            <m:r>
              <m:t>π</m:t>
            </m:r>
          </m:e>
          <m:sub>
            <m:r>
              <m:t>0</m:t>
            </m:r>
          </m:sub>
        </m:sSub>
        <m:r>
          <m:rPr>
            <m:sty m:val="p"/>
          </m:rPr>
          <m:t>=</m:t>
        </m:r>
        <m:sSub>
          <m:e>
            <m:r>
              <m:t>π</m:t>
            </m:r>
          </m:e>
          <m:sub>
            <m:r>
              <m:rPr>
                <m:nor/>
                <m:sty m:val="p"/>
              </m:rPr>
              <m:t>null</m:t>
            </m:r>
          </m:sub>
        </m:sSub>
      </m:oMath>
      <w:r>
        <w:t xml:space="preserve"> </w:t>
      </w:r>
      <w:r>
        <w:t xml:space="preserve">matches the actual proportion of parameters that are not on the claimed side, which</w:t>
      </w:r>
      <w:r>
        <w:t xml:space="preserve"> </w:t>
      </w:r>
      <m:oMath>
        <m:sSub>
          <m:e>
            <m:r>
              <m:t>π</m:t>
            </m:r>
          </m:e>
          <m:sub>
            <m:r>
              <m:t>0</m:t>
            </m:r>
          </m:sub>
        </m:sSub>
      </m:oMath>
      <w:r>
        <w:t xml:space="preserve"> </w:t>
      </w:r>
      <w:r>
        <w:t xml:space="preserve">bounds in expectation. A claim of the wrong sign is made only when, in addition,</w:t>
      </w:r>
      <w:r>
        <w:t xml:space="preserve"> </w:t>
      </w:r>
      <m:oMath>
        <m:r>
          <m:t>p</m:t>
        </m:r>
        <m:r>
          <m:t>d</m:t>
        </m:r>
      </m:oMath>
      <w:r>
        <w:t xml:space="preserve"> </w:t>
      </w:r>
      <w:r>
        <w:t xml:space="preserve">exceeds the threshold, which is far rarer: for</w:t>
      </w:r>
      <w:r>
        <w:t xml:space="preserve"> </w:t>
      </w:r>
      <m:oMath>
        <m:r>
          <m:t>θ</m:t>
        </m:r>
        <m:r>
          <m:rPr>
            <m:sty m:val="p"/>
          </m:rPr>
          <m:t>=</m:t>
        </m:r>
        <m:r>
          <m:t>0.3</m:t>
        </m:r>
      </m:oMath>
      <w:r>
        <w:t xml:space="preserve"> </w:t>
      </w:r>
      <w:r>
        <w:t xml:space="preserve">and</w:t>
      </w:r>
      <w:r>
        <w:t xml:space="preserve"> </w:t>
      </w:r>
      <m:oMath>
        <m:r>
          <m:t>n</m:t>
        </m:r>
        <m:r>
          <m:rPr>
            <m:sty m:val="p"/>
          </m:rPr>
          <m:t>=</m:t>
        </m:r>
        <m:r>
          <m:t>30</m:t>
        </m:r>
      </m:oMath>
      <w:r>
        <w:t xml:space="preserve">, its probability is about</w:t>
      </w:r>
      <w:r>
        <w:t xml:space="preserve"> </w:t>
      </w:r>
      <m:oMath>
        <m:r>
          <m:t>.0002</m:t>
        </m:r>
      </m:oMath>
      <w:r>
        <w:t xml:space="preserve"> </w:t>
      </w:r>
      <w:r>
        <w:t xml:space="preserve">even at the unadjusted threshold</w:t>
      </w:r>
      <w:r>
        <w:t xml:space="preserve"> </w:t>
      </w:r>
      <m:oMath>
        <m:r>
          <m:t>c</m:t>
        </m:r>
        <m:r>
          <m:rPr>
            <m:sty m:val="p"/>
          </m:rPr>
          <m:t>=</m:t>
        </m:r>
        <m:r>
          <m:t>.975</m:t>
        </m:r>
      </m:oMath>
      <w:r>
        <w:t xml:space="preserve">. Below, we refer to</w:t>
      </w:r>
      <w:r>
        <w:t xml:space="preserve"> </w:t>
      </w:r>
      <m:oMath>
        <m:sSub>
          <m:e>
            <m:r>
              <m:t>π</m:t>
            </m:r>
          </m:e>
          <m:sub>
            <m:r>
              <m:t>0</m:t>
            </m:r>
          </m:sub>
        </m:sSub>
        <m:r>
          <m:rPr>
            <m:sty m:val="p"/>
          </m:rPr>
          <m:t>=</m:t>
        </m:r>
        <m:sSub>
          <m:e>
            <m:r>
              <m:t>π</m:t>
            </m:r>
          </m:e>
          <m:sub>
            <m:r>
              <m:rPr>
                <m:nor/>
                <m:sty m:val="p"/>
              </m:rPr>
              <m:t>null</m:t>
            </m:r>
          </m:sub>
        </m:sSub>
      </m:oMath>
      <w:r>
        <w:t xml:space="preserve"> </w:t>
      </w:r>
      <w:r>
        <w:t xml:space="preserve">as a matched value, to</w:t>
      </w:r>
      <w:r>
        <w:t xml:space="preserve"> </w:t>
      </w:r>
      <m:oMath>
        <m:sSub>
          <m:e>
            <m:r>
              <m:t>π</m:t>
            </m:r>
          </m:e>
          <m:sub>
            <m:r>
              <m:t>0</m:t>
            </m:r>
          </m:sub>
        </m:sSub>
        <m:r>
          <m:rPr>
            <m:sty m:val="p"/>
          </m:rPr>
          <m:t>&lt;</m:t>
        </m:r>
        <m:sSub>
          <m:e>
            <m:r>
              <m:t>π</m:t>
            </m:r>
          </m:e>
          <m:sub>
            <m:r>
              <m:rPr>
                <m:nor/>
                <m:sty m:val="p"/>
              </m:rPr>
              <m:t>null</m:t>
            </m:r>
          </m:sub>
        </m:sSub>
      </m:oMath>
      <w:r>
        <w:t xml:space="preserve"> </w:t>
      </w:r>
      <w:r>
        <w:t xml:space="preserve">as an underestimate, and to</w:t>
      </w:r>
      <w:r>
        <w:t xml:space="preserve"> </w:t>
      </w:r>
      <m:oMath>
        <m:sSub>
          <m:e>
            <m:r>
              <m:t>π</m:t>
            </m:r>
          </m:e>
          <m:sub>
            <m:r>
              <m:t>0</m:t>
            </m:r>
          </m:sub>
        </m:sSub>
        <m:r>
          <m:rPr>
            <m:sty m:val="p"/>
          </m:rPr>
          <m:t>&gt;</m:t>
        </m:r>
        <m:sSub>
          <m:e>
            <m:r>
              <m:t>π</m:t>
            </m:r>
          </m:e>
          <m:sub>
            <m:r>
              <m:rPr>
                <m:nor/>
                <m:sty m:val="p"/>
              </m:rPr>
              <m:t>null</m:t>
            </m:r>
          </m:sub>
        </m:sSub>
      </m:oMath>
      <w:r>
        <w:t xml:space="preserve"> </w:t>
      </w:r>
      <w:r>
        <w:t xml:space="preserve">as a conservative value.</w:t>
      </w:r>
    </w:p>
    <w:p>
      <w:pPr>
        <w:pStyle w:val="BodyText"/>
      </w:pPr>
      <w:r>
        <w:t xml:space="preserve">For a family of</w:t>
      </w:r>
      <w:r>
        <w:t xml:space="preserve"> </w:t>
      </w:r>
      <m:oMath>
        <m:r>
          <m:t>m</m:t>
        </m:r>
      </m:oMath>
      <w:r>
        <w:t xml:space="preserve"> </w:t>
      </w:r>
      <w:r>
        <w:t xml:space="preserve">tests, let</w:t>
      </w:r>
      <w:r>
        <w:t xml:space="preserve"> </w:t>
      </w:r>
      <m:oMath>
        <m:r>
          <m:t>R</m:t>
        </m:r>
      </m:oMath>
      <w:r>
        <w:t xml:space="preserve"> </w:t>
      </w:r>
      <w:r>
        <w:t xml:space="preserve">denote the number of claims made (rejections, in the terminology of multiple testing) and</w:t>
      </w:r>
      <w:r>
        <w:t xml:space="preserve"> </w:t>
      </w:r>
      <m:oMath>
        <m:r>
          <m:t>V</m:t>
        </m:r>
      </m:oMath>
      <w:r>
        <w:t xml:space="preserve"> </w:t>
      </w:r>
      <w:r>
        <w:t xml:space="preserve">the number of false claims, that is, claims about null effects (claims of the wrong sign, far rarer as shown above, are not counted). The target error rate is the False Discovery Rate (FDR),</w:t>
      </w:r>
    </w:p>
    <w:p>
      <w:pPr>
        <w:pStyle w:val="BodyText"/>
      </w:pPr>
      <m:oMathPara>
        <m:oMathParaPr>
          <m:jc m:val="center"/>
        </m:oMathParaPr>
        <m:oMath>
          <m:r>
            <m:rPr>
              <m:sty m:val="p"/>
            </m:rPr>
            <m:t>F</m:t>
          </m:r>
          <m:r>
            <m:rPr>
              <m:sty m:val="p"/>
            </m:rPr>
            <m:t>D</m:t>
          </m:r>
          <m:r>
            <m:rPr>
              <m:sty m:val="p"/>
            </m:rPr>
            <m:t>R</m:t>
          </m:r>
          <m:r>
            <m:rPr>
              <m:sty m:val="p"/>
            </m:rPr>
            <m:t>=</m:t>
          </m:r>
          <m:r>
            <m:rPr>
              <m:scr m:val="double-struck"/>
              <m:sty m:val="p"/>
            </m:rPr>
            <m:t>E</m:t>
          </m:r>
          <m:r>
            <m:t>​</m:t>
          </m:r>
          <m:d>
            <m:dPr>
              <m:begChr m:val="["/>
              <m:sepChr m:val=""/>
              <m:endChr m:val="]"/>
              <m:grow/>
            </m:dPr>
            <m:e>
              <m:f>
                <m:fPr>
                  <m:type m:val="bar"/>
                </m:fPr>
                <m:num>
                  <m:r>
                    <m:t>V</m:t>
                  </m:r>
                </m:num>
                <m:den>
                  <m:r>
                    <m:rPr>
                      <m:sty m:val="p"/>
                    </m:rPr>
                    <m:t>max</m:t>
                  </m:r>
                  <m:r>
                    <m:rPr>
                      <m:sty m:val="p"/>
                    </m:rPr>
                    <m:t>(</m:t>
                  </m:r>
                  <m:r>
                    <m:t>R</m:t>
                  </m:r>
                  <m:r>
                    <m:rPr>
                      <m:sty m:val="p"/>
                    </m:rPr>
                    <m:t>,</m:t>
                  </m:r>
                  <m:r>
                    <m:t>1</m:t>
                  </m:r>
                  <m:r>
                    <m:rPr>
                      <m:sty m:val="p"/>
                    </m:rPr>
                    <m:t>)</m:t>
                  </m:r>
                </m:den>
              </m:f>
            </m:e>
          </m:d>
          <m:r>
            <m:rPr>
              <m:sty m:val="p"/>
            </m:rPr>
            <m:t>,</m:t>
          </m:r>
        </m:oMath>
      </m:oMathPara>
    </w:p>
    <w:p>
      <w:pPr>
        <w:pStyle w:val="FirstParagraph"/>
      </w:pPr>
      <w:r>
        <w:t xml:space="preserve">where the</w:t>
      </w:r>
      <w:r>
        <w:t xml:space="preserve"> </w:t>
      </w:r>
      <m:oMath>
        <m:r>
          <m:rPr>
            <m:sty m:val="p"/>
          </m:rPr>
          <m:t>max</m:t>
        </m:r>
        <m:r>
          <m:rPr>
            <m:sty m:val="p"/>
          </m:rPr>
          <m:t>(</m:t>
        </m:r>
        <m:r>
          <m:t>R</m:t>
        </m:r>
        <m:r>
          <m:rPr>
            <m:sty m:val="p"/>
          </m:rPr>
          <m:t>,</m:t>
        </m:r>
        <m:r>
          <m:t>1</m:t>
        </m:r>
        <m:r>
          <m:rPr>
            <m:sty m:val="p"/>
          </m:rPr>
          <m:t>)</m:t>
        </m:r>
      </m:oMath>
      <w:r>
        <w:t xml:space="preserve"> </w:t>
      </w:r>
      <w:r>
        <w:t xml:space="preserve">sets the ratio to zero when no claim is made</w:t>
      </w:r>
      <w:r>
        <w:t xml:space="preserve"> </w:t>
      </w:r>
      <w:r>
        <w:t xml:space="preserve">(</w:t>
      </w:r>
      <w:hyperlink w:anchor="ref-Benjamini1995">
        <w:r>
          <w:rPr>
            <w:rStyle w:val="Hyperlink"/>
          </w:rPr>
          <w:t xml:space="preserve">Benjamini &amp; Hochberg, 1995</w:t>
        </w:r>
      </w:hyperlink>
      <w:r>
        <w:t xml:space="preserve">)</w:t>
      </w:r>
      <w:r>
        <w:t xml:space="preserve">. The FDR factorizes as the product of the positive False Discovery Rate</w:t>
      </w:r>
      <w:r>
        <w:t xml:space="preserve"> </w:t>
      </w:r>
      <w:r>
        <w:t xml:space="preserve">(pFDR,</w:t>
      </w:r>
      <w:r>
        <w:t xml:space="preserve"> </w:t>
      </w:r>
      <w:hyperlink w:anchor="ref-Storey2003">
        <w:r>
          <w:rPr>
            <w:rStyle w:val="Hyperlink"/>
          </w:rPr>
          <w:t xml:space="preserve">Storey, 2003</w:t>
        </w:r>
      </w:hyperlink>
      <w:r>
        <w:t xml:space="preserve">)</w:t>
      </w:r>
      <w:r>
        <w:t xml:space="preserve"> </w:t>
      </w:r>
      <w:r>
        <w:t xml:space="preserve">and the probability of at least one claim,</w:t>
      </w:r>
      <w:r>
        <w:t xml:space="preserve"> </w:t>
      </w:r>
      <m:oMath>
        <m:r>
          <m:rPr>
            <m:sty m:val="p"/>
          </m:rPr>
          <m:t>F</m:t>
        </m:r>
        <m:r>
          <m:rPr>
            <m:sty m:val="p"/>
          </m:rPr>
          <m:t>D</m:t>
        </m:r>
        <m:r>
          <m:rPr>
            <m:sty m:val="p"/>
          </m:rPr>
          <m:t>R</m:t>
        </m:r>
        <m:r>
          <m:rPr>
            <m:sty m:val="p"/>
          </m:rPr>
          <m:t>=</m:t>
        </m:r>
        <m:r>
          <m:rPr>
            <m:sty m:val="p"/>
          </m:rPr>
          <m:t>p</m:t>
        </m:r>
        <m:r>
          <m:rPr>
            <m:sty m:val="p"/>
          </m:rPr>
          <m:t>F</m:t>
        </m:r>
        <m:r>
          <m:rPr>
            <m:sty m:val="p"/>
          </m:rPr>
          <m:t>D</m:t>
        </m:r>
        <m:r>
          <m:rPr>
            <m:sty m:val="p"/>
          </m:rPr>
          <m:t>R</m:t>
        </m:r>
        <m:r>
          <m:rPr>
            <m:sty m:val="p"/>
          </m:rPr>
          <m:t>×</m:t>
        </m:r>
        <m:r>
          <m:rPr>
            <m:sty m:val="p"/>
          </m:rPr>
          <m:t>Pr</m:t>
        </m:r>
        <m:r>
          <m:rPr>
            <m:sty m:val="p"/>
          </m:rPr>
          <m:t>(</m:t>
        </m:r>
        <m:r>
          <m:t>R</m:t>
        </m:r>
        <m:r>
          <m:rPr>
            <m:sty m:val="p"/>
          </m:rPr>
          <m:t>&gt;</m:t>
        </m:r>
        <m:r>
          <m:t>0</m:t>
        </m:r>
        <m:r>
          <m:rPr>
            <m:sty m:val="p"/>
          </m:rPr>
          <m:t>)</m:t>
        </m:r>
      </m:oMath>
      <w:r>
        <w:t xml:space="preserve">. For a single test,</w:t>
      </w:r>
    </w:p>
    <w:p>
      <w:pPr>
        <w:pStyle w:val="BodyText"/>
      </w:pPr>
      <m:oMathPara>
        <m:oMathParaPr>
          <m:jc m:val="center"/>
        </m:oMathParaPr>
        <m:oMath>
          <m:r>
            <m:rPr>
              <m:sty m:val="p"/>
            </m:rPr>
            <m:t>p</m:t>
          </m:r>
          <m:r>
            <m:rPr>
              <m:sty m:val="p"/>
            </m:rPr>
            <m:t>F</m:t>
          </m:r>
          <m:r>
            <m:rPr>
              <m:sty m:val="p"/>
            </m:rPr>
            <m:t>D</m:t>
          </m:r>
          <m:r>
            <m:rPr>
              <m:sty m:val="p"/>
            </m:rPr>
            <m:t>R</m:t>
          </m:r>
          <m:r>
            <m:rPr>
              <m:sty m:val="p"/>
            </m:rPr>
            <m:t>=</m:t>
          </m:r>
          <m:f>
            <m:fPr>
              <m:type m:val="bar"/>
            </m:fPr>
            <m:num>
              <m:sSub>
                <m:e>
                  <m:r>
                    <m:t>π</m:t>
                  </m:r>
                </m:e>
                <m:sub>
                  <m:r>
                    <m:rPr>
                      <m:nor/>
                      <m:sty m:val="p"/>
                    </m:rPr>
                    <m:t>null</m:t>
                  </m:r>
                </m:sub>
              </m:sSub>
              <m:r>
                <m:t> </m:t>
              </m:r>
              <m:r>
                <m:t>α</m:t>
              </m:r>
            </m:num>
            <m:den>
              <m:sSub>
                <m:e>
                  <m:r>
                    <m:t>π</m:t>
                  </m:r>
                </m:e>
                <m:sub>
                  <m:r>
                    <m:rPr>
                      <m:nor/>
                      <m:sty m:val="p"/>
                    </m:rPr>
                    <m:t>null</m:t>
                  </m:r>
                </m:sub>
              </m:sSub>
              <m:r>
                <m:t> </m:t>
              </m:r>
              <m:r>
                <m:t>α</m:t>
              </m:r>
              <m:r>
                <m:rPr>
                  <m:sty m:val="p"/>
                </m:rPr>
                <m:t>+</m:t>
              </m:r>
              <m:r>
                <m:rPr>
                  <m:sty m:val="p"/>
                </m:rPr>
                <m:t>(</m:t>
              </m:r>
              <m:r>
                <m:t>1</m:t>
              </m:r>
              <m:r>
                <m:rPr>
                  <m:sty m:val="p"/>
                </m:rPr>
                <m:t>−</m:t>
              </m:r>
              <m:sSub>
                <m:e>
                  <m:r>
                    <m:t>π</m:t>
                  </m:r>
                </m:e>
                <m:sub>
                  <m:r>
                    <m:rPr>
                      <m:nor/>
                      <m:sty m:val="p"/>
                    </m:rPr>
                    <m:t>null</m:t>
                  </m:r>
                </m:sub>
              </m:sSub>
              <m:r>
                <m:rPr>
                  <m:sty m:val="p"/>
                </m:rPr>
                <m:t>)</m:t>
              </m:r>
              <m:r>
                <m:rPr>
                  <m:sty m:val="p"/>
                </m:rPr>
                <m:t>(</m:t>
              </m:r>
              <m:r>
                <m:t>1</m:t>
              </m:r>
              <m:r>
                <m:rPr>
                  <m:sty m:val="p"/>
                </m:rPr>
                <m:t>−</m:t>
              </m:r>
              <m:r>
                <m:t>β</m:t>
              </m:r>
              <m:r>
                <m:rPr>
                  <m:sty m:val="p"/>
                </m:rPr>
                <m:t>)</m:t>
              </m:r>
            </m:den>
          </m:f>
          <m:r>
            <m:rPr>
              <m:sty m:val="p"/>
            </m:rPr>
            <m:t>,</m:t>
          </m:r>
        </m:oMath>
      </m:oMathPara>
    </w:p>
    <w:p>
      <w:pPr>
        <w:pStyle w:val="FirstParagraph"/>
      </w:pPr>
      <w:r>
        <w:t xml:space="preserve">where</w:t>
      </w:r>
      <w:r>
        <w:t xml:space="preserve"> </w:t>
      </w:r>
      <m:oMath>
        <m:r>
          <m:t>α</m:t>
        </m:r>
      </m:oMath>
      <w:r>
        <w:t xml:space="preserve"> </w:t>
      </w:r>
      <w:r>
        <w:t xml:space="preserve">is the per-test Type I error rate and</w:t>
      </w:r>
      <w:r>
        <w:t xml:space="preserve"> </w:t>
      </w:r>
      <m:oMath>
        <m:r>
          <m:t>1</m:t>
        </m:r>
        <m:r>
          <m:rPr>
            <m:sty m:val="p"/>
          </m:rPr>
          <m:t>−</m:t>
        </m:r>
        <m:r>
          <m:t>β</m:t>
        </m:r>
      </m:oMath>
      <w:r>
        <w:t xml:space="preserve"> </w:t>
      </w:r>
      <w:r>
        <w:t xml:space="preserve">the power</w:t>
      </w:r>
      <w:r>
        <w:t xml:space="preserve"> </w:t>
      </w:r>
      <w:r>
        <w:t xml:space="preserve">(</w:t>
      </w:r>
      <w:hyperlink w:anchor="ref-berger2023">
        <w:r>
          <w:rPr>
            <w:rStyle w:val="Hyperlink"/>
          </w:rPr>
          <w:t xml:space="preserve">Berger, 2023</w:t>
        </w:r>
      </w:hyperlink>
      <w:r>
        <w:t xml:space="preserve">;</w:t>
      </w:r>
      <w:r>
        <w:t xml:space="preserve"> </w:t>
      </w:r>
      <w:hyperlink w:anchor="ref-Storey2003">
        <w:r>
          <w:rPr>
            <w:rStyle w:val="Hyperlink"/>
          </w:rPr>
          <w:t xml:space="preserve">Storey, 2003</w:t>
        </w:r>
      </w:hyperlink>
      <w:r>
        <w:t xml:space="preserve">)</w:t>
      </w:r>
      <w:r>
        <w:t xml:space="preserve">. Here</w:t>
      </w:r>
      <w:r>
        <w:t xml:space="preserve"> </w:t>
      </w:r>
      <m:oMath>
        <m:sSub>
          <m:e>
            <m:r>
              <m:t>π</m:t>
            </m:r>
          </m:e>
          <m:sub>
            <m:r>
              <m:t>0</m:t>
            </m:r>
          </m:sub>
        </m:sSub>
      </m:oMath>
      <w:r>
        <w:t xml:space="preserve"> </w:t>
      </w:r>
      <w:r>
        <w:t xml:space="preserve">enters only through</w:t>
      </w:r>
      <w:r>
        <w:t xml:space="preserve"> </w:t>
      </w:r>
      <m:oMath>
        <m:r>
          <m:t>α</m:t>
        </m:r>
      </m:oMath>
      <w:r>
        <w:t xml:space="preserve">, via the threshold.</w:t>
      </w:r>
    </w:p>
    <w:p>
      <w:pPr>
        <w:pStyle w:val="BodyText"/>
      </w:pPr>
      <w:r>
        <w:t xml:space="preserve">When the null distribution of</w:t>
      </w:r>
      <w:r>
        <w:t xml:space="preserve"> </w:t>
      </w:r>
      <m:oMath>
        <m:r>
          <m:t>p</m:t>
        </m:r>
        <m:r>
          <m:t>d</m:t>
        </m:r>
      </m:oMath>
      <w:r>
        <w:t xml:space="preserve"> </w:t>
      </w:r>
      <w:r>
        <w:t xml:space="preserve">is uniform on</w:t>
      </w:r>
      <w:r>
        <w:t xml:space="preserve"> </w:t>
      </w:r>
      <m:oMath>
        <m:r>
          <m:rPr>
            <m:sty m:val="p"/>
          </m:rPr>
          <m:t>[</m:t>
        </m:r>
        <m:r>
          <m:t>.5</m:t>
        </m:r>
        <m:r>
          <m:rPr>
            <m:sty m:val="p"/>
          </m:rPr>
          <m:t>,</m:t>
        </m:r>
        <m:r>
          <m:t>1</m:t>
        </m:r>
        <m:r>
          <m:rPr>
            <m:sty m:val="p"/>
          </m:rPr>
          <m:t>]</m:t>
        </m:r>
      </m:oMath>
      <w:r>
        <w:t xml:space="preserve">, the per-test probability of claiming a direction for a null effect is</w:t>
      </w:r>
      <w:r>
        <w:t xml:space="preserve"> </w:t>
      </w:r>
      <m:oMath>
        <m:sSup>
          <m:e>
            <m:r>
              <m:t>α</m:t>
            </m:r>
          </m:e>
          <m:sup>
            <m:r>
              <m:rPr>
                <m:sty m:val="p"/>
              </m:rPr>
              <m:t>*</m:t>
            </m:r>
          </m:sup>
        </m:sSup>
        <m:r>
          <m:rPr>
            <m:sty m:val="p"/>
          </m:rPr>
          <m:t>=</m:t>
        </m:r>
        <m:r>
          <m:t>2</m:t>
        </m:r>
        <m:r>
          <m:rPr>
            <m:sty m:val="p"/>
          </m:rPr>
          <m:t>(</m:t>
        </m:r>
        <m:r>
          <m:t>1</m:t>
        </m:r>
        <m:r>
          <m:rPr>
            <m:sty m:val="p"/>
          </m:rPr>
          <m:t>−</m:t>
        </m:r>
        <m:sSup>
          <m:e>
            <m:r>
              <m:t>c</m:t>
            </m:r>
          </m:e>
          <m:sup>
            <m:r>
              <m:rPr>
                <m:sty m:val="p"/>
              </m:rPr>
              <m:t>*</m:t>
            </m:r>
          </m:sup>
        </m:sSup>
        <m:r>
          <m:rPr>
            <m:sty m:val="p"/>
          </m:rPr>
          <m:t>)</m:t>
        </m:r>
      </m:oMath>
      <w:r>
        <w:t xml:space="preserve">; under an informative skeptical prior, which shrinks the posterior toward</w:t>
      </w:r>
      <w:r>
        <w:t xml:space="preserve"> </w:t>
      </w:r>
      <m:oMath>
        <m:r>
          <m:t>0</m:t>
        </m:r>
      </m:oMath>
      <w:r>
        <w:t xml:space="preserve">, this rate is even smaller (</w:t>
      </w:r>
      <w:hyperlink w:anchor="fig-uniform-pd">
        <w:r>
          <w:rPr>
            <w:rStyle w:val="Hyperlink"/>
          </w:rPr>
          <w:t xml:space="preserve">Figure 2</w:t>
        </w:r>
      </w:hyperlink>
      <w:r>
        <w:t xml:space="preserve">). Since</w:t>
      </w:r>
      <w:r>
        <w:t xml:space="preserve"> </w:t>
      </w:r>
      <m:oMath>
        <m:sSup>
          <m:e>
            <m:r>
              <m:t>α</m:t>
            </m:r>
          </m:e>
          <m:sup>
            <m:r>
              <m:rPr>
                <m:sty m:val="p"/>
              </m:rPr>
              <m:t>*</m:t>
            </m:r>
          </m:sup>
        </m:sSup>
        <m:r>
          <m:rPr>
            <m:sty m:val="p"/>
          </m:rPr>
          <m:t>&lt;</m:t>
        </m:r>
        <m:r>
          <m:t>α</m:t>
        </m:r>
      </m:oMath>
      <w:r>
        <w:t xml:space="preserve">, the adjustment lowers both factors: the pFDR, which increases with</w:t>
      </w:r>
      <w:r>
        <w:t xml:space="preserve"> </w:t>
      </w:r>
      <m:oMath>
        <m:r>
          <m:t>α</m:t>
        </m:r>
      </m:oMath>
      <w:r>
        <w:t xml:space="preserve">, and</w:t>
      </w:r>
      <w:r>
        <w:t xml:space="preserve"> </w:t>
      </w:r>
      <m:oMath>
        <m:r>
          <m:rPr>
            <m:sty m:val="p"/>
          </m:rPr>
          <m:t>Pr</m:t>
        </m:r>
        <m:r>
          <m:rPr>
            <m:sty m:val="p"/>
          </m:rPr>
          <m:t>(</m:t>
        </m:r>
        <m:r>
          <m:t>R</m:t>
        </m:r>
        <m:r>
          <m:rPr>
            <m:sty m:val="p"/>
          </m:rPr>
          <m:t>&gt;</m:t>
        </m:r>
        <m:r>
          <m:t>0</m:t>
        </m:r>
        <m:r>
          <m:rPr>
            <m:sty m:val="p"/>
          </m:rPr>
          <m:t>)</m:t>
        </m:r>
      </m:oMath>
      <w:r>
        <w:t xml:space="preserve">, which falls as fewer claims are made. The FDR is therefore lower than under the unadjusted rule. For independent tests and a given</w:t>
      </w:r>
      <w:r>
        <w:t xml:space="preserve"> </w:t>
      </w:r>
      <m:oMath>
        <m:sSub>
          <m:e>
            <m:r>
              <m:t>π</m:t>
            </m:r>
          </m:e>
          <m:sub>
            <m:r>
              <m:t>0</m:t>
            </m:r>
          </m:sub>
        </m:sSub>
      </m:oMath>
      <w:r>
        <w:t xml:space="preserve">, the pFDR does not depend on</w:t>
      </w:r>
      <w:r>
        <w:t xml:space="preserve"> </w:t>
      </w:r>
      <m:oMath>
        <m:r>
          <m:t>m</m:t>
        </m:r>
      </m:oMath>
      <w:r>
        <w:t xml:space="preserve">, so the family size affects the FDR only through</w:t>
      </w:r>
      <w:r>
        <w:t xml:space="preserve"> </w:t>
      </w:r>
      <m:oMath>
        <m:r>
          <m:rPr>
            <m:sty m:val="p"/>
          </m:rPr>
          <m:t>Pr</m:t>
        </m:r>
        <m:r>
          <m:rPr>
            <m:sty m:val="p"/>
          </m:rPr>
          <m:t>(</m:t>
        </m:r>
        <m:r>
          <m:t>R</m:t>
        </m:r>
        <m:r>
          <m:rPr>
            <m:sty m:val="p"/>
          </m:rPr>
          <m:t>&gt;</m:t>
        </m:r>
        <m:r>
          <m:t>0</m:t>
        </m:r>
        <m:r>
          <m:rPr>
            <m:sty m:val="p"/>
          </m:rPr>
          <m:t>)</m:t>
        </m:r>
      </m:oMath>
      <w:r>
        <w:t xml:space="preserve">, which increases with</w:t>
      </w:r>
      <w:r>
        <w:t xml:space="preserve"> </w:t>
      </w:r>
      <m:oMath>
        <m:r>
          <m:t>m</m:t>
        </m:r>
      </m:oMath>
      <w:r>
        <w:t xml:space="preserve">. The error rates also depend on how</w:t>
      </w:r>
      <w:r>
        <w:t xml:space="preserve"> </w:t>
      </w:r>
      <m:oMath>
        <m:sSub>
          <m:e>
            <m:r>
              <m:t>π</m:t>
            </m:r>
          </m:e>
          <m:sub>
            <m:r>
              <m:t>0</m:t>
            </m:r>
          </m:sub>
        </m:sSub>
      </m:oMath>
      <w:r>
        <w:t xml:space="preserve"> </w:t>
      </w:r>
      <w:r>
        <w:t xml:space="preserve">relates to</w:t>
      </w:r>
      <w:r>
        <w:t xml:space="preserve"> </w:t>
      </w:r>
      <m:oMath>
        <m:sSub>
          <m:e>
            <m:r>
              <m:t>π</m:t>
            </m:r>
          </m:e>
          <m:sub>
            <m:r>
              <m:rPr>
                <m:nor/>
                <m:sty m:val="p"/>
              </m:rPr>
              <m:t>null</m:t>
            </m:r>
          </m:sub>
        </m:sSub>
      </m:oMath>
      <w:r>
        <w:t xml:space="preserve">: when</w:t>
      </w:r>
      <w:r>
        <w:t xml:space="preserve"> </w:t>
      </w:r>
      <m:oMath>
        <m:sSub>
          <m:e>
            <m:r>
              <m:t>π</m:t>
            </m:r>
          </m:e>
          <m:sub>
            <m:r>
              <m:t>0</m:t>
            </m:r>
          </m:sub>
        </m:sSub>
        <m:r>
          <m:rPr>
            <m:sty m:val="p"/>
          </m:rPr>
          <m:t>&lt;</m:t>
        </m:r>
        <m:sSub>
          <m:e>
            <m:r>
              <m:t>π</m:t>
            </m:r>
          </m:e>
          <m:sub>
            <m:r>
              <m:rPr>
                <m:nor/>
                <m:sty m:val="p"/>
              </m:rPr>
              <m:t>null</m:t>
            </m:r>
          </m:sub>
        </m:sSub>
      </m:oMath>
      <w:r>
        <w:t xml:space="preserve">, the threshold is raised less than the proportion of null effects would require. The simulations below therefore vary both quantities.</w:t>
      </w:r>
    </w:p>
    <w:bookmarkStart w:id="78" w:name="simulation-study"/>
    <w:p>
      <w:pPr>
        <w:pStyle w:val="Heading3"/>
      </w:pPr>
      <w:r>
        <w:t xml:space="preserve">Simulation Study</w:t>
      </w:r>
    </w:p>
    <w:p>
      <w:pPr>
        <w:pStyle w:val="FirstParagraph"/>
      </w:pPr>
      <w:r>
        <w:t xml:space="preserve">We conducted a fully crossed simulation study, with 10,000 replications per cell, to examine the rule with matched, underestimated, and conservative values of</w:t>
      </w:r>
      <w:r>
        <w:t xml:space="preserve"> </w:t>
      </w:r>
      <m:oMath>
        <m:sSub>
          <m:e>
            <m:r>
              <m:t>π</m:t>
            </m:r>
          </m:e>
          <m:sub>
            <m:r>
              <m:t>0</m:t>
            </m:r>
          </m:sub>
        </m:sSub>
      </m:oMath>
      <w:r>
        <w:t xml:space="preserve">. We varied the specified</w:t>
      </w:r>
      <w:r>
        <w:t xml:space="preserve"> </w:t>
      </w:r>
      <m:oMath>
        <m:sSub>
          <m:e>
            <m:r>
              <m:t>π</m:t>
            </m:r>
          </m:e>
          <m:sub>
            <m:r>
              <m:t>0</m:t>
            </m:r>
          </m:sub>
        </m:sSub>
        <m:r>
          <m:rPr>
            <m:sty m:val="p"/>
          </m:rPr>
          <m:t>∈</m:t>
        </m:r>
        <m:r>
          <m:rPr>
            <m:sty m:val="p"/>
          </m:rPr>
          <m:t>{</m:t>
        </m:r>
        <m:r>
          <m:t>.50</m:t>
        </m:r>
        <m:r>
          <m:rPr>
            <m:sty m:val="p"/>
          </m:rPr>
          <m:t>,</m:t>
        </m:r>
        <m:r>
          <m:t>.6</m:t>
        </m:r>
        <m:r>
          <m:rPr>
            <m:sty m:val="p"/>
          </m:rPr>
          <m:t>,</m:t>
        </m:r>
        <m:r>
          <m:rPr>
            <m:sty m:val="p"/>
          </m:rPr>
          <m:t>…</m:t>
        </m:r>
        <m:r>
          <m:rPr>
            <m:sty m:val="p"/>
          </m:rPr>
          <m:t>,</m:t>
        </m:r>
        <m:r>
          <m:t>.9</m:t>
        </m:r>
        <m:r>
          <m:rPr>
            <m:sty m:val="p"/>
          </m:rPr>
          <m:t>}</m:t>
        </m:r>
      </m:oMath>
      <w:r>
        <w:t xml:space="preserve">, set directly and at the same value for every family size, which determines the threshold</w:t>
      </w:r>
      <w:r>
        <w:t xml:space="preserve"> </w:t>
      </w:r>
      <m:oMath>
        <m:sSup>
          <m:e>
            <m:r>
              <m:t>c</m:t>
            </m:r>
          </m:e>
          <m:sup>
            <m:r>
              <m:rPr>
                <m:sty m:val="p"/>
              </m:rPr>
              <m:t>*</m:t>
            </m:r>
          </m:sup>
        </m:sSup>
      </m:oMath>
      <w:r>
        <w:t xml:space="preserve">; the expected proportion of null effects,</w:t>
      </w:r>
      <w:r>
        <w:t xml:space="preserve"> </w:t>
      </w:r>
      <m:oMath>
        <m:sSub>
          <m:e>
            <m:r>
              <m:t>π</m:t>
            </m:r>
          </m:e>
          <m:sub>
            <m:r>
              <m:rPr>
                <m:nor/>
                <m:sty m:val="p"/>
              </m:rPr>
              <m:t>null</m:t>
            </m:r>
          </m:sub>
        </m:sSub>
        <m:r>
          <m:rPr>
            <m:sty m:val="p"/>
          </m:rPr>
          <m:t>∈</m:t>
        </m:r>
        <m:r>
          <m:rPr>
            <m:sty m:val="p"/>
          </m:rPr>
          <m:t>{</m:t>
        </m:r>
        <m:r>
          <m:t>.5</m:t>
        </m:r>
        <m:r>
          <m:rPr>
            <m:sty m:val="p"/>
          </m:rPr>
          <m:t>,</m:t>
        </m:r>
        <m:r>
          <m:t>.6</m:t>
        </m:r>
        <m:r>
          <m:rPr>
            <m:sty m:val="p"/>
          </m:rPr>
          <m:t>,</m:t>
        </m:r>
        <m:r>
          <m:rPr>
            <m:sty m:val="p"/>
          </m:rPr>
          <m:t>…</m:t>
        </m:r>
        <m:r>
          <m:rPr>
            <m:sty m:val="p"/>
          </m:rPr>
          <m:t>,</m:t>
        </m:r>
        <m:r>
          <m:t>1.0</m:t>
        </m:r>
        <m:r>
          <m:rPr>
            <m:sty m:val="p"/>
          </m:rPr>
          <m:t>}</m:t>
        </m:r>
      </m:oMath>
      <w:r>
        <w:t xml:space="preserve">; the family size</w:t>
      </w:r>
      <w:r>
        <w:t xml:space="preserve"> </w:t>
      </w:r>
      <m:oMath>
        <m:r>
          <m:t>m</m:t>
        </m:r>
        <m:r>
          <m:rPr>
            <m:sty m:val="p"/>
          </m:rPr>
          <m:t>∈</m:t>
        </m:r>
        <m:r>
          <m:rPr>
            <m:sty m:val="p"/>
          </m:rPr>
          <m:t>{</m:t>
        </m:r>
        <m:r>
          <m:t>4</m:t>
        </m:r>
        <m:r>
          <m:rPr>
            <m:sty m:val="p"/>
          </m:rPr>
          <m:t>,</m:t>
        </m:r>
        <m:r>
          <m:t>8</m:t>
        </m:r>
        <m:r>
          <m:rPr>
            <m:sty m:val="p"/>
          </m:rPr>
          <m:t>,</m:t>
        </m:r>
        <m:r>
          <m:t>10</m:t>
        </m:r>
        <m:r>
          <m:rPr>
            <m:sty m:val="p"/>
          </m:rPr>
          <m:t>,</m:t>
        </m:r>
        <m:r>
          <m:t>20</m:t>
        </m:r>
        <m:r>
          <m:rPr>
            <m:sty m:val="p"/>
          </m:rPr>
          <m:t>}</m:t>
        </m:r>
      </m:oMath>
      <w:r>
        <w:t xml:space="preserve">; and the sample size</w:t>
      </w:r>
      <w:r>
        <w:t xml:space="preserve"> </w:t>
      </w:r>
      <m:oMath>
        <m:r>
          <m:t>n</m:t>
        </m:r>
        <m:r>
          <m:rPr>
            <m:sty m:val="p"/>
          </m:rPr>
          <m:t>∈</m:t>
        </m:r>
        <m:r>
          <m:rPr>
            <m:sty m:val="p"/>
          </m:rPr>
          <m:t>{</m:t>
        </m:r>
        <m:r>
          <m:t>30</m:t>
        </m:r>
        <m:r>
          <m:rPr>
            <m:sty m:val="p"/>
          </m:rPr>
          <m:t>,</m:t>
        </m:r>
        <m:r>
          <m:t>50</m:t>
        </m:r>
        <m:r>
          <m:rPr>
            <m:sty m:val="p"/>
          </m:rPr>
          <m:t>,</m:t>
        </m:r>
        <m:r>
          <m:t>100</m:t>
        </m:r>
        <m:r>
          <m:rPr>
            <m:sty m:val="p"/>
          </m:rPr>
          <m:t>}</m:t>
        </m:r>
      </m:oMath>
      <w:r>
        <w:t xml:space="preserve">. At each replication the number of true null effects (</w:t>
      </w:r>
      <m:oMath>
        <m:sSub>
          <m:e>
            <m:r>
              <m:t>θ</m:t>
            </m:r>
          </m:e>
          <m:sub>
            <m:r>
              <m:t>i</m:t>
            </m:r>
          </m:sub>
        </m:sSub>
        <m:r>
          <m:rPr>
            <m:sty m:val="p"/>
          </m:rPr>
          <m:t>=</m:t>
        </m:r>
        <m:r>
          <m:t>0</m:t>
        </m:r>
      </m:oMath>
      <w:r>
        <w:t xml:space="preserve">) was drawn from</w:t>
      </w:r>
      <w:r>
        <w:t xml:space="preserve"> </w:t>
      </w:r>
      <m:oMath>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r>
          <m:t>m</m:t>
        </m:r>
        <m:r>
          <m:rPr>
            <m:sty m:val="p"/>
          </m:rPr>
          <m:t>,</m:t>
        </m:r>
        <m:sSub>
          <m:e>
            <m:r>
              <m:t>π</m:t>
            </m:r>
          </m:e>
          <m:sub>
            <m:r>
              <m:rPr>
                <m:nor/>
                <m:sty m:val="p"/>
              </m:rPr>
              <m:t>null</m:t>
            </m:r>
          </m:sub>
        </m:sSub>
        <m:r>
          <m:rPr>
            <m:sty m:val="p"/>
          </m:rPr>
          <m:t>)</m:t>
        </m:r>
      </m:oMath>
      <w:r>
        <w:t xml:space="preserve"> </w:t>
      </w:r>
      <w:r>
        <w:t xml:space="preserve">and the remaining parameters set to</w:t>
      </w:r>
      <w:r>
        <w:t xml:space="preserve"> </w:t>
      </w:r>
      <m:oMath>
        <m:sSub>
          <m:e>
            <m:r>
              <m:t>θ</m:t>
            </m:r>
          </m:e>
          <m:sub>
            <m:r>
              <m:t>i</m:t>
            </m:r>
          </m:sub>
        </m:sSub>
        <m:r>
          <m:rPr>
            <m:sty m:val="p"/>
          </m:rPr>
          <m:t>=</m:t>
        </m:r>
        <m:r>
          <m:t>0.3</m:t>
        </m:r>
      </m:oMath>
      <w:r>
        <w:t xml:space="preserve">; observations were generated as</w:t>
      </w:r>
      <w:r>
        <w:t xml:space="preserve"> </w:t>
      </w:r>
      <m:oMath>
        <m:sSub>
          <m:e>
            <m:r>
              <m:t>y</m:t>
            </m:r>
          </m:e>
          <m:sub>
            <m:r>
              <m:t>i</m:t>
            </m:r>
          </m:sub>
        </m:sSub>
        <m:r>
          <m:rPr>
            <m:sty m:val="p"/>
          </m:rPr>
          <m:t>∼</m:t>
        </m:r>
        <m:r>
          <m:rPr>
            <m:scr m:val="script"/>
            <m:sty m:val="p"/>
          </m:rPr>
          <m:t>N</m:t>
        </m:r>
        <m:r>
          <m:rPr>
            <m:sty m:val="p"/>
          </m:rPr>
          <m:t>(</m:t>
        </m:r>
        <m:sSub>
          <m:e>
            <m:r>
              <m:t>θ</m:t>
            </m:r>
          </m:e>
          <m:sub>
            <m:r>
              <m:t>i</m:t>
            </m:r>
          </m:sub>
        </m:sSub>
        <m:r>
          <m:rPr>
            <m:sty m:val="p"/>
          </m:rPr>
          <m:t>,</m:t>
        </m:r>
        <m:r>
          <m:t>1</m:t>
        </m:r>
        <m:r>
          <m:rPr>
            <m:sty m:val="p"/>
          </m:rPr>
          <m:t>)</m:t>
        </m:r>
      </m:oMath>
      <w:r>
        <w:t xml:space="preserve">, and the posterior obtained from a conjugate normal–normal model with</w:t>
      </w:r>
      <w:r>
        <w:t xml:space="preserve"> </w:t>
      </w:r>
      <m:oMath>
        <m:sSub>
          <m:e>
            <m:r>
              <m:t>y</m:t>
            </m:r>
          </m:e>
          <m:sub>
            <m:r>
              <m:t>i</m:t>
            </m:r>
          </m:sub>
        </m:sSub>
        <m:r>
          <m:rPr>
            <m:sty m:val="p"/>
          </m:rPr>
          <m:t>∣</m:t>
        </m:r>
        <m:r>
          <m:t>θ</m:t>
        </m:r>
        <m:r>
          <m:rPr>
            <m:sty m:val="p"/>
          </m:rPr>
          <m:t>∼</m:t>
        </m:r>
        <m:r>
          <m:rPr>
            <m:scr m:val="script"/>
            <m:sty m:val="p"/>
          </m:rPr>
          <m:t>N</m:t>
        </m:r>
        <m:r>
          <m:rPr>
            <m:sty m:val="p"/>
          </m:rPr>
          <m:t>(</m:t>
        </m:r>
        <m:r>
          <m:t>θ</m:t>
        </m:r>
        <m:r>
          <m:rPr>
            <m:sty m:val="p"/>
          </m:rPr>
          <m:t>,</m:t>
        </m:r>
        <m:r>
          <m:t>1</m:t>
        </m:r>
        <m:r>
          <m:rPr>
            <m:sty m:val="p"/>
          </m:rPr>
          <m:t>)</m:t>
        </m:r>
      </m:oMath>
      <w:r>
        <w:t xml:space="preserve"> </w:t>
      </w:r>
      <w:r>
        <w:t xml:space="preserve">and prior</w:t>
      </w:r>
      <w:r>
        <w:t xml:space="preserve"> </w:t>
      </w:r>
      <m:oMath>
        <m:r>
          <m:t>θ</m:t>
        </m:r>
        <m:r>
          <m:rPr>
            <m:sty m:val="p"/>
          </m:rPr>
          <m:t>∼</m:t>
        </m:r>
        <m:r>
          <m:rPr>
            <m:scr m:val="script"/>
            <m:sty m:val="p"/>
          </m:rPr>
          <m:t>N</m:t>
        </m:r>
        <m:r>
          <m:rPr>
            <m:sty m:val="p"/>
          </m:rPr>
          <m:t>(</m:t>
        </m:r>
        <m:r>
          <m:t>0</m:t>
        </m:r>
        <m:r>
          <m:rPr>
            <m:sty m:val="p"/>
          </m:rPr>
          <m:t>,</m:t>
        </m:r>
        <m:r>
          <m:t>2</m:t>
        </m:r>
        <m:r>
          <m:rPr>
            <m:sty m:val="p"/>
          </m:rPr>
          <m:t>)</m:t>
        </m:r>
      </m:oMath>
      <w:r>
        <w:t xml:space="preserve">. A directional claim was made when</w:t>
      </w:r>
      <w:r>
        <w:t xml:space="preserve"> </w:t>
      </w:r>
      <m:oMath>
        <m:r>
          <m:t>p</m:t>
        </m:r>
        <m:r>
          <m:t>d</m:t>
        </m:r>
        <m:r>
          <m:rPr>
            <m:sty m:val="p"/>
          </m:rPr>
          <m:t>&gt;</m:t>
        </m:r>
        <m:sSup>
          <m:e>
            <m:r>
              <m:t>c</m:t>
            </m:r>
          </m:e>
          <m:sup>
            <m:r>
              <m:rPr>
                <m:sty m:val="p"/>
              </m:rPr>
              <m:t>*</m:t>
            </m:r>
          </m:sup>
        </m:sSup>
      </m:oMath>
      <w:r>
        <w:t xml:space="preserve">, with</w:t>
      </w:r>
      <w:r>
        <w:t xml:space="preserve"> </w:t>
      </w:r>
      <m:oMath>
        <m:r>
          <m:t>c</m:t>
        </m:r>
      </m:oMath>
      <w:r>
        <w:t xml:space="preserve"> </w:t>
      </w:r>
      <w:r>
        <w:t xml:space="preserve">fixed at</w:t>
      </w:r>
      <w:r>
        <w:t xml:space="preserve"> </w:t>
      </w:r>
      <m:oMath>
        <m:r>
          <m:t>.975</m:t>
        </m:r>
      </m:oMath>
      <w:r>
        <w:t xml:space="preserve"> </w:t>
      </w:r>
      <w:r>
        <w:t xml:space="preserve">throughout, and we evaluated the FDR, the FWER, and average power, the proportion of non-null effects for which a direction is claimed</w:t>
      </w:r>
      <w:r>
        <w:t xml:space="preserve"> </w:t>
      </w:r>
      <w:r>
        <w:t xml:space="preserve">(</w:t>
      </w:r>
      <w:hyperlink w:anchor="ref-Benjamini1995">
        <w:r>
          <w:rPr>
            <w:rStyle w:val="Hyperlink"/>
          </w:rPr>
          <w:t xml:space="preserve">Benjamini &amp; Hochberg, 1995</w:t>
        </w:r>
      </w:hyperlink>
      <w:r>
        <w:t xml:space="preserve">;</w:t>
      </w:r>
      <w:r>
        <w:t xml:space="preserve"> </w:t>
      </w:r>
      <w:hyperlink w:anchor="ref-Grant2025">
        <w:r>
          <w:rPr>
            <w:rStyle w:val="Hyperlink"/>
          </w:rPr>
          <w:t xml:space="preserve">Izmirlian et al., 2025</w:t>
        </w:r>
      </w:hyperlink>
      <w:r>
        <w:t xml:space="preserve">)</w:t>
      </w:r>
      <w:r>
        <w:t xml:space="preserve">. All values of</w:t>
      </w:r>
      <w:r>
        <w:t xml:space="preserve"> </w:t>
      </w:r>
      <m:oMath>
        <m:sSub>
          <m:e>
            <m:r>
              <m:t>π</m:t>
            </m:r>
          </m:e>
          <m:sub>
            <m:r>
              <m:t>0</m:t>
            </m:r>
          </m:sub>
        </m:sSub>
      </m:oMath>
      <w:r>
        <w:t xml:space="preserve"> </w:t>
      </w:r>
      <w:r>
        <w:t xml:space="preserve">were applied to the same replications. The value</w:t>
      </w:r>
      <w:r>
        <w:t xml:space="preserve"> </w:t>
      </w:r>
      <m:oMath>
        <m:sSub>
          <m:e>
            <m:r>
              <m:t>π</m:t>
            </m:r>
          </m:e>
          <m:sub>
            <m:r>
              <m:t>0</m:t>
            </m:r>
          </m:sub>
        </m:sSub>
        <m:r>
          <m:rPr>
            <m:sty m:val="p"/>
          </m:rPr>
          <m:t>=</m:t>
        </m:r>
        <m:r>
          <m:t>.5</m:t>
        </m:r>
      </m:oMath>
      <w:r>
        <w:t xml:space="preserve"> </w:t>
      </w:r>
      <w:r>
        <w:t xml:space="preserve">corresponds to the unadjusted rule (</w:t>
      </w:r>
      <m:oMath>
        <m:sSup>
          <m:e>
            <m:r>
              <m:t>c</m:t>
            </m:r>
          </m:e>
          <m:sup>
            <m:r>
              <m:rPr>
                <m:sty m:val="p"/>
              </m:rPr>
              <m:t>*</m:t>
            </m:r>
          </m:sup>
        </m:sSup>
        <m:r>
          <m:rPr>
            <m:sty m:val="p"/>
          </m:rPr>
          <m:t>=</m:t>
        </m:r>
        <m:r>
          <m:t>c</m:t>
        </m:r>
      </m:oMath>
      <w:r>
        <w:t xml:space="preserve">), and</w:t>
      </w:r>
      <w:r>
        <w:t xml:space="preserve"> </w:t>
      </w:r>
      <m:oMath>
        <m:sSub>
          <m:e>
            <m:r>
              <m:t>π</m:t>
            </m:r>
          </m:e>
          <m:sub>
            <m:r>
              <m:t>0</m:t>
            </m:r>
          </m:sub>
        </m:sSub>
        <m:r>
          <m:rPr>
            <m:sty m:val="p"/>
          </m:rPr>
          <m:t>=</m:t>
        </m:r>
        <m:sSub>
          <m:e>
            <m:r>
              <m:t>π</m:t>
            </m:r>
          </m:e>
          <m:sub>
            <m:r>
              <m:rPr>
                <m:nor/>
                <m:sty m:val="p"/>
              </m:rPr>
              <m:t>null</m:t>
            </m:r>
          </m:sub>
        </m:sSub>
      </m:oMath>
      <w:r>
        <w:t xml:space="preserve"> </w:t>
      </w:r>
      <w:r>
        <w:t xml:space="preserve">to a matched value. Claims are direction-agnostic, so a true null can be falsely claimed in either direction; with a preregistered direction, the per-test error rate at the same</w:t>
      </w:r>
      <w:r>
        <w:t xml:space="preserve"> </w:t>
      </w:r>
      <m:oMath>
        <m:r>
          <m:t>c</m:t>
        </m:r>
      </m:oMath>
      <w:r>
        <w:t xml:space="preserve"> </w:t>
      </w:r>
      <w:r>
        <w:t xml:space="preserve">is halved.</w:t>
      </w:r>
    </w:p>
    <w:p>
      <w:pPr>
        <w:pStyle w:val="BodyText"/>
      </w:pPr>
      <w:hyperlink w:anchor="fig-ind-fdr-pw">
        <w:r>
          <w:rPr>
            <w:rStyle w:val="Hyperlink"/>
          </w:rPr>
          <w:t xml:space="preserve">Figure 5</w:t>
        </w:r>
      </w:hyperlink>
      <w:r>
        <w:t xml:space="preserve"> </w:t>
      </w:r>
      <w:r>
        <w:t xml:space="preserve">shows the FDR resulting from our procedure across the grid. In the column</w:t>
      </w:r>
      <w:r>
        <w:t xml:space="preserve"> </w:t>
      </w:r>
      <m:oMath>
        <m:sSub>
          <m:e>
            <m:r>
              <m:t>π</m:t>
            </m:r>
          </m:e>
          <m:sub>
            <m:r>
              <m:t>0</m:t>
            </m:r>
          </m:sub>
        </m:sSub>
        <m:r>
          <m:rPr>
            <m:sty m:val="p"/>
          </m:rPr>
          <m:t>=</m:t>
        </m:r>
        <m:r>
          <m:t>.5</m:t>
        </m:r>
      </m:oMath>
      <w:r>
        <w:t xml:space="preserve">, the unadjusted rule, the FDR inflates with the family size</w:t>
      </w:r>
      <w:r>
        <w:t xml:space="preserve"> </w:t>
      </w:r>
      <m:oMath>
        <m:r>
          <m:t>m</m:t>
        </m:r>
      </m:oMath>
      <w:r>
        <w:t xml:space="preserve"> </w:t>
      </w:r>
      <w:r>
        <w:t xml:space="preserve">and the true proportion of null effects,</w:t>
      </w:r>
      <w:r>
        <w:t xml:space="preserve"> </w:t>
      </w:r>
      <m:oMath>
        <m:sSub>
          <m:e>
            <m:r>
              <m:t>π</m:t>
            </m:r>
          </m:e>
          <m:sub>
            <m:r>
              <m:rPr>
                <m:nor/>
                <m:sty m:val="p"/>
              </m:rPr>
              <m:t>null</m:t>
            </m:r>
          </m:sub>
        </m:sSub>
      </m:oMath>
      <w:r>
        <w:t xml:space="preserve">, reaching</w:t>
      </w:r>
      <w:r>
        <w:t xml:space="preserve"> </w:t>
      </w:r>
      <m:oMath>
        <m:r>
          <m:t>.64</m:t>
        </m:r>
      </m:oMath>
      <w:r>
        <w:t xml:space="preserve"> </w:t>
      </w:r>
      <w:r>
        <w:t xml:space="preserve">when the family is large and most effects are null. Increasing</w:t>
      </w:r>
      <w:r>
        <w:t xml:space="preserve"> </w:t>
      </w:r>
      <m:oMath>
        <m:sSub>
          <m:e>
            <m:r>
              <m:t>π</m:t>
            </m:r>
          </m:e>
          <m:sub>
            <m:r>
              <m:t>0</m:t>
            </m:r>
          </m:sub>
        </m:sSub>
      </m:oMath>
      <w:r>
        <w:t xml:space="preserve"> </w:t>
      </w:r>
      <w:r>
        <w:t xml:space="preserve">brings the FDR under control: it is held low whenever the specified</w:t>
      </w:r>
      <w:r>
        <w:t xml:space="preserve"> </w:t>
      </w:r>
      <m:oMath>
        <m:sSub>
          <m:e>
            <m:r>
              <m:t>π</m:t>
            </m:r>
          </m:e>
          <m:sub>
            <m:r>
              <m:t>0</m:t>
            </m:r>
          </m:sub>
        </m:sSub>
      </m:oMath>
      <w:r>
        <w:t xml:space="preserve"> </w:t>
      </w:r>
      <w:r>
        <w:t xml:space="preserve">is at least the true proportion, and inflates only under substantial underestimation, when a small</w:t>
      </w:r>
      <w:r>
        <w:t xml:space="preserve"> </w:t>
      </w:r>
      <m:oMath>
        <m:sSub>
          <m:e>
            <m:r>
              <m:t>π</m:t>
            </m:r>
          </m:e>
          <m:sub>
            <m:r>
              <m:t>0</m:t>
            </m:r>
          </m:sub>
        </m:sSub>
      </m:oMath>
      <w:r>
        <w:t xml:space="preserve"> </w:t>
      </w:r>
      <w:r>
        <w:t xml:space="preserve">is paired with a large</w:t>
      </w:r>
      <w:r>
        <w:t xml:space="preserve"> </w:t>
      </w:r>
      <m:oMath>
        <m:sSub>
          <m:e>
            <m:r>
              <m:t>π</m:t>
            </m:r>
          </m:e>
          <m:sub>
            <m:r>
              <m:rPr>
                <m:nor/>
                <m:sty m:val="p"/>
              </m:rPr>
              <m:t>null</m:t>
            </m:r>
          </m:sub>
        </m:sSub>
      </m:oMath>
      <w:r>
        <w:t xml:space="preserve"> </w:t>
      </w:r>
      <w:r>
        <w:t xml:space="preserve">at large</w:t>
      </w:r>
      <w:r>
        <w:t xml:space="preserve"> </w:t>
      </w:r>
      <m:oMath>
        <m:r>
          <m:t>m</m:t>
        </m:r>
      </m:oMath>
      <w:r>
        <w:t xml:space="preserve">. This control trades off power, which decreases as</w:t>
      </w:r>
      <w:r>
        <w:t xml:space="preserve"> </w:t>
      </w:r>
      <m:oMath>
        <m:sSub>
          <m:e>
            <m:r>
              <m:t>π</m:t>
            </m:r>
          </m:e>
          <m:sub>
            <m:r>
              <m:t>0</m:t>
            </m:r>
          </m:sub>
        </m:sSub>
      </m:oMath>
      <w:r>
        <w:t xml:space="preserve"> </w:t>
      </w:r>
      <w:r>
        <w:t xml:space="preserve">increases; because average power does not vary with</w:t>
      </w:r>
      <w:r>
        <w:t xml:space="preserve"> </w:t>
      </w:r>
      <m:oMath>
        <m:r>
          <m:t>m</m:t>
        </m:r>
      </m:oMath>
      <w:r>
        <w:t xml:space="preserve"> </w:t>
      </w:r>
      <w:r>
        <w:t xml:space="preserve">(for fixed</w:t>
      </w:r>
      <w:r>
        <w:t xml:space="preserve"> </w:t>
      </w:r>
      <m:oMath>
        <m:sSub>
          <m:e>
            <m:r>
              <m:t>π</m:t>
            </m:r>
          </m:e>
          <m:sub>
            <m:r>
              <m:rPr>
                <m:nor/>
                <m:sty m:val="p"/>
              </m:rPr>
              <m:t>null</m:t>
            </m:r>
          </m:sub>
        </m:sSub>
      </m:oMath>
      <w:r>
        <w:t xml:space="preserve"> </w:t>
      </w:r>
      <w:r>
        <w:t xml:space="preserve">and</w:t>
      </w:r>
      <w:r>
        <w:t xml:space="preserve"> </w:t>
      </w:r>
      <m:oMath>
        <m:sSub>
          <m:e>
            <m:r>
              <m:t>π</m:t>
            </m:r>
          </m:e>
          <m:sub>
            <m:r>
              <m:t>0</m:t>
            </m:r>
          </m:sub>
        </m:sSub>
      </m:oMath>
      <w:r>
        <w:t xml:space="preserve">), we display</w:t>
      </w:r>
      <w:r>
        <w:t xml:space="preserve"> </w:t>
      </w:r>
      <m:oMath>
        <m:r>
          <m:t>m</m:t>
        </m:r>
        <m:r>
          <m:rPr>
            <m:sty m:val="p"/>
          </m:rPr>
          <m:t>=</m:t>
        </m:r>
        <m:r>
          <m:t>20</m:t>
        </m:r>
      </m:oMath>
      <w:r>
        <w:t xml:space="preserve"> </w:t>
      </w:r>
      <w:r>
        <w:t xml:space="preserve">as a representative condition (</w:t>
      </w:r>
      <w:hyperlink w:anchor="fig-ind-fdr-pw">
        <w:r>
          <w:rPr>
            <w:rStyle w:val="Hyperlink"/>
          </w:rPr>
          <w:t xml:space="preserve">Figure 5</w:t>
        </w:r>
      </w:hyperlink>
      <w:r>
        <w:t xml:space="preserve">).</w:t>
      </w:r>
    </w:p>
    <w:bookmarkStart w:id="73" w:name="fig-ind-fdr-pw"/>
    <w:p>
      <w:pPr>
        <w:pStyle w:val="FigureTitle"/>
      </w:pPr>
      <w:r>
        <w:t xml:space="preserve">Figure 5</w:t>
      </w:r>
    </w:p>
    <w:p>
      <w:pPr>
        <w:pStyle w:val="Caption"/>
      </w:pPr>
      <w:r>
        <w:t xml:space="preserve">False Discovery Rate and Power of the Prior-Odds Rule</w:t>
      </w:r>
    </w:p>
    <w:p>
      <w:pPr>
        <w:pStyle w:val="FigureWithNote"/>
      </w:pPr>
      <w:r>
        <w:drawing>
          <wp:inline>
            <wp:extent cx="5943600" cy="6792685"/>
            <wp:effectExtent b="0" l="0" r="0" t="0"/>
            <wp:docPr descr="" title="" id="71" name="Picture"/>
            <a:graphic>
              <a:graphicData uri="http://schemas.openxmlformats.org/drawingml/2006/picture">
                <pic:pic>
                  <pic:nvPicPr>
                    <pic:cNvPr descr="manuscript_v2_files/figure-docx/fig-ind-fdr-pw-1.png" id="72" name="Picture"/>
                    <pic:cNvPicPr>
                      <a:picLocks noChangeArrowheads="1" noChangeAspect="1"/>
                    </pic:cNvPicPr>
                  </pic:nvPicPr>
                  <pic:blipFill>
                    <a:blip r:embed="rId70"/>
                    <a:stretch>
                      <a:fillRect/>
                    </a:stretch>
                  </pic:blipFill>
                  <pic:spPr bwMode="auto">
                    <a:xfrm>
                      <a:off x="0" y="0"/>
                      <a:ext cx="5943600" cy="6792685"/>
                    </a:xfrm>
                    <a:prstGeom prst="rect">
                      <a:avLst/>
                    </a:prstGeom>
                    <a:noFill/>
                    <a:ln w="9525">
                      <a:noFill/>
                      <a:headEnd/>
                      <a:tailEnd/>
                    </a:ln>
                  </pic:spPr>
                </pic:pic>
              </a:graphicData>
            </a:graphic>
          </wp:inline>
        </w:drawing>
      </w:r>
    </w:p>
    <w:bookmarkEnd w:id="73"/>
    <w:p>
      <w:pPr>
        <w:pStyle w:val="FigureNote"/>
      </w:pPr>
      <w:r>
        <w:rPr>
          <w:i/>
          <w:iCs/>
        </w:rPr>
        <w:t xml:space="preserve">Note</w:t>
      </w:r>
      <w:r>
        <w:t xml:space="preserve">. False Discovery Rate (FDR, Panel A) and average power (Panel B) as a function of the specified</w:t>
      </w:r>
      <w:r>
        <w:t xml:space="preserve"> </w:t>
      </w:r>
      <m:oMath>
        <m:sSub>
          <m:e>
            <m:r>
              <m:t>π</m:t>
            </m:r>
          </m:e>
          <m:sub>
            <m:r>
              <m:t>0</m:t>
            </m:r>
          </m:sub>
        </m:sSub>
      </m:oMath>
      <w:r>
        <w:t xml:space="preserve"> </w:t>
      </w:r>
      <w:r>
        <w:t xml:space="preserve">(x-axis) and the true proportion of null effects,</w:t>
      </w:r>
      <w:r>
        <w:t xml:space="preserve"> </w:t>
      </w:r>
      <m:oMath>
        <m:sSub>
          <m:e>
            <m:r>
              <m:t>π</m:t>
            </m:r>
          </m:e>
          <m:sub>
            <m:r>
              <m:rPr>
                <m:nor/>
                <m:sty m:val="p"/>
              </m:rPr>
              <m:t>null</m:t>
            </m:r>
          </m:sub>
        </m:sSub>
      </m:oMath>
      <w:r>
        <w:t xml:space="preserve"> </w:t>
      </w:r>
      <w:r>
        <w:t xml:space="preserve">(y-axis), by family size</w:t>
      </w:r>
      <w:r>
        <w:t xml:space="preserve"> </w:t>
      </w:r>
      <m:oMath>
        <m:r>
          <m:t>m</m:t>
        </m:r>
      </m:oMath>
      <w:r>
        <w:t xml:space="preserve"> </w:t>
      </w:r>
      <w:r>
        <w:t xml:space="preserve">(rows, Panel A) and sample size</w:t>
      </w:r>
      <w:r>
        <w:t xml:space="preserve"> </w:t>
      </w:r>
      <m:oMath>
        <m:r>
          <m:t>n</m:t>
        </m:r>
      </m:oMath>
      <w:r>
        <w:t xml:space="preserve"> </w:t>
      </w:r>
      <w:r>
        <w:t xml:space="preserve">(columns). The column</w:t>
      </w:r>
      <w:r>
        <w:t xml:space="preserve"> </w:t>
      </w:r>
      <m:oMath>
        <m:sSub>
          <m:e>
            <m:r>
              <m:t>π</m:t>
            </m:r>
          </m:e>
          <m:sub>
            <m:r>
              <m:t>0</m:t>
            </m:r>
          </m:sub>
        </m:sSub>
        <m:r>
          <m:rPr>
            <m:sty m:val="p"/>
          </m:rPr>
          <m:t>=</m:t>
        </m:r>
        <m:r>
          <m:t>.5</m:t>
        </m:r>
      </m:oMath>
      <w:r>
        <w:t xml:space="preserve"> </w:t>
      </w:r>
      <w:r>
        <w:t xml:space="preserve">is the unadjusted rule, where the prior odds are one and</w:t>
      </w:r>
      <w:r>
        <w:t xml:space="preserve"> </w:t>
      </w:r>
      <m:oMath>
        <m:sSup>
          <m:e>
            <m:r>
              <m:t>c</m:t>
            </m:r>
          </m:e>
          <m:sup>
            <m:r>
              <m:rPr>
                <m:sty m:val="p"/>
              </m:rPr>
              <m:t>*</m:t>
            </m:r>
          </m:sup>
        </m:sSup>
        <m:r>
          <m:rPr>
            <m:sty m:val="p"/>
          </m:rPr>
          <m:t>=</m:t>
        </m:r>
        <m:r>
          <m:t>c</m:t>
        </m:r>
      </m:oMath>
      <w:r>
        <w:t xml:space="preserve">; the diagonal</w:t>
      </w:r>
      <w:r>
        <w:t xml:space="preserve"> </w:t>
      </w:r>
      <m:oMath>
        <m:sSub>
          <m:e>
            <m:r>
              <m:t>π</m:t>
            </m:r>
          </m:e>
          <m:sub>
            <m:r>
              <m:t>0</m:t>
            </m:r>
          </m:sub>
        </m:sSub>
        <m:r>
          <m:rPr>
            <m:sty m:val="p"/>
          </m:rPr>
          <m:t>=</m:t>
        </m:r>
        <m:sSub>
          <m:e>
            <m:r>
              <m:t>π</m:t>
            </m:r>
          </m:e>
          <m:sub>
            <m:r>
              <m:rPr>
                <m:nor/>
                <m:sty m:val="p"/>
              </m:rPr>
              <m:t>null</m:t>
            </m:r>
          </m:sub>
        </m:sSub>
      </m:oMath>
      <w:r>
        <w:t xml:space="preserve"> </w:t>
      </w:r>
      <w:r>
        <w:t xml:space="preserve">is a matched</w:t>
      </w:r>
      <w:r>
        <w:t xml:space="preserve"> </w:t>
      </w:r>
      <m:oMath>
        <m:sSub>
          <m:e>
            <m:r>
              <m:t>π</m:t>
            </m:r>
          </m:e>
          <m:sub>
            <m:r>
              <m:t>0</m:t>
            </m:r>
          </m:sub>
        </m:sSub>
      </m:oMath>
      <w:r>
        <w:t xml:space="preserve">. Each cell is the empirical FDR or power over 10,000 replications.</w:t>
      </w:r>
    </w:p>
    <w:p>
      <w:pPr>
        <w:pStyle w:val="BodyText"/>
      </w:pPr>
      <w:hyperlink w:anchor="fig-ind-fwer">
        <w:r>
          <w:rPr>
            <w:rStyle w:val="Hyperlink"/>
          </w:rPr>
          <w:t xml:space="preserve">Figure 6</w:t>
        </w:r>
      </w:hyperlink>
      <w:r>
        <w:t xml:space="preserve"> </w:t>
      </w:r>
      <w:r>
        <w:t xml:space="preserve">shows the FWER of the same rule (for</w:t>
      </w:r>
      <w:r>
        <w:t xml:space="preserve"> </w:t>
      </w:r>
      <m:oMath>
        <m:r>
          <m:t>n</m:t>
        </m:r>
        <m:r>
          <m:rPr>
            <m:sty m:val="p"/>
          </m:rPr>
          <m:t>=</m:t>
        </m:r>
        <m:r>
          <m:t>50</m:t>
        </m:r>
      </m:oMath>
      <w:r>
        <w:t xml:space="preserve">, as a representative case). Unlike the FDR, the FWER is not held low by the per-test adjustment: for a fixed</w:t>
      </w:r>
      <w:r>
        <w:t xml:space="preserve"> </w:t>
      </w:r>
      <m:oMath>
        <m:sSub>
          <m:e>
            <m:r>
              <m:t>π</m:t>
            </m:r>
          </m:e>
          <m:sub>
            <m:r>
              <m:t>0</m:t>
            </m:r>
          </m:sub>
        </m:sSub>
      </m:oMath>
      <w:r>
        <w:t xml:space="preserve">, it grows with the family size</w:t>
      </w:r>
      <w:r>
        <w:t xml:space="preserve"> </w:t>
      </w:r>
      <m:oMath>
        <m:r>
          <m:t>m</m:t>
        </m:r>
      </m:oMath>
      <w:r>
        <w:t xml:space="preserve">, reaching</w:t>
      </w:r>
      <w:r>
        <w:t xml:space="preserve"> </w:t>
      </w:r>
      <m:oMath>
        <m:r>
          <m:t>.64</m:t>
        </m:r>
      </m:oMath>
      <w:r>
        <w:t xml:space="preserve"> </w:t>
      </w:r>
      <w:r>
        <w:t xml:space="preserve">for the unadjusted rule with a large family of mostly null effects. Increasing</w:t>
      </w:r>
      <w:r>
        <w:t xml:space="preserve"> </w:t>
      </w:r>
      <m:oMath>
        <m:sSub>
          <m:e>
            <m:r>
              <m:t>π</m:t>
            </m:r>
          </m:e>
          <m:sub>
            <m:r>
              <m:t>0</m:t>
            </m:r>
          </m:sub>
        </m:sSub>
      </m:oMath>
      <w:r>
        <w:t xml:space="preserve"> </w:t>
      </w:r>
      <w:r>
        <w:t xml:space="preserve">lowers it substantially, at</w:t>
      </w:r>
      <w:r>
        <w:t xml:space="preserve"> </w:t>
      </w:r>
      <m:oMath>
        <m:sSub>
          <m:e>
            <m:r>
              <m:t>π</m:t>
            </m:r>
          </m:e>
          <m:sub>
            <m:r>
              <m:t>0</m:t>
            </m:r>
          </m:sub>
        </m:sSub>
        <m:r>
          <m:rPr>
            <m:sty m:val="p"/>
          </m:rPr>
          <m:t>=</m:t>
        </m:r>
        <m:r>
          <m:t>.9</m:t>
        </m:r>
      </m:oMath>
      <w:r>
        <w:t xml:space="preserve"> </w:t>
      </w:r>
      <w:r>
        <w:t xml:space="preserve">it stays at or below about</w:t>
      </w:r>
      <w:r>
        <w:t xml:space="preserve"> </w:t>
      </w:r>
      <m:oMath>
        <m:r>
          <m:t>.10</m:t>
        </m:r>
      </m:oMath>
      <w:r>
        <w:t xml:space="preserve">. When</w:t>
      </w:r>
      <w:r>
        <w:t xml:space="preserve"> </w:t>
      </w:r>
      <m:oMath>
        <m:sSub>
          <m:e>
            <m:r>
              <m:t>π</m:t>
            </m:r>
          </m:e>
          <m:sub>
            <m:r>
              <m:t>0</m:t>
            </m:r>
          </m:sub>
        </m:sSub>
      </m:oMath>
      <w:r>
        <w:t xml:space="preserve"> </w:t>
      </w:r>
      <w:r>
        <w:t xml:space="preserve">is instead set through a fixed</w:t>
      </w:r>
      <w:r>
        <w:t xml:space="preserve"> </w:t>
      </w:r>
      <m:oMath>
        <m:r>
          <m:rPr>
            <m:sty m:val="p"/>
          </m:rPr>
          <m:t>Pr</m:t>
        </m:r>
        <m:r>
          <m:rPr>
            <m:sty m:val="p"/>
          </m:rPr>
          <m:t>(</m:t>
        </m:r>
        <m:sSub>
          <m:e>
            <m:r>
              <m:t>H</m:t>
            </m:r>
          </m:e>
          <m:sub>
            <m:r>
              <m:t>0</m:t>
            </m:r>
          </m:sub>
        </m:sSub>
        <m:r>
          <m:rPr>
            <m:sty m:val="p"/>
          </m:rPr>
          <m:t>)</m:t>
        </m:r>
      </m:oMath>
      <w:r>
        <w:t xml:space="preserve">, it increases with</w:t>
      </w:r>
      <w:r>
        <w:t xml:space="preserve"> </w:t>
      </w:r>
      <m:oMath>
        <m:r>
          <m:t>m</m:t>
        </m:r>
      </m:oMath>
      <w:r>
        <w:t xml:space="preserve">, which largely offsets this growth.</w:t>
      </w:r>
    </w:p>
    <w:bookmarkStart w:id="77" w:name="fig-ind-fwer"/>
    <w:p>
      <w:pPr>
        <w:pStyle w:val="FigureTitle"/>
      </w:pPr>
      <w:r>
        <w:t xml:space="preserve">Figure 6</w:t>
      </w:r>
    </w:p>
    <w:p>
      <w:pPr>
        <w:pStyle w:val="Caption"/>
      </w:pPr>
      <w:r>
        <w:t xml:space="preserve">Family-Wise Error Rate of the Prior-Odds Rule</w:t>
      </w:r>
    </w:p>
    <w:p>
      <w:pPr>
        <w:pStyle w:val="FigureWithNote"/>
      </w:pPr>
      <w:r>
        <w:drawing>
          <wp:inline>
            <wp:extent cx="5943600" cy="1756063"/>
            <wp:effectExtent b="0" l="0" r="0" t="0"/>
            <wp:docPr descr="" title="" id="75" name="Picture"/>
            <a:graphic>
              <a:graphicData uri="http://schemas.openxmlformats.org/drawingml/2006/picture">
                <pic:pic>
                  <pic:nvPicPr>
                    <pic:cNvPr descr="manuscript_v2_files/figure-docx/fig-ind-fwer-1.png" id="76" name="Picture"/>
                    <pic:cNvPicPr>
                      <a:picLocks noChangeArrowheads="1" noChangeAspect="1"/>
                    </pic:cNvPicPr>
                  </pic:nvPicPr>
                  <pic:blipFill>
                    <a:blip r:embed="rId74"/>
                    <a:stretch>
                      <a:fillRect/>
                    </a:stretch>
                  </pic:blipFill>
                  <pic:spPr bwMode="auto">
                    <a:xfrm>
                      <a:off x="0" y="0"/>
                      <a:ext cx="5943600" cy="1756063"/>
                    </a:xfrm>
                    <a:prstGeom prst="rect">
                      <a:avLst/>
                    </a:prstGeom>
                    <a:noFill/>
                    <a:ln w="9525">
                      <a:noFill/>
                      <a:headEnd/>
                      <a:tailEnd/>
                    </a:ln>
                  </pic:spPr>
                </pic:pic>
              </a:graphicData>
            </a:graphic>
          </wp:inline>
        </w:drawing>
      </w:r>
    </w:p>
    <w:bookmarkEnd w:id="77"/>
    <w:p>
      <w:pPr>
        <w:pStyle w:val="FigureNote"/>
      </w:pPr>
      <w:r>
        <w:rPr>
          <w:i/>
          <w:iCs/>
        </w:rPr>
        <w:t xml:space="preserve">Note</w:t>
      </w:r>
      <w:r>
        <w:t xml:space="preserve">. Family-wise error rate (FWER) as a function of the specified</w:t>
      </w:r>
      <w:r>
        <w:t xml:space="preserve"> </w:t>
      </w:r>
      <m:oMath>
        <m:sSub>
          <m:e>
            <m:r>
              <m:t>π</m:t>
            </m:r>
          </m:e>
          <m:sub>
            <m:r>
              <m:t>0</m:t>
            </m:r>
          </m:sub>
        </m:sSub>
      </m:oMath>
      <w:r>
        <w:t xml:space="preserve"> </w:t>
      </w:r>
      <w:r>
        <w:t xml:space="preserve">(x-axis) and the true proportion of null effects,</w:t>
      </w:r>
      <w:r>
        <w:t xml:space="preserve"> </w:t>
      </w:r>
      <m:oMath>
        <m:sSub>
          <m:e>
            <m:r>
              <m:t>π</m:t>
            </m:r>
          </m:e>
          <m:sub>
            <m:r>
              <m:rPr>
                <m:nor/>
                <m:sty m:val="p"/>
              </m:rPr>
              <m:t>null</m:t>
            </m:r>
          </m:sub>
        </m:sSub>
      </m:oMath>
      <w:r>
        <w:t xml:space="preserve"> </w:t>
      </w:r>
      <w:r>
        <w:t xml:space="preserve">(y-axis), by family size</w:t>
      </w:r>
      <w:r>
        <w:t xml:space="preserve"> </w:t>
      </w:r>
      <m:oMath>
        <m:r>
          <m:t>m</m:t>
        </m:r>
      </m:oMath>
      <w:r>
        <w:t xml:space="preserve"> </w:t>
      </w:r>
      <w:r>
        <w:t xml:space="preserve">(columns), with</w:t>
      </w:r>
      <w:r>
        <w:t xml:space="preserve"> </w:t>
      </w:r>
      <m:oMath>
        <m:r>
          <m:t>n</m:t>
        </m:r>
        <m:r>
          <m:rPr>
            <m:sty m:val="p"/>
          </m:rPr>
          <m:t>=</m:t>
        </m:r>
        <m:r>
          <m:t>50</m:t>
        </m:r>
      </m:oMath>
      <w:r>
        <w:t xml:space="preserve">. The column</w:t>
      </w:r>
      <w:r>
        <w:t xml:space="preserve"> </w:t>
      </w:r>
      <m:oMath>
        <m:sSub>
          <m:e>
            <m:r>
              <m:t>π</m:t>
            </m:r>
          </m:e>
          <m:sub>
            <m:r>
              <m:t>0</m:t>
            </m:r>
          </m:sub>
        </m:sSub>
        <m:r>
          <m:rPr>
            <m:sty m:val="p"/>
          </m:rPr>
          <m:t>=</m:t>
        </m:r>
        <m:r>
          <m:t>.5</m:t>
        </m:r>
      </m:oMath>
      <w:r>
        <w:t xml:space="preserve"> </w:t>
      </w:r>
      <w:r>
        <w:t xml:space="preserve">is the unadjusted rule. Each cell is the empirical FWER over 10,000 replications. Because the per-test threshold targets the FDR, the FWER is reduced by larger</w:t>
      </w:r>
      <w:r>
        <w:t xml:space="preserve"> </w:t>
      </w:r>
      <m:oMath>
        <m:sSub>
          <m:e>
            <m:r>
              <m:t>π</m:t>
            </m:r>
          </m:e>
          <m:sub>
            <m:r>
              <m:t>0</m:t>
            </m:r>
          </m:sub>
        </m:sSub>
      </m:oMath>
      <w:r>
        <w:t xml:space="preserve"> </w:t>
      </w:r>
      <w:r>
        <w:t xml:space="preserve">but, for a fixed</w:t>
      </w:r>
      <w:r>
        <w:t xml:space="preserve"> </w:t>
      </w:r>
      <m:oMath>
        <m:sSub>
          <m:e>
            <m:r>
              <m:t>π</m:t>
            </m:r>
          </m:e>
          <m:sub>
            <m:r>
              <m:t>0</m:t>
            </m:r>
          </m:sub>
        </m:sSub>
      </m:oMath>
      <w:r>
        <w:t xml:space="preserve">, still grows with the family size</w:t>
      </w:r>
      <w:r>
        <w:t xml:space="preserve"> </w:t>
      </w:r>
      <m:oMath>
        <m:r>
          <m:t>m</m:t>
        </m:r>
      </m:oMath>
      <w:r>
        <w:t xml:space="preserve">.</w:t>
      </w:r>
    </w:p>
    <w:bookmarkEnd w:id="78"/>
    <w:bookmarkStart w:id="84" w:name="comparison-with-other-bayesian-methods"/>
    <w:p>
      <w:pPr>
        <w:pStyle w:val="Heading3"/>
      </w:pPr>
      <w:r>
        <w:t xml:space="preserve">Comparison With Other Bayesian Methods</w:t>
      </w:r>
    </w:p>
    <w:p>
      <w:pPr>
        <w:pStyle w:val="FirstParagraph"/>
      </w:pPr>
      <w:r>
        <w:t xml:space="preserve">We compare the prior-odds rule with two Bayesian alternatives, which make different kinds of claims and limit different errors. The first, hereafter the</w:t>
      </w:r>
      <w:r>
        <w:t xml:space="preserve"> </w:t>
      </w:r>
      <w:r>
        <w:rPr>
          <w:i/>
          <w:iCs/>
        </w:rPr>
        <w:t xml:space="preserve">joint directional rule</w:t>
      </w:r>
      <w:r>
        <w:t xml:space="preserve">, orders the directional claims by their posterior probability and accepts the largest set whose joint posterior probability is at least</w:t>
      </w:r>
      <w:r>
        <w:t xml:space="preserve"> </w:t>
      </w:r>
      <m:oMath>
        <m:r>
          <m:t>1</m:t>
        </m:r>
        <m:r>
          <m:rPr>
            <m:sty m:val="p"/>
          </m:rPr>
          <m:t>−</m:t>
        </m:r>
        <m:r>
          <m:t>α</m:t>
        </m:r>
      </m:oMath>
      <w:r>
        <w:t xml:space="preserve"> </w:t>
      </w:r>
      <w:r>
        <w:t xml:space="preserve">(</w:t>
      </w:r>
      <w:hyperlink w:anchor="ref-Gelman2000">
        <w:r>
          <w:rPr>
            <w:rStyle w:val="Hyperlink"/>
          </w:rPr>
          <w:t xml:space="preserve">Gelman &amp; Tuerlinckx, 2000</w:t>
        </w:r>
      </w:hyperlink>
      <w:r>
        <w:t xml:space="preserve">;</w:t>
      </w:r>
      <w:r>
        <w:t xml:space="preserve"> </w:t>
      </w:r>
      <w:hyperlink w:anchor="ref-Pruzek2016">
        <w:r>
          <w:rPr>
            <w:rStyle w:val="Hyperlink"/>
          </w:rPr>
          <w:t xml:space="preserve">Pruzek, 2016</w:t>
        </w:r>
      </w:hyperlink>
      <w:r>
        <w:t xml:space="preserve">)</w:t>
      </w:r>
      <w:r>
        <w:t xml:space="preserve">. Its output is a single one-sided statement about signs, that is</w:t>
      </w:r>
      <w:r>
        <w:t xml:space="preserve"> </w:t>
      </w:r>
      <w:r>
        <w:t xml:space="preserve">“all accepted parameters lie in their claimed direction”</w:t>
      </w:r>
      <w:r>
        <w:t xml:space="preserve">, and the quantity it bounds is the familywise probability of a sign (Type S) error. The second, hereafter the</w:t>
      </w:r>
      <w:r>
        <w:t xml:space="preserve"> </w:t>
      </w:r>
      <w:r>
        <w:rPr>
          <w:i/>
          <w:iCs/>
        </w:rPr>
        <w:t xml:space="preserve">simultaneous-band rule</w:t>
      </w:r>
      <w:r>
        <w:t xml:space="preserve">, computes credible intervals with</w:t>
      </w:r>
      <w:r>
        <w:t xml:space="preserve"> </w:t>
      </w:r>
      <m:oMath>
        <m:r>
          <m:t>1</m:t>
        </m:r>
        <m:r>
          <m:rPr>
            <m:sty m:val="p"/>
          </m:rPr>
          <m:t>−</m:t>
        </m:r>
        <m:r>
          <m:t>α</m:t>
        </m:r>
      </m:oMath>
      <w:r>
        <w:t xml:space="preserve"> </w:t>
      </w:r>
      <w:r>
        <w:t xml:space="preserve">joint coverage, meaning that with probability</w:t>
      </w:r>
      <w:r>
        <w:t xml:space="preserve"> </w:t>
      </w:r>
      <m:oMath>
        <m:r>
          <m:t>1</m:t>
        </m:r>
        <m:r>
          <m:rPr>
            <m:sty m:val="p"/>
          </m:rPr>
          <m:t>−</m:t>
        </m:r>
        <m:r>
          <m:t>α</m:t>
        </m:r>
      </m:oMath>
      <w:r>
        <w:t xml:space="preserve"> </w:t>
      </w:r>
      <w:r>
        <w:t xml:space="preserve">every interval contains its parameter, and claims a direction for a parameter whenever its interval excludes 0</w:t>
      </w:r>
      <w:r>
        <w:t xml:space="preserve"> </w:t>
      </w:r>
      <w:r>
        <w:t xml:space="preserve">(</w:t>
      </w:r>
      <w:hyperlink w:anchor="ref-Box1992">
        <w:r>
          <w:rPr>
            <w:rStyle w:val="Hyperlink"/>
          </w:rPr>
          <w:t xml:space="preserve">Box &amp; Tiao, 1992</w:t>
        </w:r>
      </w:hyperlink>
      <w:r>
        <w:t xml:space="preserve">;</w:t>
      </w:r>
      <w:r>
        <w:t xml:space="preserve"> </w:t>
      </w:r>
      <w:hyperlink w:anchor="ref-Schnell2016">
        <w:r>
          <w:rPr>
            <w:rStyle w:val="Hyperlink"/>
          </w:rPr>
          <w:t xml:space="preserve">Schnell et al., 2016</w:t>
        </w:r>
      </w:hyperlink>
      <w:r>
        <w:t xml:space="preserve">;</w:t>
      </w:r>
      <w:r>
        <w:t xml:space="preserve"> </w:t>
      </w:r>
      <w:hyperlink w:anchor="ref-Schnell2020">
        <w:r>
          <w:rPr>
            <w:rStyle w:val="Hyperlink"/>
          </w:rPr>
          <w:t xml:space="preserve">Schnell et al., 2020</w:t>
        </w:r>
      </w:hyperlink>
      <w:r>
        <w:t xml:space="preserve">)</w:t>
      </w:r>
      <w:r>
        <w:t xml:space="preserve">. Since an interval that covers a truly null parameter cannot exclude it, the probability of any false claim is at most</w:t>
      </w:r>
      <w:r>
        <w:t xml:space="preserve"> </w:t>
      </w:r>
      <m:oMath>
        <m:r>
          <m:t>α</m:t>
        </m:r>
      </m:oMath>
      <w:r>
        <w:t xml:space="preserve">. Both procedures act on the posterior alone, whereas the prior-odds rule combines the posterior with a penalty set by the researcher for the family under test.</w:t>
      </w:r>
    </w:p>
    <w:p>
      <w:pPr>
        <w:pStyle w:val="BodyText"/>
      </w:pPr>
      <w:r>
        <w:t xml:space="preserve">No new data were simulated for the comparison: the three procedures were applied to the same replications of the simulation described above with</w:t>
      </w:r>
      <w:r>
        <w:t xml:space="preserve"> </w:t>
      </w:r>
      <m:oMath>
        <m:r>
          <m:t>n</m:t>
        </m:r>
        <m:r>
          <m:rPr>
            <m:sty m:val="p"/>
          </m:rPr>
          <m:t>=</m:t>
        </m:r>
        <m:r>
          <m:t>50</m:t>
        </m:r>
      </m:oMath>
      <w:r>
        <w:t xml:space="preserve">, for every family size</w:t>
      </w:r>
      <w:r>
        <w:t xml:space="preserve"> </w:t>
      </w:r>
      <m:oMath>
        <m:r>
          <m:t>m</m:t>
        </m:r>
      </m:oMath>
      <w:r>
        <w:t xml:space="preserve"> </w:t>
      </w:r>
      <w:r>
        <w:t xml:space="preserve">and every true proportion of null effects,</w:t>
      </w:r>
      <w:r>
        <w:t xml:space="preserve"> </w:t>
      </w:r>
      <m:oMath>
        <m:sSub>
          <m:e>
            <m:r>
              <m:t>π</m:t>
            </m:r>
          </m:e>
          <m:sub>
            <m:r>
              <m:rPr>
                <m:nor/>
                <m:sty m:val="p"/>
              </m:rPr>
              <m:t>null</m:t>
            </m:r>
          </m:sub>
        </m:sSub>
        <m:r>
          <m:rPr>
            <m:sty m:val="p"/>
          </m:rPr>
          <m:t>∈</m:t>
        </m:r>
        <m:r>
          <m:rPr>
            <m:sty m:val="p"/>
          </m:rPr>
          <m:t>{</m:t>
        </m:r>
        <m:r>
          <m:t>.5</m:t>
        </m:r>
        <m:r>
          <m:rPr>
            <m:sty m:val="p"/>
          </m:rPr>
          <m:t>,</m:t>
        </m:r>
        <m:r>
          <m:rPr>
            <m:sty m:val="p"/>
          </m:rPr>
          <m:t>…</m:t>
        </m:r>
        <m:r>
          <m:rPr>
            <m:sty m:val="p"/>
          </m:rPr>
          <m:t>,</m:t>
        </m:r>
        <m:r>
          <m:t>1.0</m:t>
        </m:r>
        <m:r>
          <m:rPr>
            <m:sty m:val="p"/>
          </m:rPr>
          <m:t>}</m:t>
        </m:r>
      </m:oMath>
      <w:r>
        <w:t xml:space="preserve">. All procedures use</w:t>
      </w:r>
      <w:r>
        <w:t xml:space="preserve"> </w:t>
      </w:r>
      <m:oMath>
        <m:r>
          <m:t>α</m:t>
        </m:r>
        <m:r>
          <m:rPr>
            <m:sty m:val="p"/>
          </m:rPr>
          <m:t>=</m:t>
        </m:r>
        <m:r>
          <m:t>.05</m:t>
        </m:r>
      </m:oMath>
      <w:r>
        <w:t xml:space="preserve">: the prior-odds rule claims a direction when</w:t>
      </w:r>
      <w:r>
        <w:t xml:space="preserve"> </w:t>
      </w:r>
      <m:oMath>
        <m:r>
          <m:t>p</m:t>
        </m:r>
        <m:r>
          <m:t>d</m:t>
        </m:r>
        <m:r>
          <m:rPr>
            <m:sty m:val="p"/>
          </m:rPr>
          <m:t>&gt;</m:t>
        </m:r>
        <m:sSup>
          <m:e>
            <m:r>
              <m:t>c</m:t>
            </m:r>
          </m:e>
          <m:sup>
            <m:r>
              <m:rPr>
                <m:sty m:val="p"/>
              </m:rPr>
              <m:t>*</m:t>
            </m:r>
          </m:sup>
        </m:sSup>
      </m:oMath>
      <w:r>
        <w:t xml:space="preserve">, or equivalently</w:t>
      </w:r>
      <w:r>
        <w:t xml:space="preserve"> </w:t>
      </w:r>
      <m:oMath>
        <m:r>
          <m:t>p</m:t>
        </m:r>
        <m:sSub>
          <m:e>
            <m:r>
              <m:t>d</m:t>
            </m:r>
          </m:e>
          <m:sub>
            <m:r>
              <m:rPr>
                <m:nor/>
                <m:sty m:val="p"/>
              </m:rPr>
              <m:t>adj</m:t>
            </m:r>
          </m:sub>
        </m:sSub>
        <m:r>
          <m:rPr>
            <m:sty m:val="p"/>
          </m:rPr>
          <m:t>&gt;</m:t>
        </m:r>
        <m:r>
          <m:t>c</m:t>
        </m:r>
      </m:oMath>
      <w:r>
        <w:t xml:space="preserve"> </w:t>
      </w:r>
      <w:r>
        <w:t xml:space="preserve">(with</w:t>
      </w:r>
      <w:r>
        <w:t xml:space="preserve"> </w:t>
      </w:r>
      <m:oMath>
        <m:r>
          <m:t>c</m:t>
        </m:r>
        <m:r>
          <m:rPr>
            <m:sty m:val="p"/>
          </m:rPr>
          <m:t>=</m:t>
        </m:r>
        <m:r>
          <m:t>1</m:t>
        </m:r>
        <m:r>
          <m:rPr>
            <m:sty m:val="p"/>
          </m:rPr>
          <m:t>−</m:t>
        </m:r>
        <m:r>
          <m:t>α</m:t>
        </m:r>
        <m:r>
          <m:rPr>
            <m:sty m:val="p"/>
          </m:rPr>
          <m:t>/</m:t>
        </m:r>
        <m:r>
          <m:t>2</m:t>
        </m:r>
        <m:r>
          <m:rPr>
            <m:sty m:val="p"/>
          </m:rPr>
          <m:t>=</m:t>
        </m:r>
        <m:r>
          <m:t>.975</m:t>
        </m:r>
      </m:oMath>
      <w:r>
        <w:t xml:space="preserve">), the joint directional rule accepts directional claims as long as their joint posterior probability is at least</w:t>
      </w:r>
      <w:r>
        <w:t xml:space="preserve"> </w:t>
      </w:r>
      <m:oMath>
        <m:r>
          <m:t>1</m:t>
        </m:r>
        <m:r>
          <m:rPr>
            <m:sty m:val="p"/>
          </m:rPr>
          <m:t>−</m:t>
        </m:r>
        <m:r>
          <m:t>α</m:t>
        </m:r>
        <m:r>
          <m:rPr>
            <m:sty m:val="p"/>
          </m:rPr>
          <m:t>=</m:t>
        </m:r>
        <m:r>
          <m:t>.95</m:t>
        </m:r>
      </m:oMath>
      <w:r>
        <w:t xml:space="preserve">, and the simultaneous-band rule claims a direction when the</w:t>
      </w:r>
      <w:r>
        <w:t xml:space="preserve"> </w:t>
      </w:r>
      <m:oMath>
        <m:r>
          <m:t>95</m:t>
        </m:r>
        <m:r>
          <m:rPr>
            <m:sty m:val="p"/>
          </m:rPr>
          <m:t>%</m:t>
        </m:r>
      </m:oMath>
      <w:r>
        <w:t xml:space="preserve"> </w:t>
      </w:r>
      <w:r>
        <w:t xml:space="preserve">joint-coverage band excludes 0. The prior-odds rule is evaluated at each</w:t>
      </w:r>
      <w:r>
        <w:t xml:space="preserve"> </w:t>
      </w:r>
      <m:oMath>
        <m:sSub>
          <m:e>
            <m:r>
              <m:t>π</m:t>
            </m:r>
          </m:e>
          <m:sub>
            <m:r>
              <m:t>0</m:t>
            </m:r>
          </m:sub>
        </m:sSub>
        <m:r>
          <m:rPr>
            <m:sty m:val="p"/>
          </m:rPr>
          <m:t>∈</m:t>
        </m:r>
        <m:r>
          <m:rPr>
            <m:sty m:val="p"/>
          </m:rPr>
          <m:t>{</m:t>
        </m:r>
        <m:r>
          <m:t>.5</m:t>
        </m:r>
        <m:r>
          <m:rPr>
            <m:sty m:val="p"/>
          </m:rPr>
          <m:t>,</m:t>
        </m:r>
        <m:r>
          <m:rPr>
            <m:sty m:val="p"/>
          </m:rPr>
          <m:t>…</m:t>
        </m:r>
        <m:r>
          <m:rPr>
            <m:sty m:val="p"/>
          </m:rPr>
          <m:t>,</m:t>
        </m:r>
        <m:r>
          <m:t>.9</m:t>
        </m:r>
        <m:r>
          <m:rPr>
            <m:sty m:val="p"/>
          </m:rPr>
          <m:t>}</m:t>
        </m:r>
      </m:oMath>
      <w:r>
        <w:t xml:space="preserve"> </w:t>
      </w:r>
      <w:r>
        <w:t xml:space="preserve">(thresholds</w:t>
      </w:r>
      <w:r>
        <w:t xml:space="preserve"> </w:t>
      </w:r>
      <m:oMath>
        <m:sSup>
          <m:e>
            <m:r>
              <m:t>c</m:t>
            </m:r>
          </m:e>
          <m:sup>
            <m:r>
              <m:rPr>
                <m:sty m:val="p"/>
              </m:rPr>
              <m:t>*</m:t>
            </m:r>
          </m:sup>
        </m:sSup>
        <m:r>
          <m:rPr>
            <m:sty m:val="p"/>
          </m:rPr>
          <m:t>=</m:t>
        </m:r>
        <m:r>
          <m:t>.9750</m:t>
        </m:r>
      </m:oMath>
      <w:r>
        <w:t xml:space="preserve">,</w:t>
      </w:r>
      <w:r>
        <w:t xml:space="preserve"> </w:t>
      </w:r>
      <m:oMath>
        <m:r>
          <m:t>.9832</m:t>
        </m:r>
      </m:oMath>
      <w:r>
        <w:t xml:space="preserve">,</w:t>
      </w:r>
      <w:r>
        <w:t xml:space="preserve"> </w:t>
      </w:r>
      <m:oMath>
        <m:r>
          <m:t>.9891</m:t>
        </m:r>
      </m:oMath>
      <w:r>
        <w:t xml:space="preserve">,</w:t>
      </w:r>
      <w:r>
        <w:t xml:space="preserve"> </w:t>
      </w:r>
      <m:oMath>
        <m:r>
          <m:t>.9936</m:t>
        </m:r>
      </m:oMath>
      <w:r>
        <w:t xml:space="preserve">, and</w:t>
      </w:r>
      <w:r>
        <w:t xml:space="preserve"> </w:t>
      </w:r>
      <m:oMath>
        <m:r>
          <m:t>.9972</m:t>
        </m:r>
      </m:oMath>
      <w:r>
        <w:t xml:space="preserve">) under each value of</w:t>
      </w:r>
      <w:r>
        <w:t xml:space="preserve"> </w:t>
      </w:r>
      <m:oMath>
        <m:sSub>
          <m:e>
            <m:r>
              <m:t>π</m:t>
            </m:r>
          </m:e>
          <m:sub>
            <m:r>
              <m:rPr>
                <m:nor/>
                <m:sty m:val="p"/>
              </m:rPr>
              <m:t>null</m:t>
            </m:r>
          </m:sub>
        </m:sSub>
      </m:oMath>
      <w:r>
        <w:t xml:space="preserve">, so that matched, underestimated, and conservative values of</w:t>
      </w:r>
      <w:r>
        <w:t xml:space="preserve"> </w:t>
      </w:r>
      <m:oMath>
        <m:sSub>
          <m:e>
            <m:r>
              <m:t>π</m:t>
            </m:r>
          </m:e>
          <m:sub>
            <m:r>
              <m:t>0</m:t>
            </m:r>
          </m:sub>
        </m:sSub>
      </m:oMath>
      <w:r>
        <w:t xml:space="preserve"> </w:t>
      </w:r>
      <w:r>
        <w:t xml:space="preserve">are compared at every proportion of null effects; the other two procedures do not require</w:t>
      </w:r>
      <w:r>
        <w:t xml:space="preserve"> </w:t>
      </w:r>
      <m:oMath>
        <m:sSub>
          <m:e>
            <m:r>
              <m:t>π</m:t>
            </m:r>
          </m:e>
          <m:sub>
            <m:r>
              <m:t>0</m:t>
            </m:r>
          </m:sub>
        </m:sSub>
      </m:oMath>
      <w:r>
        <w:t xml:space="preserve">.</w:t>
      </w:r>
      <w:r>
        <w:t xml:space="preserve"> </w:t>
      </w:r>
      <w:hyperlink w:anchor="fig-compare">
        <w:r>
          <w:rPr>
            <w:rStyle w:val="Hyperlink"/>
          </w:rPr>
          <w:t xml:space="preserve">Figure 7</w:t>
        </w:r>
      </w:hyperlink>
      <w:r>
        <w:t xml:space="preserve"> </w:t>
      </w:r>
      <w:r>
        <w:t xml:space="preserve">reports FDR, FWER, and power for</w:t>
      </w:r>
      <w:r>
        <w:t xml:space="preserve"> </w:t>
      </w:r>
      <m:oMath>
        <m:r>
          <m:t>m</m:t>
        </m:r>
        <m:r>
          <m:rPr>
            <m:sty m:val="p"/>
          </m:rPr>
          <m:t>=</m:t>
        </m:r>
        <m:r>
          <m:t>4</m:t>
        </m:r>
      </m:oMath>
      <w:r>
        <w:t xml:space="preserve"> </w:t>
      </w:r>
      <w:r>
        <w:t xml:space="preserve">and</w:t>
      </w:r>
      <w:r>
        <w:t xml:space="preserve"> </w:t>
      </w:r>
      <m:oMath>
        <m:r>
          <m:t>m</m:t>
        </m:r>
        <m:r>
          <m:rPr>
            <m:sty m:val="p"/>
          </m:rPr>
          <m:t>=</m:t>
        </m:r>
        <m:r>
          <m:t>20</m:t>
        </m:r>
      </m:oMath>
      <w:r>
        <w:t xml:space="preserve">.</w:t>
      </w:r>
    </w:p>
    <w:p>
      <w:pPr>
        <w:pStyle w:val="BodyText"/>
      </w:pPr>
      <w:r>
        <w:t xml:space="preserve">The simultaneous-band rule keeps the FWER, and hence the FDR, at the nominal level in all conditions,</w:t>
      </w:r>
      <w:r>
        <w:rPr>
          <w:rStyle w:val="FootnoteReference"/>
        </w:rPr>
        <w:footnoteReference w:id="79"/>
      </w:r>
      <w:r>
        <w:t xml:space="preserve"> </w:t>
      </w:r>
      <w:r>
        <w:t xml:space="preserve">while its power decreases with family size, from about</w:t>
      </w:r>
      <w:r>
        <w:t xml:space="preserve"> </w:t>
      </w:r>
      <m:oMath>
        <m:r>
          <m:t>.35</m:t>
        </m:r>
      </m:oMath>
      <w:r>
        <w:t xml:space="preserve"> </w:t>
      </w:r>
      <w:r>
        <w:t xml:space="preserve">at</w:t>
      </w:r>
      <w:r>
        <w:t xml:space="preserve"> </w:t>
      </w:r>
      <m:oMath>
        <m:r>
          <m:t>m</m:t>
        </m:r>
        <m:r>
          <m:rPr>
            <m:sty m:val="p"/>
          </m:rPr>
          <m:t>=</m:t>
        </m:r>
        <m:r>
          <m:t>4</m:t>
        </m:r>
      </m:oMath>
      <w:r>
        <w:t xml:space="preserve"> </w:t>
      </w:r>
      <w:r>
        <w:t xml:space="preserve">to</w:t>
      </w:r>
      <w:r>
        <w:t xml:space="preserve"> </w:t>
      </w:r>
      <m:oMath>
        <m:r>
          <m:t>.18</m:t>
        </m:r>
      </m:oMath>
      <w:r>
        <w:t xml:space="preserve"> </w:t>
      </w:r>
      <w:r>
        <w:t xml:space="preserve">at</w:t>
      </w:r>
      <w:r>
        <w:t xml:space="preserve"> </w:t>
      </w:r>
      <m:oMath>
        <m:r>
          <m:t>m</m:t>
        </m:r>
        <m:r>
          <m:rPr>
            <m:sty m:val="p"/>
          </m:rPr>
          <m:t>=</m:t>
        </m:r>
        <m:r>
          <m:t>20</m:t>
        </m:r>
      </m:oMath>
      <w:r>
        <w:t xml:space="preserve">. The joint directional rule has power similar to the unadjusted rule (about</w:t>
      </w:r>
      <w:r>
        <w:t xml:space="preserve"> </w:t>
      </w:r>
      <m:oMath>
        <m:r>
          <m:t>.56</m:t>
        </m:r>
      </m:oMath>
      <w:r>
        <w:t xml:space="preserve"> </w:t>
      </w:r>
      <w:r>
        <w:t xml:space="preserve">at</w:t>
      </w:r>
      <w:r>
        <w:t xml:space="preserve"> </w:t>
      </w:r>
      <m:oMath>
        <m:r>
          <m:t>m</m:t>
        </m:r>
        <m:r>
          <m:rPr>
            <m:sty m:val="p"/>
          </m:rPr>
          <m:t>=</m:t>
        </m:r>
        <m:r>
          <m:t>20</m:t>
        </m:r>
      </m:oMath>
      <w:r>
        <w:t xml:space="preserve">), but its error rates increase with the proportion of null effects: at</w:t>
      </w:r>
      <w:r>
        <w:t xml:space="preserve"> </w:t>
      </w:r>
      <m:oMath>
        <m:r>
          <m:t>m</m:t>
        </m:r>
        <m:r>
          <m:rPr>
            <m:sty m:val="p"/>
          </m:rPr>
          <m:t>=</m:t>
        </m:r>
        <m:r>
          <m:t>20</m:t>
        </m:r>
      </m:oMath>
      <w:r>
        <w:t xml:space="preserve">, its FDR rises from</w:t>
      </w:r>
      <w:r>
        <w:t xml:space="preserve"> </w:t>
      </w:r>
      <m:oMath>
        <m:r>
          <m:t>.08</m:t>
        </m:r>
      </m:oMath>
      <w:r>
        <w:t xml:space="preserve"> </w:t>
      </w:r>
      <w:r>
        <w:t xml:space="preserve">at</w:t>
      </w:r>
      <w:r>
        <w:t xml:space="preserve"> </w:t>
      </w:r>
      <m:oMath>
        <m:sSub>
          <m:e>
            <m:r>
              <m:t>π</m:t>
            </m:r>
          </m:e>
          <m:sub>
            <m:r>
              <m:rPr>
                <m:nor/>
                <m:sty m:val="p"/>
              </m:rPr>
              <m:t>null</m:t>
            </m:r>
          </m:sub>
        </m:sSub>
        <m:r>
          <m:rPr>
            <m:sty m:val="p"/>
          </m:rPr>
          <m:t>=</m:t>
        </m:r>
        <m:r>
          <m:t>.5</m:t>
        </m:r>
      </m:oMath>
      <w:r>
        <w:t xml:space="preserve"> </w:t>
      </w:r>
      <w:r>
        <w:t xml:space="preserve">to</w:t>
      </w:r>
      <w:r>
        <w:t xml:space="preserve"> </w:t>
      </w:r>
      <m:oMath>
        <m:r>
          <m:t>.50</m:t>
        </m:r>
      </m:oMath>
      <w:r>
        <w:t xml:space="preserve"> </w:t>
      </w:r>
      <w:r>
        <w:t xml:space="preserve">at</w:t>
      </w:r>
      <w:r>
        <w:t xml:space="preserve"> </w:t>
      </w:r>
      <m:oMath>
        <m:sSub>
          <m:e>
            <m:r>
              <m:t>π</m:t>
            </m:r>
          </m:e>
          <m:sub>
            <m:r>
              <m:rPr>
                <m:nor/>
                <m:sty m:val="p"/>
              </m:rPr>
              <m:t>null</m:t>
            </m:r>
          </m:sub>
        </m:sSub>
        <m:r>
          <m:rPr>
            <m:sty m:val="p"/>
          </m:rPr>
          <m:t>=</m:t>
        </m:r>
        <m:r>
          <m:t>.9</m:t>
        </m:r>
      </m:oMath>
      <w:r>
        <w:t xml:space="preserve"> </w:t>
      </w:r>
      <w:r>
        <w:t xml:space="preserve">and</w:t>
      </w:r>
      <w:r>
        <w:t xml:space="preserve"> </w:t>
      </w:r>
      <m:oMath>
        <m:r>
          <m:t>.88</m:t>
        </m:r>
      </m:oMath>
      <w:r>
        <w:t xml:space="preserve"> </w:t>
      </w:r>
      <w:r>
        <w:t xml:space="preserve">when all effects are null. The joint rule bounds the posterior probability that at least one accepted sign is wrong; under a continuous prior, which assigns no mass to exactly null effects, this does not limit the proportion of null effects among the accepted claims.</w:t>
      </w:r>
    </w:p>
    <w:p>
      <w:pPr>
        <w:pStyle w:val="BodyText"/>
      </w:pPr>
      <w:r>
        <w:t xml:space="preserve">The prior-odds rule lies between the two. Its class of priors also assigns no mass to null effects, but the bound</w:t>
      </w:r>
      <w:r>
        <w:t xml:space="preserve"> </w:t>
      </w:r>
      <m:oMath>
        <m:sSub>
          <m:e>
            <m:r>
              <m:t>π</m:t>
            </m:r>
          </m:e>
          <m:sub>
            <m:r>
              <m:t>0</m:t>
            </m:r>
          </m:sub>
        </m:sSub>
      </m:oMath>
      <w:r>
        <w:t xml:space="preserve"> </w:t>
      </w:r>
      <w:r>
        <w:t xml:space="preserve">counts them, since null effects are among the parameters that are not on the claimed side. When</w:t>
      </w:r>
      <w:r>
        <w:t xml:space="preserve"> </w:t>
      </w:r>
      <m:oMath>
        <m:sSub>
          <m:e>
            <m:r>
              <m:t>π</m:t>
            </m:r>
          </m:e>
          <m:sub>
            <m:r>
              <m:t>0</m:t>
            </m:r>
          </m:sub>
        </m:sSub>
        <m:r>
          <m:rPr>
            <m:sty m:val="p"/>
          </m:rPr>
          <m:t>=</m:t>
        </m:r>
        <m:sSub>
          <m:e>
            <m:r>
              <m:t>π</m:t>
            </m:r>
          </m:e>
          <m:sub>
            <m:r>
              <m:rPr>
                <m:nor/>
                <m:sty m:val="p"/>
              </m:rPr>
              <m:t>null</m:t>
            </m:r>
          </m:sub>
        </m:sSub>
      </m:oMath>
      <w:r>
        <w:t xml:space="preserve"> </w:t>
      </w:r>
      <w:r>
        <w:t xml:space="preserve">(outlined cells), its FDR at</w:t>
      </w:r>
      <w:r>
        <w:t xml:space="preserve"> </w:t>
      </w:r>
      <m:oMath>
        <m:r>
          <m:t>m</m:t>
        </m:r>
        <m:r>
          <m:rPr>
            <m:sty m:val="p"/>
          </m:rPr>
          <m:t>=</m:t>
        </m:r>
        <m:r>
          <m:t>20</m:t>
        </m:r>
      </m:oMath>
      <w:r>
        <w:t xml:space="preserve"> </w:t>
      </w:r>
      <w:r>
        <w:t xml:space="preserve">ranges from</w:t>
      </w:r>
      <w:r>
        <w:t xml:space="preserve"> </w:t>
      </w:r>
      <m:oMath>
        <m:r>
          <m:t>.07</m:t>
        </m:r>
      </m:oMath>
      <w:r>
        <w:t xml:space="preserve"> </w:t>
      </w:r>
      <w:r>
        <w:t xml:space="preserve">to</w:t>
      </w:r>
      <w:r>
        <w:t xml:space="preserve"> </w:t>
      </w:r>
      <m:oMath>
        <m:r>
          <m:t>.10</m:t>
        </m:r>
      </m:oMath>
      <w:r>
        <w:t xml:space="preserve"> </w:t>
      </w:r>
      <w:r>
        <w:t xml:space="preserve">across all proportions of null effects, whereas the FDR of the unadjusted rule increases from</w:t>
      </w:r>
      <w:r>
        <w:t xml:space="preserve"> </w:t>
      </w:r>
      <m:oMath>
        <m:r>
          <m:t>.08</m:t>
        </m:r>
      </m:oMath>
      <w:r>
        <w:t xml:space="preserve"> </w:t>
      </w:r>
      <w:r>
        <w:t xml:space="preserve">to</w:t>
      </w:r>
      <w:r>
        <w:t xml:space="preserve"> </w:t>
      </w:r>
      <m:oMath>
        <m:r>
          <m:t>.64</m:t>
        </m:r>
      </m:oMath>
      <w:r>
        <w:t xml:space="preserve">. Its power depends mainly on</w:t>
      </w:r>
      <w:r>
        <w:t xml:space="preserve"> </w:t>
      </w:r>
      <m:oMath>
        <m:sSub>
          <m:e>
            <m:r>
              <m:t>π</m:t>
            </m:r>
          </m:e>
          <m:sub>
            <m:r>
              <m:t>0</m:t>
            </m:r>
          </m:sub>
        </m:sSub>
      </m:oMath>
      <w:r>
        <w:t xml:space="preserve"> </w:t>
      </w:r>
      <w:r>
        <w:t xml:space="preserve">and little on</w:t>
      </w:r>
      <w:r>
        <w:t xml:space="preserve"> </w:t>
      </w:r>
      <m:oMath>
        <m:sSub>
          <m:e>
            <m:r>
              <m:t>π</m:t>
            </m:r>
          </m:e>
          <m:sub>
            <m:r>
              <m:rPr>
                <m:nor/>
                <m:sty m:val="p"/>
              </m:rPr>
              <m:t>null</m:t>
            </m:r>
          </m:sub>
        </m:sSub>
      </m:oMath>
      <w:r>
        <w:t xml:space="preserve"> </w:t>
      </w:r>
      <w:r>
        <w:t xml:space="preserve">or</w:t>
      </w:r>
      <w:r>
        <w:t xml:space="preserve"> </w:t>
      </w:r>
      <m:oMath>
        <m:r>
          <m:t>m</m:t>
        </m:r>
      </m:oMath>
      <w:r>
        <w:t xml:space="preserve">, decreasing from about</w:t>
      </w:r>
      <w:r>
        <w:t xml:space="preserve"> </w:t>
      </w:r>
      <m:oMath>
        <m:r>
          <m:t>.56</m:t>
        </m:r>
      </m:oMath>
      <w:r>
        <w:t xml:space="preserve"> </w:t>
      </w:r>
      <w:r>
        <w:t xml:space="preserve">for the unadjusted rule to</w:t>
      </w:r>
      <w:r>
        <w:t xml:space="preserve"> </w:t>
      </w:r>
      <m:oMath>
        <m:r>
          <m:t>.26</m:t>
        </m:r>
      </m:oMath>
      <w:r>
        <w:t xml:space="preserve"> </w:t>
      </w:r>
      <w:r>
        <w:t xml:space="preserve">at</w:t>
      </w:r>
      <w:r>
        <w:t xml:space="preserve"> </w:t>
      </w:r>
      <m:oMath>
        <m:sSub>
          <m:e>
            <m:r>
              <m:t>π</m:t>
            </m:r>
          </m:e>
          <m:sub>
            <m:r>
              <m:t>0</m:t>
            </m:r>
          </m:sub>
        </m:sSub>
        <m:r>
          <m:rPr>
            <m:sty m:val="p"/>
          </m:rPr>
          <m:t>=</m:t>
        </m:r>
        <m:r>
          <m:t>.9</m:t>
        </m:r>
      </m:oMath>
      <w:r>
        <w:t xml:space="preserve">. When</w:t>
      </w:r>
      <w:r>
        <w:t xml:space="preserve"> </w:t>
      </w:r>
      <m:oMath>
        <m:sSub>
          <m:e>
            <m:r>
              <m:t>π</m:t>
            </m:r>
          </m:e>
          <m:sub>
            <m:r>
              <m:t>0</m:t>
            </m:r>
          </m:sub>
        </m:sSub>
        <m:r>
          <m:rPr>
            <m:sty m:val="p"/>
          </m:rPr>
          <m:t>&lt;</m:t>
        </m:r>
        <m:sSub>
          <m:e>
            <m:r>
              <m:t>π</m:t>
            </m:r>
          </m:e>
          <m:sub>
            <m:r>
              <m:rPr>
                <m:nor/>
                <m:sty m:val="p"/>
              </m:rPr>
              <m:t>null</m:t>
            </m:r>
          </m:sub>
        </m:sSub>
      </m:oMath>
      <w:r>
        <w:t xml:space="preserve">, the FDR increases gradually: at</w:t>
      </w:r>
      <w:r>
        <w:t xml:space="preserve"> </w:t>
      </w:r>
      <m:oMath>
        <m:sSub>
          <m:e>
            <m:r>
              <m:t>π</m:t>
            </m:r>
          </m:e>
          <m:sub>
            <m:r>
              <m:rPr>
                <m:nor/>
                <m:sty m:val="p"/>
              </m:rPr>
              <m:t>null</m:t>
            </m:r>
          </m:sub>
        </m:sSub>
        <m:r>
          <m:rPr>
            <m:sty m:val="p"/>
          </m:rPr>
          <m:t>=</m:t>
        </m:r>
        <m:r>
          <m:t>.9</m:t>
        </m:r>
      </m:oMath>
      <w:r>
        <w:t xml:space="preserve"> </w:t>
      </w:r>
      <w:r>
        <w:t xml:space="preserve">and</w:t>
      </w:r>
      <w:r>
        <w:t xml:space="preserve"> </w:t>
      </w:r>
      <m:oMath>
        <m:r>
          <m:t>m</m:t>
        </m:r>
        <m:r>
          <m:rPr>
            <m:sty m:val="p"/>
          </m:rPr>
          <m:t>=</m:t>
        </m:r>
        <m:r>
          <m:t>20</m:t>
        </m:r>
      </m:oMath>
      <w:r>
        <w:t xml:space="preserve">, it is</w:t>
      </w:r>
      <w:r>
        <w:t xml:space="preserve"> </w:t>
      </w:r>
      <m:oMath>
        <m:r>
          <m:t>.15</m:t>
        </m:r>
      </m:oMath>
      <w:r>
        <w:t xml:space="preserve"> </w:t>
      </w:r>
      <w:r>
        <w:t xml:space="preserve">for</w:t>
      </w:r>
      <w:r>
        <w:t xml:space="preserve"> </w:t>
      </w:r>
      <m:oMath>
        <m:sSub>
          <m:e>
            <m:r>
              <m:t>π</m:t>
            </m:r>
          </m:e>
          <m:sub>
            <m:r>
              <m:t>0</m:t>
            </m:r>
          </m:sub>
        </m:sSub>
        <m:r>
          <m:rPr>
            <m:sty m:val="p"/>
          </m:rPr>
          <m:t>=</m:t>
        </m:r>
        <m:r>
          <m:t>.8</m:t>
        </m:r>
      </m:oMath>
      <w:r>
        <w:t xml:space="preserve"> </w:t>
      </w:r>
      <w:r>
        <w:t xml:space="preserve">and</w:t>
      </w:r>
      <w:r>
        <w:t xml:space="preserve"> </w:t>
      </w:r>
      <m:oMath>
        <m:r>
          <m:t>.22</m:t>
        </m:r>
      </m:oMath>
      <w:r>
        <w:t xml:space="preserve"> </w:t>
      </w:r>
      <w:r>
        <w:t xml:space="preserve">for</w:t>
      </w:r>
      <w:r>
        <w:t xml:space="preserve"> </w:t>
      </w:r>
      <m:oMath>
        <m:sSub>
          <m:e>
            <m:r>
              <m:t>π</m:t>
            </m:r>
          </m:e>
          <m:sub>
            <m:r>
              <m:t>0</m:t>
            </m:r>
          </m:sub>
        </m:sSub>
        <m:r>
          <m:rPr>
            <m:sty m:val="p"/>
          </m:rPr>
          <m:t>=</m:t>
        </m:r>
        <m:r>
          <m:t>.7</m:t>
        </m:r>
      </m:oMath>
      <w:r>
        <w:t xml:space="preserve">, compared with</w:t>
      </w:r>
      <w:r>
        <w:t xml:space="preserve"> </w:t>
      </w:r>
      <m:oMath>
        <m:r>
          <m:t>.39</m:t>
        </m:r>
      </m:oMath>
      <w:r>
        <w:t xml:space="preserve"> </w:t>
      </w:r>
      <w:r>
        <w:t xml:space="preserve">for the unadjusted rule. When</w:t>
      </w:r>
      <w:r>
        <w:t xml:space="preserve"> </w:t>
      </w:r>
      <m:oMath>
        <m:sSub>
          <m:e>
            <m:r>
              <m:t>π</m:t>
            </m:r>
          </m:e>
          <m:sub>
            <m:r>
              <m:t>0</m:t>
            </m:r>
          </m:sub>
        </m:sSub>
        <m:r>
          <m:rPr>
            <m:sty m:val="p"/>
          </m:rPr>
          <m:t>&gt;</m:t>
        </m:r>
        <m:sSub>
          <m:e>
            <m:r>
              <m:t>π</m:t>
            </m:r>
          </m:e>
          <m:sub>
            <m:r>
              <m:rPr>
                <m:nor/>
                <m:sty m:val="p"/>
              </m:rPr>
              <m:t>null</m:t>
            </m:r>
          </m:sub>
        </m:sSub>
      </m:oMath>
      <w:r>
        <w:t xml:space="preserve">, error rates are lower and power is reduced.</w:t>
      </w:r>
    </w:p>
    <w:p>
      <w:pPr>
        <w:pStyle w:val="BodyText"/>
      </w:pPr>
      <w:r>
        <w:t xml:space="preserve">For independent tests, a</w:t>
      </w:r>
      <w:r>
        <w:t xml:space="preserve"> </w:t>
      </w:r>
      <m:oMath>
        <m:r>
          <m:t>95</m:t>
        </m:r>
        <m:r>
          <m:rPr>
            <m:sty m:val="p"/>
          </m:rPr>
          <m:t>%</m:t>
        </m:r>
      </m:oMath>
      <w:r>
        <w:t xml:space="preserve"> </w:t>
      </w:r>
      <w:r>
        <w:t xml:space="preserve">simultaneous band is approximately equivalent to a per-test threshold on</w:t>
      </w:r>
      <w:r>
        <w:t xml:space="preserve"> </w:t>
      </w:r>
      <m:oMath>
        <m:r>
          <m:t>p</m:t>
        </m:r>
        <m:r>
          <m:t>d</m:t>
        </m:r>
      </m:oMath>
      <w:r>
        <w:t xml:space="preserve"> </w:t>
      </w:r>
      <w:r>
        <w:t xml:space="preserve">of</w:t>
      </w:r>
      <w:r>
        <w:t xml:space="preserve"> </w:t>
      </w:r>
      <m:oMath>
        <m:r>
          <m:t>1</m:t>
        </m:r>
        <m:r>
          <m:rPr>
            <m:sty m:val="p"/>
          </m:rPr>
          <m:t>−</m:t>
        </m:r>
        <m:r>
          <m:rPr>
            <m:sty m:val="p"/>
          </m:rPr>
          <m:t>[</m:t>
        </m:r>
        <m:r>
          <m:t>1</m:t>
        </m:r>
        <m:r>
          <m:rPr>
            <m:sty m:val="p"/>
          </m:rPr>
          <m:t>−</m:t>
        </m:r>
        <m:sSup>
          <m:e>
            <m:r>
              <m:t>.95</m:t>
            </m:r>
          </m:e>
          <m:sup>
            <m:r>
              <m:t>1</m:t>
            </m:r>
            <m:r>
              <m:rPr>
                <m:sty m:val="p"/>
              </m:rPr>
              <m:t>/</m:t>
            </m:r>
            <m:r>
              <m:t>m</m:t>
            </m:r>
          </m:sup>
        </m:sSup>
        <m:r>
          <m:rPr>
            <m:sty m:val="p"/>
          </m:rPr>
          <m:t>]</m:t>
        </m:r>
        <m:r>
          <m:rPr>
            <m:sty m:val="p"/>
          </m:rPr>
          <m:t>/</m:t>
        </m:r>
        <m:r>
          <m:t>2</m:t>
        </m:r>
      </m:oMath>
      <w:r>
        <w:t xml:space="preserve">. This equals the threshold</w:t>
      </w:r>
      <w:r>
        <w:t xml:space="preserve"> </w:t>
      </w:r>
      <m:oMath>
        <m:sSup>
          <m:e>
            <m:r>
              <m:t>c</m:t>
            </m:r>
          </m:e>
          <m:sup>
            <m:r>
              <m:rPr>
                <m:sty m:val="p"/>
              </m:rPr>
              <m:t>*</m:t>
            </m:r>
          </m:sup>
        </m:sSup>
      </m:oMath>
      <w:r>
        <w:t xml:space="preserve"> </w:t>
      </w:r>
      <w:r>
        <w:t xml:space="preserve">of the prior-odds rule with</w:t>
      </w:r>
      <w:r>
        <w:t xml:space="preserve"> </w:t>
      </w:r>
      <m:oMath>
        <m:sSub>
          <m:e>
            <m:r>
              <m:t>π</m:t>
            </m:r>
          </m:e>
          <m:sub>
            <m:r>
              <m:t>0</m:t>
            </m:r>
          </m:sub>
        </m:sSub>
        <m:r>
          <m:rPr>
            <m:sty m:val="p"/>
          </m:rPr>
          <m:t>≈</m:t>
        </m:r>
        <m:r>
          <m:t>.80</m:t>
        </m:r>
      </m:oMath>
      <w:r>
        <w:t xml:space="preserve"> </w:t>
      </w:r>
      <w:r>
        <w:t xml:space="preserve">at</w:t>
      </w:r>
      <w:r>
        <w:t xml:space="preserve"> </w:t>
      </w:r>
      <m:oMath>
        <m:r>
          <m:t>m</m:t>
        </m:r>
        <m:r>
          <m:rPr>
            <m:sty m:val="p"/>
          </m:rPr>
          <m:t>=</m:t>
        </m:r>
        <m:r>
          <m:t>4</m:t>
        </m:r>
      </m:oMath>
      <w:r>
        <w:t xml:space="preserve"> </w:t>
      </w:r>
      <w:r>
        <w:t xml:space="preserve">and</w:t>
      </w:r>
      <w:r>
        <w:t xml:space="preserve"> </w:t>
      </w:r>
      <m:oMath>
        <m:sSub>
          <m:e>
            <m:r>
              <m:t>π</m:t>
            </m:r>
          </m:e>
          <m:sub>
            <m:r>
              <m:t>0</m:t>
            </m:r>
          </m:sub>
        </m:sSub>
        <m:r>
          <m:rPr>
            <m:sty m:val="p"/>
          </m:rPr>
          <m:t>≈</m:t>
        </m:r>
        <m:r>
          <m:t>.95</m:t>
        </m:r>
      </m:oMath>
      <w:r>
        <w:t xml:space="preserve"> </w:t>
      </w:r>
      <w:r>
        <w:t xml:space="preserve">at</w:t>
      </w:r>
      <w:r>
        <w:t xml:space="preserve"> </w:t>
      </w:r>
      <m:oMath>
        <m:r>
          <m:t>m</m:t>
        </m:r>
        <m:r>
          <m:rPr>
            <m:sty m:val="p"/>
          </m:rPr>
          <m:t>=</m:t>
        </m:r>
        <m:r>
          <m:t>20</m:t>
        </m:r>
      </m:oMath>
      <w:r>
        <w:t xml:space="preserve">, and at</w:t>
      </w:r>
      <w:r>
        <w:t xml:space="preserve"> </w:t>
      </w:r>
      <m:oMath>
        <m:r>
          <m:t>m</m:t>
        </m:r>
        <m:r>
          <m:rPr>
            <m:sty m:val="p"/>
          </m:rPr>
          <m:t>=</m:t>
        </m:r>
        <m:r>
          <m:t>4</m:t>
        </m:r>
      </m:oMath>
      <w:r>
        <w:t xml:space="preserve"> </w:t>
      </w:r>
      <w:r>
        <w:t xml:space="preserve">the two rules give nearly identical results (</w:t>
      </w:r>
      <w:hyperlink w:anchor="fig-compare">
        <w:r>
          <w:rPr>
            <w:rStyle w:val="Hyperlink"/>
          </w:rPr>
          <w:t xml:space="preserve">Figure 7</w:t>
        </w:r>
      </w:hyperlink>
      <w:r>
        <w:t xml:space="preserve">). The simultaneous band thus implies a value of</w:t>
      </w:r>
      <w:r>
        <w:t xml:space="preserve"> </w:t>
      </w:r>
      <m:oMath>
        <m:sSub>
          <m:e>
            <m:r>
              <m:t>π</m:t>
            </m:r>
          </m:e>
          <m:sub>
            <m:r>
              <m:t>0</m:t>
            </m:r>
          </m:sub>
        </m:sSub>
      </m:oMath>
      <w:r>
        <w:t xml:space="preserve"> </w:t>
      </w:r>
      <w:r>
        <w:t xml:space="preserve">that increases with</w:t>
      </w:r>
      <w:r>
        <w:t xml:space="preserve"> </w:t>
      </w:r>
      <m:oMath>
        <m:r>
          <m:t>m</m:t>
        </m:r>
      </m:oMath>
      <w:r>
        <w:t xml:space="preserve">, which accounts for its loss of power in larger families. These values correspond to</w:t>
      </w:r>
      <w:r>
        <w:t xml:space="preserve"> </w:t>
      </w:r>
      <m:oMath>
        <m:r>
          <m:rPr>
            <m:sty m:val="p"/>
          </m:rPr>
          <m:t>Pr</m:t>
        </m:r>
        <m:r>
          <m:rPr>
            <m:sty m:val="p"/>
          </m:rPr>
          <m:t>(</m:t>
        </m:r>
        <m:sSub>
          <m:e>
            <m:r>
              <m:t>H</m:t>
            </m:r>
          </m:e>
          <m:sub>
            <m:r>
              <m:t>0</m:t>
            </m:r>
          </m:sub>
        </m:sSub>
        <m:r>
          <m:rPr>
            <m:sty m:val="p"/>
          </m:rPr>
          <m:t>)</m:t>
        </m:r>
        <m:r>
          <m:rPr>
            <m:sty m:val="p"/>
          </m:rPr>
          <m:t>=</m:t>
        </m:r>
        <m:sSubSup>
          <m:e>
            <m:r>
              <m:t>π</m:t>
            </m:r>
          </m:e>
          <m:sub>
            <m:r>
              <m:t>0</m:t>
            </m:r>
          </m:sub>
          <m:sup>
            <m:r>
              <m:t>m</m:t>
            </m:r>
          </m:sup>
        </m:sSubSup>
        <m:r>
          <m:rPr>
            <m:sty m:val="p"/>
          </m:rPr>
          <m:t>≈</m:t>
        </m:r>
        <m:r>
          <m:t>.41</m:t>
        </m:r>
      </m:oMath>
      <w:r>
        <w:t xml:space="preserve"> </w:t>
      </w:r>
      <w:r>
        <w:t xml:space="preserve">at</w:t>
      </w:r>
      <w:r>
        <w:t xml:space="preserve"> </w:t>
      </w:r>
      <m:oMath>
        <m:r>
          <m:t>m</m:t>
        </m:r>
        <m:r>
          <m:rPr>
            <m:sty m:val="p"/>
          </m:rPr>
          <m:t>=</m:t>
        </m:r>
        <m:r>
          <m:t>4</m:t>
        </m:r>
      </m:oMath>
      <w:r>
        <w:t xml:space="preserve"> </w:t>
      </w:r>
      <w:r>
        <w:t xml:space="preserve">and</w:t>
      </w:r>
      <w:r>
        <w:t xml:space="preserve"> </w:t>
      </w:r>
      <m:oMath>
        <m:r>
          <m:t>.38</m:t>
        </m:r>
      </m:oMath>
      <w:r>
        <w:t xml:space="preserve"> </w:t>
      </w:r>
      <w:r>
        <w:t xml:space="preserve">at</w:t>
      </w:r>
      <w:r>
        <w:t xml:space="preserve"> </w:t>
      </w:r>
      <m:oMath>
        <m:r>
          <m:t>m</m:t>
        </m:r>
        <m:r>
          <m:rPr>
            <m:sty m:val="p"/>
          </m:rPr>
          <m:t>=</m:t>
        </m:r>
        <m:r>
          <m:t>20</m:t>
        </m:r>
      </m:oMath>
      <w:r>
        <w:t xml:space="preserve">: the band behaves like the prior-odds rule with</w:t>
      </w:r>
      <w:r>
        <w:t xml:space="preserve"> </w:t>
      </w:r>
      <m:oMath>
        <m:sSub>
          <m:e>
            <m:r>
              <m:t>π</m:t>
            </m:r>
          </m:e>
          <m:sub>
            <m:r>
              <m:t>0</m:t>
            </m:r>
          </m:sub>
        </m:sSub>
      </m:oMath>
      <w:r>
        <w:t xml:space="preserve"> </w:t>
      </w:r>
      <w:r>
        <w:t xml:space="preserve">set through a nearly fixed</w:t>
      </w:r>
      <w:r>
        <w:t xml:space="preserve"> </w:t>
      </w:r>
      <m:oMath>
        <m:r>
          <m:rPr>
            <m:sty m:val="p"/>
          </m:rPr>
          <m:t>Pr</m:t>
        </m:r>
        <m:r>
          <m:rPr>
            <m:sty m:val="p"/>
          </m:rPr>
          <m:t>(</m:t>
        </m:r>
        <m:sSub>
          <m:e>
            <m:r>
              <m:t>H</m:t>
            </m:r>
          </m:e>
          <m:sub>
            <m:r>
              <m:t>0</m:t>
            </m:r>
          </m:sub>
        </m:sSub>
        <m:r>
          <m:rPr>
            <m:sty m:val="p"/>
          </m:rPr>
          <m:t>)</m:t>
        </m:r>
      </m:oMath>
      <w:r>
        <w:t xml:space="preserve">, which raises</w:t>
      </w:r>
      <w:r>
        <w:t xml:space="preserve"> </w:t>
      </w:r>
      <m:oMath>
        <m:sSub>
          <m:e>
            <m:r>
              <m:t>π</m:t>
            </m:r>
          </m:e>
          <m:sub>
            <m:r>
              <m:t>0</m:t>
            </m:r>
          </m:sub>
        </m:sSub>
      </m:oMath>
      <w:r>
        <w:t xml:space="preserve"> </w:t>
      </w:r>
      <w:r>
        <w:t xml:space="preserve">as the family grows. In the prior-odds rule, the threshold depends on</w:t>
      </w:r>
      <w:r>
        <w:t xml:space="preserve"> </w:t>
      </w:r>
      <m:oMath>
        <m:r>
          <m:t>m</m:t>
        </m:r>
      </m:oMath>
      <w:r>
        <w:t xml:space="preserve"> </w:t>
      </w:r>
      <w:r>
        <w:t xml:space="preserve">only through the specified</w:t>
      </w:r>
      <w:r>
        <w:t xml:space="preserve"> </w:t>
      </w:r>
      <m:oMath>
        <m:sSub>
          <m:e>
            <m:r>
              <m:t>π</m:t>
            </m:r>
          </m:e>
          <m:sub>
            <m:r>
              <m:t>0</m:t>
            </m:r>
          </m:sub>
        </m:sSub>
      </m:oMath>
      <w:r>
        <w:t xml:space="preserve">, so, for a fixed</w:t>
      </w:r>
      <w:r>
        <w:t xml:space="preserve"> </w:t>
      </w:r>
      <m:oMath>
        <m:sSub>
          <m:e>
            <m:r>
              <m:t>π</m:t>
            </m:r>
          </m:e>
          <m:sub>
            <m:r>
              <m:t>0</m:t>
            </m:r>
          </m:sub>
        </m:sSub>
      </m:oMath>
      <w:r>
        <w:t xml:space="preserve">, its power does not change with</w:t>
      </w:r>
      <w:r>
        <w:t xml:space="preserve"> </w:t>
      </w:r>
      <m:oMath>
        <m:r>
          <m:t>m</m:t>
        </m:r>
      </m:oMath>
      <w:r>
        <w:t xml:space="preserve">, whereas its FDR does.</w:t>
      </w:r>
    </w:p>
    <w:p>
      <w:pPr>
        <w:pStyle w:val="BodyText"/>
      </w:pPr>
      <w:r>
        <w:t xml:space="preserve">With a matched</w:t>
      </w:r>
      <w:r>
        <w:t xml:space="preserve"> </w:t>
      </w:r>
      <m:oMath>
        <m:sSub>
          <m:e>
            <m:r>
              <m:t>π</m:t>
            </m:r>
          </m:e>
          <m:sub>
            <m:r>
              <m:t>0</m:t>
            </m:r>
          </m:sub>
        </m:sSub>
      </m:oMath>
      <w:r>
        <w:t xml:space="preserve">, the FDR is not held at</w:t>
      </w:r>
      <w:r>
        <w:t xml:space="preserve"> </w:t>
      </w:r>
      <m:oMath>
        <m:r>
          <m:t>.05</m:t>
        </m:r>
      </m:oMath>
      <w:r>
        <w:t xml:space="preserve">: at</w:t>
      </w:r>
      <w:r>
        <w:t xml:space="preserve"> </w:t>
      </w:r>
      <m:oMath>
        <m:sSub>
          <m:e>
            <m:r>
              <m:t>π</m:t>
            </m:r>
          </m:e>
          <m:sub>
            <m:r>
              <m:t>0</m:t>
            </m:r>
          </m:sub>
        </m:sSub>
        <m:r>
          <m:rPr>
            <m:sty m:val="p"/>
          </m:rPr>
          <m:t>=</m:t>
        </m:r>
        <m:sSub>
          <m:e>
            <m:r>
              <m:t>π</m:t>
            </m:r>
          </m:e>
          <m:sub>
            <m:r>
              <m:rPr>
                <m:nor/>
                <m:sty m:val="p"/>
              </m:rPr>
              <m:t>null</m:t>
            </m:r>
          </m:sub>
        </m:sSub>
        <m:r>
          <m:rPr>
            <m:sty m:val="p"/>
          </m:rPr>
          <m:t>=</m:t>
        </m:r>
        <m:r>
          <m:t>.7</m:t>
        </m:r>
      </m:oMath>
      <w:r>
        <w:t xml:space="preserve"> </w:t>
      </w:r>
      <w:r>
        <w:t xml:space="preserve">and</w:t>
      </w:r>
      <w:r>
        <w:t xml:space="preserve"> </w:t>
      </w:r>
      <m:oMath>
        <m:r>
          <m:t>m</m:t>
        </m:r>
        <m:r>
          <m:rPr>
            <m:sty m:val="p"/>
          </m:rPr>
          <m:t>=</m:t>
        </m:r>
        <m:r>
          <m:t>20</m:t>
        </m:r>
      </m:oMath>
      <w:r>
        <w:t xml:space="preserve"> </w:t>
      </w:r>
      <w:r>
        <w:t xml:space="preserve">it is</w:t>
      </w:r>
      <w:r>
        <w:t xml:space="preserve"> </w:t>
      </w:r>
      <m:oMath>
        <m:r>
          <m:t>.10</m:t>
        </m:r>
      </m:oMath>
      <w:r>
        <w:t xml:space="preserve">. This agrees with the decomposition given above. With</w:t>
      </w:r>
      <w:r>
        <w:t xml:space="preserve"> </w:t>
      </w:r>
      <m:oMath>
        <m:sSup>
          <m:e>
            <m:r>
              <m:t>α</m:t>
            </m:r>
          </m:e>
          <m:sup>
            <m:r>
              <m:rPr>
                <m:sty m:val="p"/>
              </m:rPr>
              <m:t>*</m:t>
            </m:r>
          </m:sup>
        </m:sSup>
        <m:r>
          <m:rPr>
            <m:sty m:val="p"/>
          </m:rPr>
          <m:t>=</m:t>
        </m:r>
        <m:r>
          <m:t>2</m:t>
        </m:r>
        <m:r>
          <m:rPr>
            <m:sty m:val="p"/>
          </m:rPr>
          <m:t>(</m:t>
        </m:r>
        <m:r>
          <m:t>1</m:t>
        </m:r>
        <m:r>
          <m:rPr>
            <m:sty m:val="p"/>
          </m:rPr>
          <m:t>−</m:t>
        </m:r>
        <m:sSup>
          <m:e>
            <m:r>
              <m:t>c</m:t>
            </m:r>
          </m:e>
          <m:sup>
            <m:r>
              <m:rPr>
                <m:sty m:val="p"/>
              </m:rPr>
              <m:t>*</m:t>
            </m:r>
          </m:sup>
        </m:sSup>
        <m:r>
          <m:rPr>
            <m:sty m:val="p"/>
          </m:rPr>
          <m:t>)</m:t>
        </m:r>
        <m:r>
          <m:rPr>
            <m:sty m:val="p"/>
          </m:rPr>
          <m:t>=</m:t>
        </m:r>
        <m:r>
          <m:t>.0217</m:t>
        </m:r>
      </m:oMath>
      <w:r>
        <w:t xml:space="preserve"> </w:t>
      </w:r>
      <w:r>
        <w:t xml:space="preserve">and power of about</w:t>
      </w:r>
      <w:r>
        <w:t xml:space="preserve"> </w:t>
      </w:r>
      <m:oMath>
        <m:r>
          <m:t>.43</m:t>
        </m:r>
      </m:oMath>
      <w:r>
        <w:t xml:space="preserve">, the pFDR is</w:t>
      </w:r>
      <w:r>
        <w:t xml:space="preserve"> </w:t>
      </w:r>
      <m:oMath>
        <m:r>
          <m:t>.107</m:t>
        </m:r>
      </m:oMath>
      <w:r>
        <w:t xml:space="preserve"> </w:t>
      </w:r>
      <w:r>
        <w:t xml:space="preserve">and does not depend on</w:t>
      </w:r>
      <w:r>
        <w:t xml:space="preserve"> </w:t>
      </w:r>
      <m:oMath>
        <m:r>
          <m:t>m</m:t>
        </m:r>
      </m:oMath>
      <w:r>
        <w:t xml:space="preserve">, while</w:t>
      </w:r>
      <w:r>
        <w:t xml:space="preserve"> </w:t>
      </w:r>
      <m:oMath>
        <m:r>
          <m:rPr>
            <m:sty m:val="p"/>
          </m:rPr>
          <m:t>Pr</m:t>
        </m:r>
        <m:r>
          <m:rPr>
            <m:sty m:val="p"/>
          </m:rPr>
          <m:t>(</m:t>
        </m:r>
        <m:r>
          <m:t>R</m:t>
        </m:r>
        <m:r>
          <m:rPr>
            <m:sty m:val="p"/>
          </m:rPr>
          <m:t>&gt;</m:t>
        </m:r>
        <m:r>
          <m:t>0</m:t>
        </m:r>
        <m:r>
          <m:rPr>
            <m:sty m:val="p"/>
          </m:rPr>
          <m:t>)</m:t>
        </m:r>
      </m:oMath>
      <w:r>
        <w:t xml:space="preserve">, estimated as</w:t>
      </w:r>
      <w:r>
        <w:t xml:space="preserve"> </w:t>
      </w:r>
      <m:oMath>
        <m:r>
          <m:rPr>
            <m:sty m:val="p"/>
          </m:rPr>
          <m:t>F</m:t>
        </m:r>
        <m:r>
          <m:rPr>
            <m:sty m:val="p"/>
          </m:rPr>
          <m:t>D</m:t>
        </m:r>
        <m:r>
          <m:rPr>
            <m:sty m:val="p"/>
          </m:rPr>
          <m:t>R</m:t>
        </m:r>
        <m:r>
          <m:rPr>
            <m:sty m:val="p"/>
          </m:rPr>
          <m:t>/</m:t>
        </m:r>
        <m:r>
          <m:rPr>
            <m:sty m:val="p"/>
          </m:rPr>
          <m:t>p</m:t>
        </m:r>
        <m:r>
          <m:rPr>
            <m:sty m:val="p"/>
          </m:rPr>
          <m:t>F</m:t>
        </m:r>
        <m:r>
          <m:rPr>
            <m:sty m:val="p"/>
          </m:rPr>
          <m:t>D</m:t>
        </m:r>
        <m:r>
          <m:rPr>
            <m:sty m:val="p"/>
          </m:rPr>
          <m:t>R</m:t>
        </m:r>
      </m:oMath>
      <w:r>
        <w:t xml:space="preserve">, increases from</w:t>
      </w:r>
      <w:r>
        <w:t xml:space="preserve"> </w:t>
      </w:r>
      <m:oMath>
        <m:r>
          <m:t>.45</m:t>
        </m:r>
      </m:oMath>
      <w:r>
        <w:t xml:space="preserve"> </w:t>
      </w:r>
      <w:r>
        <w:t xml:space="preserve">at</w:t>
      </w:r>
      <w:r>
        <w:t xml:space="preserve"> </w:t>
      </w:r>
      <m:oMath>
        <m:r>
          <m:t>m</m:t>
        </m:r>
        <m:r>
          <m:rPr>
            <m:sty m:val="p"/>
          </m:rPr>
          <m:t>=</m:t>
        </m:r>
        <m:r>
          <m:t>4</m:t>
        </m:r>
      </m:oMath>
      <w:r>
        <w:t xml:space="preserve"> </w:t>
      </w:r>
      <w:r>
        <w:t xml:space="preserve">to</w:t>
      </w:r>
      <w:r>
        <w:t xml:space="preserve"> </w:t>
      </w:r>
      <m:oMath>
        <m:r>
          <m:t>.93</m:t>
        </m:r>
      </m:oMath>
      <w:r>
        <w:t xml:space="preserve"> </w:t>
      </w:r>
      <w:r>
        <w:t xml:space="preserve">at</w:t>
      </w:r>
      <w:r>
        <w:t xml:space="preserve"> </w:t>
      </w:r>
      <m:oMath>
        <m:r>
          <m:t>m</m:t>
        </m:r>
        <m:r>
          <m:rPr>
            <m:sty m:val="p"/>
          </m:rPr>
          <m:t>=</m:t>
        </m:r>
        <m:r>
          <m:t>20</m:t>
        </m:r>
      </m:oMath>
      <w:r>
        <w:t xml:space="preserve">. The rule therefore keeps the proportion of false claims among the claims made approximately constant, and the FDR increases with</w:t>
      </w:r>
      <w:r>
        <w:t xml:space="preserve"> </w:t>
      </w:r>
      <m:oMath>
        <m:r>
          <m:t>m</m:t>
        </m:r>
      </m:oMath>
      <w:r>
        <w:t xml:space="preserve"> </w:t>
      </w:r>
      <w:r>
        <w:t xml:space="preserve">because at least one claim becomes more likely in larger families. A lower FDR requires a</w:t>
      </w:r>
      <w:r>
        <w:t xml:space="preserve"> </w:t>
      </w:r>
      <m:oMath>
        <m:sSub>
          <m:e>
            <m:r>
              <m:t>π</m:t>
            </m:r>
          </m:e>
          <m:sub>
            <m:r>
              <m:t>0</m:t>
            </m:r>
          </m:sub>
        </m:sSub>
      </m:oMath>
      <w:r>
        <w:t xml:space="preserve"> </w:t>
      </w:r>
      <w:r>
        <w:t xml:space="preserve">larger than the true proportion of null effects (</w:t>
      </w:r>
      <w:hyperlink w:anchor="fig-ind-fdr-pw">
        <w:r>
          <w:rPr>
            <w:rStyle w:val="Hyperlink"/>
          </w:rPr>
          <w:t xml:space="preserve">Figure 5</w:t>
        </w:r>
      </w:hyperlink>
      <w:r>
        <w:t xml:space="preserve">).</w:t>
      </w:r>
    </w:p>
    <w:p>
      <w:pPr>
        <w:pStyle w:val="BodyText"/>
      </w:pPr>
      <w:r>
        <w:t xml:space="preserve">Which procedure to use thus depends on whether any false claim must be avoided (FWER) or only a small proportion of false claims is acceptable (FDR), on how much power can be given up, and on whether a value of</w:t>
      </w:r>
      <w:r>
        <w:t xml:space="preserve"> </w:t>
      </w:r>
      <m:oMath>
        <m:sSub>
          <m:e>
            <m:r>
              <m:t>π</m:t>
            </m:r>
          </m:e>
          <m:sub>
            <m:r>
              <m:t>0</m:t>
            </m:r>
          </m:sub>
        </m:sSub>
      </m:oMath>
      <w:r>
        <w:t xml:space="preserve"> </w:t>
      </w:r>
      <w:r>
        <w:t xml:space="preserve">can be specified. The prior-odds rule is the only one of the three that requires such a specification, and its error rates depend on whether the specified</w:t>
      </w:r>
      <w:r>
        <w:t xml:space="preserve"> </w:t>
      </w:r>
      <m:oMath>
        <m:sSub>
          <m:e>
            <m:r>
              <m:t>π</m:t>
            </m:r>
          </m:e>
          <m:sub>
            <m:r>
              <m:t>0</m:t>
            </m:r>
          </m:sub>
        </m:sSub>
      </m:oMath>
      <w:r>
        <w:t xml:space="preserve"> </w:t>
      </w:r>
      <w:r>
        <w:t xml:space="preserve">is at least the proportion of null effects, and, with</w:t>
      </w:r>
      <w:r>
        <w:t xml:space="preserve"> </w:t>
      </w:r>
      <m:oMath>
        <m:sSub>
          <m:e>
            <m:r>
              <m:t>π</m:t>
            </m:r>
          </m:e>
          <m:sub>
            <m:r>
              <m:t>0</m:t>
            </m:r>
          </m:sub>
        </m:sSub>
      </m:oMath>
      <w:r>
        <w:t xml:space="preserve"> </w:t>
      </w:r>
      <w:r>
        <w:t xml:space="preserve">set through a fixed</w:t>
      </w:r>
      <w:r>
        <w:t xml:space="preserve"> </w:t>
      </w:r>
      <m:oMath>
        <m:r>
          <m:rPr>
            <m:sty m:val="p"/>
          </m:rPr>
          <m:t>Pr</m:t>
        </m:r>
        <m:r>
          <m:rPr>
            <m:sty m:val="p"/>
          </m:rPr>
          <m:t>(</m:t>
        </m:r>
        <m:sSub>
          <m:e>
            <m:r>
              <m:t>H</m:t>
            </m:r>
          </m:e>
          <m:sub>
            <m:r>
              <m:t>0</m:t>
            </m:r>
          </m:sub>
        </m:sSub>
        <m:r>
          <m:rPr>
            <m:sty m:val="p"/>
          </m:rPr>
          <m:t>)</m:t>
        </m:r>
      </m:oMath>
      <w:r>
        <w:t xml:space="preserve">, it also limits the probability of any false claim, as the simultaneous band does.</w:t>
      </w:r>
    </w:p>
    <w:bookmarkStart w:id="83" w:name="fig-compare"/>
    <w:p>
      <w:pPr>
        <w:pStyle w:val="FigureTitle"/>
      </w:pPr>
      <w:r>
        <w:t xml:space="preserve">Figure 7</w:t>
      </w:r>
    </w:p>
    <w:p>
      <w:pPr>
        <w:pStyle w:val="Caption"/>
      </w:pPr>
      <w:r>
        <w:t xml:space="preserve">Error Rates and Power of the Three Procedures</w:t>
      </w:r>
    </w:p>
    <w:p>
      <w:pPr>
        <w:pStyle w:val="FigureWithNote"/>
      </w:pPr>
      <w:r>
        <w:drawing>
          <wp:inline>
            <wp:extent cx="5943600" cy="4800600"/>
            <wp:effectExtent b="0" l="0" r="0" t="0"/>
            <wp:docPr descr="" title="" id="81" name="Picture"/>
            <a:graphic>
              <a:graphicData uri="http://schemas.openxmlformats.org/drawingml/2006/picture">
                <pic:pic>
                  <pic:nvPicPr>
                    <pic:cNvPr descr="manuscript_v2_files/figure-docx/fig-compare-1.png" id="82" name="Picture"/>
                    <pic:cNvPicPr>
                      <a:picLocks noChangeArrowheads="1" noChangeAspect="1"/>
                    </pic:cNvPicPr>
                  </pic:nvPicPr>
                  <pic:blipFill>
                    <a:blip r:embed="rId80"/>
                    <a:stretch>
                      <a:fillRect/>
                    </a:stretch>
                  </pic:blipFill>
                  <pic:spPr bwMode="auto">
                    <a:xfrm>
                      <a:off x="0" y="0"/>
                      <a:ext cx="5943600" cy="4800600"/>
                    </a:xfrm>
                    <a:prstGeom prst="rect">
                      <a:avLst/>
                    </a:prstGeom>
                    <a:noFill/>
                    <a:ln w="9525">
                      <a:noFill/>
                      <a:headEnd/>
                      <a:tailEnd/>
                    </a:ln>
                  </pic:spPr>
                </pic:pic>
              </a:graphicData>
            </a:graphic>
          </wp:inline>
        </w:drawing>
      </w:r>
    </w:p>
    <w:bookmarkEnd w:id="83"/>
    <w:p>
      <w:pPr>
        <w:pStyle w:val="FigureNote"/>
      </w:pPr>
      <w:r>
        <w:rPr>
          <w:i/>
          <w:iCs/>
        </w:rPr>
        <w:t xml:space="preserve">Note</w:t>
      </w:r>
      <w:r>
        <w:t xml:space="preserve">. False Discovery Rate (FDR), Family-Wise Error Rate (FWER), and average power as a function of the true proportion of null effects,</w:t>
      </w:r>
      <w:r>
        <w:t xml:space="preserve"> </w:t>
      </w:r>
      <m:oMath>
        <m:sSub>
          <m:e>
            <m:r>
              <m:t>π</m:t>
            </m:r>
          </m:e>
          <m:sub>
            <m:r>
              <m:rPr>
                <m:nor/>
                <m:sty m:val="p"/>
              </m:rPr>
              <m:t>null</m:t>
            </m:r>
          </m:sub>
        </m:sSub>
      </m:oMath>
      <w:r>
        <w:t xml:space="preserve"> </w:t>
      </w:r>
      <w:r>
        <w:t xml:space="preserve">(columns), for the smallest and largest families (</w:t>
      </w:r>
      <m:oMath>
        <m:r>
          <m:t>m</m:t>
        </m:r>
        <m:r>
          <m:rPr>
            <m:sty m:val="p"/>
          </m:rPr>
          <m:t>=</m:t>
        </m:r>
        <m:r>
          <m:t>4</m:t>
        </m:r>
      </m:oMath>
      <w:r>
        <w:t xml:space="preserve">,</w:t>
      </w:r>
      <w:r>
        <w:t xml:space="preserve"> </w:t>
      </w:r>
      <m:oMath>
        <m:r>
          <m:t>m</m:t>
        </m:r>
        <m:r>
          <m:rPr>
            <m:sty m:val="p"/>
          </m:rPr>
          <m:t>=</m:t>
        </m:r>
        <m:r>
          <m:t>20</m:t>
        </m:r>
      </m:oMath>
      <w:r>
        <w:t xml:space="preserve">; panel rows), all at</w:t>
      </w:r>
      <w:r>
        <w:t xml:space="preserve"> </w:t>
      </w:r>
      <m:oMath>
        <m:r>
          <m:t>α</m:t>
        </m:r>
        <m:r>
          <m:rPr>
            <m:sty m:val="p"/>
          </m:rPr>
          <m:t>=</m:t>
        </m:r>
        <m:r>
          <m:t>.05</m:t>
        </m:r>
      </m:oMath>
      <w:r>
        <w:t xml:space="preserve">. Upper five rows of each block: the prior-odds rule (</w:t>
      </w:r>
      <m:oMath>
        <m:r>
          <m:t>p</m:t>
        </m:r>
        <m:r>
          <m:t>d</m:t>
        </m:r>
        <m:r>
          <m:rPr>
            <m:sty m:val="p"/>
          </m:rPr>
          <m:t>&gt;</m:t>
        </m:r>
        <m:sSup>
          <m:e>
            <m:r>
              <m:t>c</m:t>
            </m:r>
          </m:e>
          <m:sup>
            <m:r>
              <m:rPr>
                <m:sty m:val="p"/>
              </m:rPr>
              <m:t>*</m:t>
            </m:r>
          </m:sup>
        </m:sSup>
      </m:oMath>
      <w:r>
        <w:t xml:space="preserve">) with</w:t>
      </w:r>
      <w:r>
        <w:t xml:space="preserve"> </w:t>
      </w:r>
      <m:oMath>
        <m:sSub>
          <m:e>
            <m:r>
              <m:t>π</m:t>
            </m:r>
          </m:e>
          <m:sub>
            <m:r>
              <m:t>0</m:t>
            </m:r>
          </m:sub>
        </m:sSub>
        <m:r>
          <m:rPr>
            <m:sty m:val="p"/>
          </m:rPr>
          <m:t>=</m:t>
        </m:r>
        <m:r>
          <m:t>.5</m:t>
        </m:r>
        <m:r>
          <m:rPr>
            <m:sty m:val="p"/>
          </m:rPr>
          <m:t>,</m:t>
        </m:r>
        <m:r>
          <m:rPr>
            <m:sty m:val="p"/>
          </m:rPr>
          <m:t>…</m:t>
        </m:r>
        <m:r>
          <m:rPr>
            <m:sty m:val="p"/>
          </m:rPr>
          <m:t>,</m:t>
        </m:r>
        <m:r>
          <m:t>.9</m:t>
        </m:r>
      </m:oMath>
      <w:r>
        <w:t xml:space="preserve">, where</w:t>
      </w:r>
      <w:r>
        <w:t xml:space="preserve"> </w:t>
      </w:r>
      <m:oMath>
        <m:sSub>
          <m:e>
            <m:r>
              <m:t>π</m:t>
            </m:r>
          </m:e>
          <m:sub>
            <m:r>
              <m:t>0</m:t>
            </m:r>
          </m:sub>
        </m:sSub>
        <m:r>
          <m:rPr>
            <m:sty m:val="p"/>
          </m:rPr>
          <m:t>=</m:t>
        </m:r>
        <m:r>
          <m:t>.5</m:t>
        </m:r>
      </m:oMath>
      <w:r>
        <w:t xml:space="preserve"> </w:t>
      </w:r>
      <w:r>
        <w:t xml:space="preserve">is the unadjusted rule (</w:t>
      </w:r>
      <m:oMath>
        <m:sSup>
          <m:e>
            <m:r>
              <m:t>c</m:t>
            </m:r>
          </m:e>
          <m:sup>
            <m:r>
              <m:rPr>
                <m:sty m:val="p"/>
              </m:rPr>
              <m:t>*</m:t>
            </m:r>
          </m:sup>
        </m:sSup>
        <m:r>
          <m:rPr>
            <m:sty m:val="p"/>
          </m:rPr>
          <m:t>=</m:t>
        </m:r>
        <m:r>
          <m:t>c</m:t>
        </m:r>
      </m:oMath>
      <w:r>
        <w:t xml:space="preserve">); outlined cells mark</w:t>
      </w:r>
      <w:r>
        <w:t xml:space="preserve"> </w:t>
      </w:r>
      <m:oMath>
        <m:sSub>
          <m:e>
            <m:r>
              <m:t>π</m:t>
            </m:r>
          </m:e>
          <m:sub>
            <m:r>
              <m:t>0</m:t>
            </m:r>
          </m:sub>
        </m:sSub>
        <m:r>
          <m:rPr>
            <m:sty m:val="p"/>
          </m:rPr>
          <m:t>=</m:t>
        </m:r>
        <m:sSub>
          <m:e>
            <m:r>
              <m:t>π</m:t>
            </m:r>
          </m:e>
          <m:sub>
            <m:r>
              <m:rPr>
                <m:nor/>
                <m:sty m:val="p"/>
              </m:rPr>
              <m:t>null</m:t>
            </m:r>
          </m:sub>
        </m:sSub>
      </m:oMath>
      <w:r>
        <w:t xml:space="preserve">, with</w:t>
      </w:r>
      <w:r>
        <w:t xml:space="preserve"> </w:t>
      </w:r>
      <m:oMath>
        <m:sSub>
          <m:e>
            <m:r>
              <m:t>π</m:t>
            </m:r>
          </m:e>
          <m:sub>
            <m:r>
              <m:t>0</m:t>
            </m:r>
          </m:sub>
        </m:sSub>
        <m:r>
          <m:rPr>
            <m:sty m:val="p"/>
          </m:rPr>
          <m:t>&lt;</m:t>
        </m:r>
        <m:sSub>
          <m:e>
            <m:r>
              <m:t>π</m:t>
            </m:r>
          </m:e>
          <m:sub>
            <m:r>
              <m:rPr>
                <m:nor/>
                <m:sty m:val="p"/>
              </m:rPr>
              <m:t>null</m:t>
            </m:r>
          </m:sub>
        </m:sSub>
      </m:oMath>
      <w:r>
        <w:t xml:space="preserve"> </w:t>
      </w:r>
      <w:r>
        <w:t xml:space="preserve">to their right and</w:t>
      </w:r>
      <w:r>
        <w:t xml:space="preserve"> </w:t>
      </w:r>
      <m:oMath>
        <m:sSub>
          <m:e>
            <m:r>
              <m:t>π</m:t>
            </m:r>
          </m:e>
          <m:sub>
            <m:r>
              <m:t>0</m:t>
            </m:r>
          </m:sub>
        </m:sSub>
        <m:r>
          <m:rPr>
            <m:sty m:val="p"/>
          </m:rPr>
          <m:t>&gt;</m:t>
        </m:r>
        <m:sSub>
          <m:e>
            <m:r>
              <m:t>π</m:t>
            </m:r>
          </m:e>
          <m:sub>
            <m:r>
              <m:rPr>
                <m:nor/>
                <m:sty m:val="p"/>
              </m:rPr>
              <m:t>null</m:t>
            </m:r>
          </m:sub>
        </m:sSub>
      </m:oMath>
      <w:r>
        <w:t xml:space="preserve"> </w:t>
      </w:r>
      <w:r>
        <w:t xml:space="preserve">to their left. All procedures and values of</w:t>
      </w:r>
      <w:r>
        <w:t xml:space="preserve"> </w:t>
      </w:r>
      <m:oMath>
        <m:sSub>
          <m:e>
            <m:r>
              <m:t>π</m:t>
            </m:r>
          </m:e>
          <m:sub>
            <m:r>
              <m:t>0</m:t>
            </m:r>
          </m:sub>
        </m:sSub>
      </m:oMath>
      <w:r>
        <w:t xml:space="preserve"> </w:t>
      </w:r>
      <w:r>
        <w:t xml:space="preserve">are applied to the same replications. Lower two rows: the two other procedures, which do not require</w:t>
      </w:r>
      <w:r>
        <w:t xml:space="preserve"> </w:t>
      </w:r>
      <m:oMath>
        <m:sSub>
          <m:e>
            <m:r>
              <m:t>π</m:t>
            </m:r>
          </m:e>
          <m:sub>
            <m:r>
              <m:t>0</m:t>
            </m:r>
          </m:sub>
        </m:sSub>
      </m:oMath>
      <w:r>
        <w:t xml:space="preserve"> </w:t>
      </w:r>
      <w:r>
        <w:t xml:space="preserve">(joint statements at joint probability</w:t>
      </w:r>
      <w:r>
        <w:t xml:space="preserve"> </w:t>
      </w:r>
      <m:oMath>
        <m:r>
          <m:t>.95</m:t>
        </m:r>
      </m:oMath>
      <w:r>
        <w:t xml:space="preserve">; 95% simultaneous credible intervals). Power is undefined when every effect is null (n/a). Each cell is the empirical rate over 10,000 replications (</w:t>
      </w:r>
      <m:oMath>
        <m:r>
          <m:t>n</m:t>
        </m:r>
        <m:r>
          <m:rPr>
            <m:sty m:val="p"/>
          </m:rPr>
          <m:t>=</m:t>
        </m:r>
        <m:r>
          <m:t>50</m:t>
        </m:r>
      </m:oMath>
      <w:r>
        <w:t xml:space="preserve">); intermediate family sizes (</w:t>
      </w:r>
      <m:oMath>
        <m:r>
          <m:t>m</m:t>
        </m:r>
        <m:r>
          <m:rPr>
            <m:sty m:val="p"/>
          </m:rPr>
          <m:t>=</m:t>
        </m:r>
        <m:r>
          <m:t>8</m:t>
        </m:r>
        <m:r>
          <m:rPr>
            <m:sty m:val="p"/>
          </m:rPr>
          <m:t>,</m:t>
        </m:r>
        <m:r>
          <m:t>10</m:t>
        </m:r>
      </m:oMath>
      <w:r>
        <w:t xml:space="preserve">) lie between the two blocks shown.</w:t>
      </w:r>
    </w:p>
    <w:bookmarkEnd w:id="84"/>
    <w:bookmarkEnd w:id="85"/>
    <w:bookmarkEnd w:id="86"/>
    <w:bookmarkStart w:id="89" w:name="X7eb5f01a3d0b5a0b2ceaefa4ea1f492bfca0364"/>
    <w:p>
      <w:pPr>
        <w:pStyle w:val="Heading1"/>
      </w:pPr>
      <w:r>
        <w:t xml:space="preserve">Application: Worked Example With the R Package</w:t>
      </w:r>
      <w:r>
        <w:t xml:space="preserve"> </w:t>
      </w:r>
      <w:r>
        <w:rPr>
          <w:rStyle w:val="VerbatimChar"/>
        </w:rPr>
        <w:t xml:space="preserve">multibayes</w:t>
      </w:r>
    </w:p>
    <w:p>
      <w:pPr>
        <w:pStyle w:val="FirstParagraph"/>
      </w:pPr>
      <w:r>
        <w:t xml:space="preserve">The procedure is implemented in the</w:t>
      </w:r>
      <w:r>
        <w:t xml:space="preserve"> </w:t>
      </w:r>
      <w:r>
        <w:rPr>
          <w:rStyle w:val="VerbatimChar"/>
        </w:rPr>
        <w:t xml:space="preserve">multibayes</w:t>
      </w:r>
      <w:r>
        <w:t xml:space="preserve"> </w:t>
      </w:r>
      <w:r>
        <w:t xml:space="preserve">R package. The core function,</w:t>
      </w:r>
      <w:r>
        <w:t xml:space="preserve"> </w:t>
      </w:r>
      <w:r>
        <w:rPr>
          <w:rStyle w:val="VerbatimChar"/>
        </w:rPr>
        <w:t xml:space="preserve">pd.adjust()</w:t>
      </w:r>
      <w:r>
        <w:t xml:space="preserve">, accepts either a matrix of posterior draws, from which</w:t>
      </w:r>
      <w:r>
        <w:t xml:space="preserve"> </w:t>
      </w:r>
      <m:oMath>
        <m:r>
          <m:t>p</m:t>
        </m:r>
        <m:r>
          <m:t>d</m:t>
        </m:r>
      </m:oMath>
      <w:r>
        <w:t xml:space="preserve"> </w:t>
      </w:r>
      <w:r>
        <w:t xml:space="preserve">values are computed internally, or a vector of pre-computed</w:t>
      </w:r>
      <w:r>
        <w:t xml:space="preserve"> </w:t>
      </w:r>
      <m:oMath>
        <m:r>
          <m:t>p</m:t>
        </m:r>
        <m:r>
          <m:t>d</m:t>
        </m:r>
      </m:oMath>
      <w:r>
        <w:t xml:space="preserve"> </w:t>
      </w:r>
      <w:r>
        <w:t xml:space="preserve">values. The penalty is specified in either of two ways: directly as the per-test value</w:t>
      </w:r>
      <w:r>
        <w:t xml:space="preserve"> </w:t>
      </w:r>
      <m:oMath>
        <m:sSub>
          <m:e>
            <m:r>
              <m:t>π</m:t>
            </m:r>
          </m:e>
          <m:sub>
            <m:r>
              <m:t>0</m:t>
            </m:r>
          </m:sub>
        </m:sSub>
      </m:oMath>
      <w:r>
        <w:t xml:space="preserve">, or as</w:t>
      </w:r>
      <w:r>
        <w:t xml:space="preserve"> </w:t>
      </w:r>
      <m:oMath>
        <m:r>
          <m:rPr>
            <m:sty m:val="p"/>
          </m:rPr>
          <m:t>Pr</m:t>
        </m:r>
        <m:r>
          <m:rPr>
            <m:sty m:val="p"/>
          </m:rPr>
          <m:t>(</m:t>
        </m:r>
        <m:sSub>
          <m:e>
            <m:r>
              <m:t>H</m:t>
            </m:r>
          </m:e>
          <m:sub>
            <m:r>
              <m:t>0</m:t>
            </m:r>
          </m:sub>
        </m:sSub>
        <m:r>
          <m:rPr>
            <m:sty m:val="p"/>
          </m:rPr>
          <m:t>)</m:t>
        </m:r>
      </m:oMath>
      <w:r>
        <w:t xml:space="preserve">, the largest prior probability that no claim in the family is correct, from which</w:t>
      </w:r>
      <w:r>
        <w:t xml:space="preserve"> </w:t>
      </w:r>
      <m:oMath>
        <m:sSub>
          <m:e>
            <m:r>
              <m:t>π</m:t>
            </m:r>
          </m:e>
          <m:sub>
            <m:r>
              <m:t>0</m:t>
            </m:r>
          </m:sub>
        </m:sSub>
        <m:r>
          <m:rPr>
            <m:sty m:val="p"/>
          </m:rPr>
          <m:t>=</m:t>
        </m:r>
        <m:r>
          <m:rPr>
            <m:sty m:val="p"/>
          </m:rPr>
          <m:t>Pr</m:t>
        </m:r>
        <m:r>
          <m:rPr>
            <m:sty m:val="p"/>
          </m:rPr>
          <m:t>(</m:t>
        </m:r>
        <m:sSub>
          <m:e>
            <m:r>
              <m:t>H</m:t>
            </m:r>
          </m:e>
          <m:sub>
            <m:r>
              <m:t>0</m:t>
            </m:r>
          </m:sub>
        </m:sSub>
        <m:sSup>
          <m:e>
            <m:r>
              <m:rPr>
                <m:sty m:val="p"/>
              </m:rPr>
              <m:t>)</m:t>
            </m:r>
          </m:e>
          <m:sup>
            <m:r>
              <m:t>1</m:t>
            </m:r>
            <m:r>
              <m:rPr>
                <m:sty m:val="p"/>
              </m:rPr>
              <m:t>/</m:t>
            </m:r>
            <m:r>
              <m:t>m</m:t>
            </m:r>
          </m:sup>
        </m:sSup>
      </m:oMath>
      <w:r>
        <w:t xml:space="preserve"> </w:t>
      </w:r>
      <w:r>
        <w:t xml:space="preserve">is recovered for parameters independent a priori, so that</w:t>
      </w:r>
      <w:r>
        <w:t xml:space="preserve"> </w:t>
      </w:r>
      <m:oMath>
        <m:sSub>
          <m:e>
            <m:r>
              <m:t>π</m:t>
            </m:r>
          </m:e>
          <m:sub>
            <m:r>
              <m:t>0</m:t>
            </m:r>
          </m:sub>
        </m:sSub>
      </m:oMath>
      <w:r>
        <w:t xml:space="preserve"> </w:t>
      </w:r>
      <w:r>
        <w:t xml:space="preserve">grows with the size of the family. The decision threshold may be given either as a</w:t>
      </w:r>
      <w:r>
        <w:t xml:space="preserve"> </w:t>
      </w:r>
      <m:oMath>
        <m:r>
          <m:t>p</m:t>
        </m:r>
        <m:r>
          <m:t>d</m:t>
        </m:r>
      </m:oMath>
      <w:r>
        <w:t xml:space="preserve"> </w:t>
      </w:r>
      <w:r>
        <w:t xml:space="preserve">cutoff</w:t>
      </w:r>
      <w:r>
        <w:t xml:space="preserve"> </w:t>
      </w:r>
      <m:oMath>
        <m:r>
          <m:t>c</m:t>
        </m:r>
      </m:oMath>
      <w:r>
        <w:t xml:space="preserve"> </w:t>
      </w:r>
      <w:r>
        <w:t xml:space="preserve">(argument</w:t>
      </w:r>
      <w:r>
        <w:t xml:space="preserve"> </w:t>
      </w:r>
      <w:r>
        <w:rPr>
          <w:rStyle w:val="VerbatimChar"/>
        </w:rPr>
        <w:t xml:space="preserve">threshold</w:t>
      </w:r>
      <w:r>
        <w:t xml:space="preserve">, default</w:t>
      </w:r>
      <w:r>
        <w:t xml:space="preserve"> </w:t>
      </w:r>
      <m:oMath>
        <m:r>
          <m:t>.975</m:t>
        </m:r>
      </m:oMath>
      <w:r>
        <w:t xml:space="preserve">) or as a nominal per-test rate (argument</w:t>
      </w:r>
      <w:r>
        <w:t xml:space="preserve"> </w:t>
      </w:r>
      <w:r>
        <w:rPr>
          <w:rStyle w:val="VerbatimChar"/>
        </w:rPr>
        <w:t xml:space="preserve">alpha</w:t>
      </w:r>
      <w:r>
        <w:t xml:space="preserve">, with</w:t>
      </w:r>
      <w:r>
        <w:t xml:space="preserve"> </w:t>
      </w:r>
      <m:oMath>
        <m:r>
          <m:t>c</m:t>
        </m:r>
        <m:r>
          <m:rPr>
            <m:sty m:val="p"/>
          </m:rPr>
          <m:t>=</m:t>
        </m:r>
        <m:r>
          <m:t>1</m:t>
        </m:r>
        <m:r>
          <m:rPr>
            <m:sty m:val="p"/>
          </m:rPr>
          <m:t>−</m:t>
        </m:r>
        <m:r>
          <m:t>α</m:t>
        </m:r>
        <m:r>
          <m:rPr>
            <m:sty m:val="p"/>
          </m:rPr>
          <m:t>/</m:t>
        </m:r>
        <m:r>
          <m:t>2</m:t>
        </m:r>
      </m:oMath>
      <w:r>
        <w:t xml:space="preserve">).</w:t>
      </w:r>
    </w:p>
    <w:p>
      <w:pPr>
        <w:pStyle w:val="BodyText"/>
      </w:pPr>
      <w:r>
        <w:t xml:space="preserve">The function prints a header with</w:t>
      </w:r>
      <w:r>
        <w:t xml:space="preserve"> </w:t>
      </w:r>
      <m:oMath>
        <m:r>
          <m:t>m</m:t>
        </m:r>
      </m:oMath>
      <w:r>
        <w:t xml:space="preserve">,</w:t>
      </w:r>
      <w:r>
        <w:t xml:space="preserve"> </w:t>
      </w:r>
      <m:oMath>
        <m:sSub>
          <m:e>
            <m:r>
              <m:t>π</m:t>
            </m:r>
          </m:e>
          <m:sub>
            <m:r>
              <m:t>0</m:t>
            </m:r>
          </m:sub>
        </m:sSub>
      </m:oMath>
      <w:r>
        <w:t xml:space="preserve">, and the thresholds</w:t>
      </w:r>
      <w:r>
        <w:t xml:space="preserve"> </w:t>
      </w:r>
      <m:oMath>
        <m:r>
          <m:t>c</m:t>
        </m:r>
      </m:oMath>
      <w:r>
        <w:t xml:space="preserve"> </w:t>
      </w:r>
      <w:r>
        <w:t xml:space="preserve">and</w:t>
      </w:r>
      <w:r>
        <w:t xml:space="preserve"> </w:t>
      </w:r>
      <m:oMath>
        <m:sSup>
          <m:e>
            <m:r>
              <m:t>c</m:t>
            </m:r>
          </m:e>
          <m:sup>
            <m:r>
              <m:rPr>
                <m:sty m:val="p"/>
              </m:rPr>
              <m:t>*</m:t>
            </m:r>
          </m:sup>
        </m:sSup>
      </m:oMath>
      <w:r>
        <w:t xml:space="preserve">, followed by the posterior median,</w:t>
      </w:r>
      <w:r>
        <w:t xml:space="preserve"> </w:t>
      </w:r>
      <m:oMath>
        <m:r>
          <m:t>p</m:t>
        </m:r>
        <m:r>
          <m:t>d</m:t>
        </m:r>
      </m:oMath>
      <w:r>
        <w:t xml:space="preserve">, and</w:t>
      </w:r>
      <w:r>
        <w:t xml:space="preserve"> </w:t>
      </w:r>
      <m:oMath>
        <m:r>
          <m:t>p</m:t>
        </m:r>
        <m:sSub>
          <m:e>
            <m:r>
              <m:t>d</m:t>
            </m:r>
          </m:e>
          <m:sub>
            <m:r>
              <m:rPr>
                <m:nor/>
                <m:sty m:val="p"/>
              </m:rPr>
              <m:t>adj</m:t>
            </m:r>
          </m:sub>
        </m:sSub>
      </m:oMath>
      <w:r>
        <w:t xml:space="preserve"> </w:t>
      </w:r>
      <w:r>
        <w:t xml:space="preserve">(</w:t>
      </w:r>
      <w:r>
        <w:rPr>
          <w:rStyle w:val="VerbatimChar"/>
        </w:rPr>
        <w:t xml:space="preserve">pd.adj</w:t>
      </w:r>
      <w:r>
        <w:t xml:space="preserve">) of each parameter, and a short note on</w:t>
      </w:r>
      <w:r>
        <w:t xml:space="preserve"> </w:t>
      </w:r>
      <m:oMath>
        <m:r>
          <m:t>p</m:t>
        </m:r>
        <m:sSub>
          <m:e>
            <m:r>
              <m:t>d</m:t>
            </m:r>
          </m:e>
          <m:sub>
            <m:r>
              <m:rPr>
                <m:nor/>
                <m:sty m:val="p"/>
              </m:rPr>
              <m:t>adj</m:t>
            </m:r>
          </m:sub>
        </m:sSub>
      </m:oMath>
      <w:r>
        <w:t xml:space="preserve">. Setting</w:t>
      </w:r>
      <w:r>
        <w:t xml:space="preserve"> </w:t>
      </w:r>
      <w:r>
        <w:rPr>
          <w:rStyle w:val="VerbatimChar"/>
        </w:rPr>
        <w:t xml:space="preserve">order = TRUE</w:t>
      </w:r>
      <w:r>
        <w:t xml:space="preserve"> </w:t>
      </w:r>
      <w:r>
        <w:t xml:space="preserve">sorts the hypotheses by</w:t>
      </w:r>
      <w:r>
        <w:t xml:space="preserve"> </w:t>
      </w:r>
      <m:oMath>
        <m:r>
          <m:t>p</m:t>
        </m:r>
        <m:r>
          <m:t>d</m:t>
        </m:r>
      </m:oMath>
      <w:r>
        <w:t xml:space="preserve">, and</w:t>
      </w:r>
      <w:r>
        <w:t xml:space="preserve"> </w:t>
      </w:r>
      <w:r>
        <w:rPr>
          <w:rStyle w:val="VerbatimChar"/>
        </w:rPr>
        <w:t xml:space="preserve">direction = "greater"</w:t>
      </w:r>
      <w:r>
        <w:t xml:space="preserve"> </w:t>
      </w:r>
      <w:r>
        <w:t xml:space="preserve">or</w:t>
      </w:r>
      <w:r>
        <w:t xml:space="preserve"> </w:t>
      </w:r>
      <w:r>
        <w:rPr>
          <w:rStyle w:val="VerbatimChar"/>
        </w:rPr>
        <w:t xml:space="preserve">"less"</w:t>
      </w:r>
      <w:r>
        <w:t xml:space="preserve"> </w:t>
      </w:r>
      <w:r>
        <w:t xml:space="preserve">computes</w:t>
      </w:r>
      <w:r>
        <w:t xml:space="preserve"> </w:t>
      </w:r>
      <m:oMath>
        <m:r>
          <m:t>p</m:t>
        </m:r>
        <m:r>
          <m:t>d</m:t>
        </m:r>
      </m:oMath>
      <w:r>
        <w:t xml:space="preserve"> </w:t>
      </w:r>
      <w:r>
        <w:t xml:space="preserve">as the one-sided posterior probability for a preregistered direction, to which the same threshold applies.</w:t>
      </w:r>
    </w:p>
    <w:p>
      <w:pPr>
        <w:pStyle w:val="BodyText"/>
      </w:pPr>
      <w:r>
        <w:t xml:space="preserve">For this example, we use the openly available dataset from</w:t>
      </w:r>
      <w:r>
        <w:t xml:space="preserve"> </w:t>
      </w:r>
      <w:r>
        <w:t xml:space="preserve">Lin et al. (</w:t>
      </w:r>
      <w:hyperlink w:anchor="ref-Lin2020">
        <w:r>
          <w:rPr>
            <w:rStyle w:val="Hyperlink"/>
          </w:rPr>
          <w:t xml:space="preserve">2020</w:t>
        </w:r>
      </w:hyperlink>
      <w:r>
        <w:t xml:space="preserve">)</w:t>
      </w:r>
      <w:r>
        <w:t xml:space="preserve">, who investigated the effect of ego depletion on conflict resolution across four studies. In their paradigm, an initial high-demand (vs. low-demand) task was followed by a Stroop task. For simplicity, we focus on Study 1, which tested the effects of congruency and ego depletion (within subjects). The dataset is readily accessible via the</w:t>
      </w:r>
      <w:r>
        <w:t xml:space="preserve"> </w:t>
      </w:r>
      <w:r>
        <w:rPr>
          <w:rStyle w:val="VerbatimChar"/>
        </w:rPr>
        <w:t xml:space="preserve">afex</w:t>
      </w:r>
      <w:r>
        <w:t xml:space="preserve"> </w:t>
      </w:r>
      <w:r>
        <w:t xml:space="preserve">package</w:t>
      </w:r>
      <w:r>
        <w:t xml:space="preserve"> </w:t>
      </w:r>
      <w:r>
        <w:t xml:space="preserve">(</w:t>
      </w:r>
      <w:hyperlink w:anchor="ref-Singmann2016">
        <w:r>
          <w:rPr>
            <w:rStyle w:val="Hyperlink"/>
          </w:rPr>
          <w:t xml:space="preserve">Singmann et al., 2016</w:t>
        </w:r>
      </w:hyperlink>
      <w:r>
        <w:t xml:space="preserve">)</w:t>
      </w:r>
      <w:r>
        <w:t xml:space="preserve"> </w:t>
      </w:r>
      <w:r>
        <w:t xml:space="preserve">and was chosen for this reason; this example is not intended as a critique of the original work. This dataset includes data from 253 participants; for this example, we randomly selected 80 participants.</w:t>
      </w:r>
    </w:p>
    <w:p>
      <w:pPr>
        <w:pStyle w:val="SourceCode"/>
      </w:pPr>
      <w:r>
        <w:rPr>
          <w:rStyle w:val="CommentTok"/>
        </w:rPr>
        <w:t xml:space="preserve"># install.packages("remotes")</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"mar-cald/multibayes"</w:t>
      </w:r>
      <w:r>
        <w:rPr>
          <w:rStyle w:val="NormalTok"/>
        </w:rPr>
        <w:t xml:space="preserve">)</w:t>
      </w:r>
      <w:r>
        <w:br/>
      </w:r>
      <w:r>
        <w:rPr>
          <w:rStyle w:val="FunctionTok"/>
        </w:rPr>
        <w:t xml:space="preserve">library</w:t>
      </w:r>
      <w:r>
        <w:rPr>
          <w:rStyle w:val="NormalTok"/>
        </w:rPr>
        <w:t xml:space="preserve">(multibayes); </w:t>
      </w:r>
      <w:r>
        <w:rPr>
          <w:rStyle w:val="FunctionTok"/>
        </w:rPr>
        <w:t xml:space="preserve">library</w:t>
      </w:r>
      <w:r>
        <w:rPr>
          <w:rStyle w:val="NormalTok"/>
        </w:rPr>
        <w:t xml:space="preserve">(brms); </w:t>
      </w:r>
      <w:r>
        <w:rPr>
          <w:rStyle w:val="FunctionTok"/>
        </w:rPr>
        <w:t xml:space="preserve">library</w:t>
      </w:r>
      <w:r>
        <w:rPr>
          <w:rStyle w:val="NormalTok"/>
        </w:rPr>
        <w:t xml:space="preserve">(dplyr)</w:t>
      </w:r>
      <w:r>
        <w:br/>
      </w:r>
      <w:r>
        <w:br/>
      </w:r>
      <w:r>
        <w:rPr>
          <w:rStyle w:val="NormalTok"/>
        </w:rPr>
        <w:t xml:space="preserve">data_stroop </w:t>
      </w:r>
      <w:r>
        <w:rPr>
          <w:rStyle w:val="OtherTok"/>
        </w:rPr>
        <w:t xml:space="preserve">&lt;-</w:t>
      </w:r>
      <w:r>
        <w:rPr>
          <w:rStyle w:val="NormalTok"/>
        </w:rPr>
        <w:t xml:space="preserve"> </w:t>
      </w:r>
      <w:r>
        <w:rPr>
          <w:rStyle w:val="FunctionTok"/>
        </w:rPr>
        <w:t xml:space="preserve">subset</w:t>
      </w:r>
      <w:r>
        <w:rPr>
          <w:rStyle w:val="NormalTok"/>
        </w:rPr>
        <w:t xml:space="preserve">(afex</w:t>
      </w:r>
      <w:r>
        <w:rPr>
          <w:rStyle w:val="SpecialCharTok"/>
        </w:rPr>
        <w:t xml:space="preserve">::</w:t>
      </w:r>
      <w:r>
        <w:rPr>
          <w:rStyle w:val="NormalTok"/>
        </w:rPr>
        <w:t xml:space="preserve">stroop, </w:t>
      </w:r>
      <w:r>
        <w:rPr>
          <w:rStyle w:val="AttributeTok"/>
        </w:rPr>
        <w:t xml:space="preserve">subset =</w:t>
      </w:r>
      <w:r>
        <w:rPr>
          <w:rStyle w:val="NormalTok"/>
        </w:rPr>
        <w:t xml:space="preserve"> study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w:t>
      </w:r>
      <w:r>
        <w:br/>
      </w:r>
      <w:r>
        <w:rPr>
          <w:rStyle w:val="NormalTok"/>
        </w:rPr>
        <w:t xml:space="preserve">                        pno </w:t>
      </w:r>
      <w:r>
        <w:rPr>
          <w:rStyle w:val="SpecialCharTok"/>
        </w:rPr>
        <w:t xml:space="preserve">%in%</w:t>
      </w:r>
      <w:r>
        <w:rPr>
          <w:rStyle w:val="NormalTok"/>
        </w:rPr>
        <w:t xml:space="preserve"> </w:t>
      </w:r>
      <w:r>
        <w:rPr>
          <w:rStyle w:val="FunctionTok"/>
        </w:rPr>
        <w:t xml:space="preserve">sample</w:t>
      </w:r>
      <w:r>
        <w:rPr>
          <w:rStyle w:val="NormalTok"/>
        </w:rPr>
        <w:t xml:space="preserve">(</w:t>
      </w:r>
      <w:r>
        <w:rPr>
          <w:rStyle w:val="FunctionTok"/>
        </w:rPr>
        <w:t xml:space="preserve">levels</w:t>
      </w:r>
      <w:r>
        <w:rPr>
          <w:rStyle w:val="NormalTok"/>
        </w:rPr>
        <w:t xml:space="preserve">(pno), </w:t>
      </w:r>
      <w:r>
        <w:rPr>
          <w:rStyle w:val="AttributeTok"/>
        </w:rPr>
        <w:t xml:space="preserve">size =</w:t>
      </w:r>
      <w:r>
        <w:rPr>
          <w:rStyle w:val="NormalTok"/>
        </w:rPr>
        <w:t xml:space="preserve"> </w:t>
      </w:r>
      <w:r>
        <w:rPr>
          <w:rStyle w:val="DecValTok"/>
        </w:rPr>
        <w:t xml:space="preserve">80</w:t>
      </w:r>
      <w:r>
        <w:rPr>
          <w:rStyle w:val="NormalTok"/>
        </w:rPr>
        <w:t xml:space="preserve">))</w:t>
      </w:r>
      <w:r>
        <w:rPr>
          <w:rStyle w:val="SpecialCharTok"/>
        </w:rPr>
        <w:t xml:space="preserve">|&gt;</w:t>
      </w:r>
      <w:r>
        <w:rPr>
          <w:rStyle w:val="NormalTok"/>
        </w:rPr>
        <w:t xml:space="preserve"> </w:t>
      </w:r>
      <w:r>
        <w:br/>
      </w:r>
      <w:r>
        <w:rPr>
          <w:rStyle w:val="NormalTok"/>
        </w:rPr>
        <w:t xml:space="preserve">  </w:t>
      </w:r>
      <w:r>
        <w:rPr>
          <w:rStyle w:val="CommentTok"/>
        </w:rPr>
        <w:t xml:space="preserve"># remove useless levels id</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droplevels</w:t>
      </w:r>
      <w:r>
        <w:rPr>
          <w:rStyle w:val="NormalTok"/>
        </w:rPr>
        <w:t xml:space="preserve">(pno)) </w:t>
      </w:r>
      <w:r>
        <w:rPr>
          <w:rStyle w:val="SpecialCharTok"/>
        </w:rPr>
        <w:t xml:space="preserve">|&gt;</w:t>
      </w:r>
      <w:r>
        <w:rPr>
          <w:rStyle w:val="NormalTok"/>
        </w:rPr>
        <w:t xml:space="preserve"> </w:t>
      </w:r>
      <w:r>
        <w:br/>
      </w:r>
      <w:r>
        <w:rPr>
          <w:rStyle w:val="NormalTok"/>
        </w:rPr>
        <w:t xml:space="preserve">  </w:t>
      </w:r>
      <w:r>
        <w:rPr>
          <w:rStyle w:val="CommentTok"/>
        </w:rPr>
        <w:t xml:space="preserve"># select relevant variables</w:t>
      </w:r>
      <w:r>
        <w:br/>
      </w:r>
      <w:r>
        <w:rPr>
          <w:rStyle w:val="NormalTok"/>
        </w:rPr>
        <w:t xml:space="preserve">  dplyr</w:t>
      </w:r>
      <w:r>
        <w:rPr>
          <w:rStyle w:val="SpecialCharTok"/>
        </w:rPr>
        <w:t xml:space="preserve">::</w:t>
      </w:r>
      <w:r>
        <w:rPr>
          <w:rStyle w:val="FunctionTok"/>
        </w:rPr>
        <w:t xml:space="preserve">select</w:t>
      </w:r>
      <w:r>
        <w:rPr>
          <w:rStyle w:val="NormalTok"/>
        </w:rPr>
        <w:t xml:space="preserve">(id, condition, congruency, trialnum, acc, rt)</w:t>
      </w:r>
      <w:r>
        <w:rPr>
          <w:rStyle w:val="SpecialCharTok"/>
        </w:rPr>
        <w:t xml:space="preserve">|&gt;</w:t>
      </w:r>
      <w:r>
        <w:br/>
      </w:r>
      <w:r>
        <w:rPr>
          <w:rStyle w:val="NormalTok"/>
        </w:rPr>
        <w:t xml:space="preserve">  </w:t>
      </w:r>
      <w:r>
        <w:rPr>
          <w:rStyle w:val="CommentTok"/>
        </w:rPr>
        <w:t xml:space="preserve"># previous cong</w:t>
      </w:r>
      <w:r>
        <w:br/>
      </w:r>
      <w:r>
        <w:rPr>
          <w:rStyle w:val="NormalTok"/>
        </w:rPr>
        <w:t xml:space="preserve">  </w:t>
      </w:r>
      <w:r>
        <w:rPr>
          <w:rStyle w:val="FunctionTok"/>
        </w:rPr>
        <w:t xml:space="preserve">group_by</w:t>
      </w:r>
      <w:r>
        <w:rPr>
          <w:rStyle w:val="NormalTok"/>
        </w:rPr>
        <w:t xml:space="preserve">(id, condition)</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prev_cong =</w:t>
      </w:r>
      <w:r>
        <w:rPr>
          <w:rStyle w:val="NormalTok"/>
        </w:rPr>
        <w:t xml:space="preserve"> </w:t>
      </w:r>
      <w:r>
        <w:rPr>
          <w:rStyle w:val="FunctionTok"/>
        </w:rPr>
        <w:t xml:space="preserve">lag</w:t>
      </w:r>
      <w:r>
        <w:rPr>
          <w:rStyle w:val="NormalTok"/>
        </w:rPr>
        <w:t xml:space="preserve">(congruency),</w:t>
      </w:r>
      <w:r>
        <w:br/>
      </w:r>
      <w:r>
        <w:rPr>
          <w:rStyle w:val="NormalTok"/>
        </w:rPr>
        <w:t xml:space="preserve">         </w:t>
      </w:r>
      <w:r>
        <w:rPr>
          <w:rStyle w:val="AttributeTok"/>
        </w:rPr>
        <w:t xml:space="preserve">trial =</w:t>
      </w:r>
      <w:r>
        <w:rPr>
          <w:rStyle w:val="NormalTok"/>
        </w:rPr>
        <w:t xml:space="preserve"> </w:t>
      </w:r>
      <w:r>
        <w:rPr>
          <w:rStyle w:val="FunctionTok"/>
        </w:rPr>
        <w:t xml:space="preserve">scale</w:t>
      </w:r>
      <w:r>
        <w:rPr>
          <w:rStyle w:val="NormalTok"/>
        </w:rPr>
        <w:t xml:space="preserve">(trialnum)[,</w:t>
      </w:r>
      <w:r>
        <w:rPr>
          <w:rStyle w:val="DecValTok"/>
        </w:rPr>
        <w:t xml:space="preserve">1</w:t>
      </w:r>
      <w:r>
        <w:rPr>
          <w:rStyle w:val="NormalTok"/>
        </w:rPr>
        <w:t xml:space="preserve">])</w:t>
      </w:r>
      <w:r>
        <w:rPr>
          <w:rStyle w:val="SpecialCharTok"/>
        </w:rPr>
        <w:t xml:space="preserve">|&gt;</w:t>
      </w:r>
      <w:r>
        <w:br/>
      </w:r>
      <w:r>
        <w:rPr>
          <w:rStyle w:val="NormalTok"/>
        </w:rPr>
        <w:t xml:space="preserve">  </w:t>
      </w:r>
      <w:r>
        <w:rPr>
          <w:rStyle w:val="FunctionTok"/>
        </w:rPr>
        <w:t xml:space="preserve">ungroup</w:t>
      </w:r>
      <w:r>
        <w:rPr>
          <w:rStyle w:val="NormalTok"/>
        </w:rPr>
        <w:t xml:space="preserve">()</w:t>
      </w:r>
      <w:r>
        <w:rPr>
          <w:rStyle w:val="SpecialCharTok"/>
        </w:rPr>
        <w:t xml:space="preserve">|&gt;</w:t>
      </w:r>
      <w:r>
        <w:br/>
      </w:r>
      <w:r>
        <w:rPr>
          <w:rStyle w:val="NormalTok"/>
        </w:rPr>
        <w:t xml:space="preserve">  </w:t>
      </w:r>
      <w:r>
        <w:rPr>
          <w:rStyle w:val="FunctionTok"/>
        </w:rPr>
        <w:t xml:space="preserve">na.omit</w:t>
      </w:r>
      <w:r>
        <w:rPr>
          <w:rStyle w:val="NormalTok"/>
        </w:rPr>
        <w:t xml:space="preserve">()</w:t>
      </w:r>
    </w:p>
    <w:p>
      <w:pPr>
        <w:pStyle w:val="FirstParagraph"/>
      </w:pPr>
      <w:r>
        <w:t xml:space="preserve">Given the repeated-measures structure of the data and the large number of trials per participant, we fit a multilevel generalized linear model using</w:t>
      </w:r>
      <w:r>
        <w:t xml:space="preserve"> </w:t>
      </w:r>
      <w:r>
        <w:rPr>
          <w:rStyle w:val="VerbatimChar"/>
        </w:rPr>
        <w:t xml:space="preserve">brms</w:t>
      </w:r>
      <w:r>
        <w:t xml:space="preserve"> </w:t>
      </w:r>
      <w:r>
        <w:t xml:space="preserve">(</w:t>
      </w:r>
      <w:hyperlink w:anchor="ref-Paul2017">
        <w:r>
          <w:rPr>
            <w:rStyle w:val="Hyperlink"/>
          </w:rPr>
          <w:t xml:space="preserve">Bürkner, 2017</w:t>
        </w:r>
      </w:hyperlink>
      <w:r>
        <w:t xml:space="preserve">)</w:t>
      </w:r>
      <w:r>
        <w:t xml:space="preserve"> </w:t>
      </w:r>
      <w:r>
        <w:t xml:space="preserve">on reaction time (RT) data. A lognormal model was specified with the default flat priors. A flat prior is improper, so the prior probability of each direction is not defined; we treat it as the limit of a normal prior centered on 0 whose standard deviation grows without bound, under which each direction has prior probability .5 and</w:t>
      </w:r>
      <w:r>
        <w:t xml:space="preserve"> </w:t>
      </w:r>
      <m:oMath>
        <m:r>
          <m:t>p</m:t>
        </m:r>
        <m:r>
          <m:t>d</m:t>
        </m:r>
        <m:r>
          <m:rPr>
            <m:sty m:val="p"/>
          </m:rPr>
          <m:t>/</m:t>
        </m:r>
        <m:r>
          <m:rPr>
            <m:sty m:val="p"/>
          </m:rPr>
          <m:t>(</m:t>
        </m:r>
        <m:r>
          <m:t>1</m:t>
        </m:r>
        <m:r>
          <m:rPr>
            <m:sty m:val="p"/>
          </m:rPr>
          <m:t>−</m:t>
        </m:r>
        <m:r>
          <m:t>p</m:t>
        </m:r>
        <m:r>
          <m:t>d</m:t>
        </m:r>
        <m:r>
          <m:rPr>
            <m:sty m:val="p"/>
          </m:rPr>
          <m:t>)</m:t>
        </m:r>
      </m:oMath>
      <w:r>
        <w:t xml:space="preserve"> </w:t>
      </w:r>
      <w:r>
        <w:t xml:space="preserve">is the Bayes factor. We used them because they are the most common choice in applied work and the one in which the penalty matters most, not as a recommendation.</w:t>
      </w:r>
    </w:p>
    <w:p>
      <w:pPr>
        <w:pStyle w:val="BodyText"/>
      </w:pPr>
      <w:r>
        <w:t xml:space="preserve">The model includes the effect of congruency (congruent vs. incongruent), previous congruency (congruent vs. incongruent), condition (depletion vs. control), and trial number (scaled within participant and condition). The sequential congruency effect was modeled as the interaction between congruency and previous congruency; the hypothesis that depletion amplifies the congruency effect over time was captured by the three-way congruency</w:t>
      </w:r>
      <w:r>
        <w:t xml:space="preserve"> </w:t>
      </w:r>
      <m:oMath>
        <m:r>
          <m:rPr>
            <m:sty m:val="p"/>
          </m:rPr>
          <m:t>×</m:t>
        </m:r>
      </m:oMath>
      <w:r>
        <w:t xml:space="preserve"> </w:t>
      </w:r>
      <w:r>
        <w:t xml:space="preserve">condition</w:t>
      </w:r>
      <w:r>
        <w:t xml:space="preserve"> </w:t>
      </w:r>
      <m:oMath>
        <m:r>
          <m:rPr>
            <m:sty m:val="p"/>
          </m:rPr>
          <m:t>×</m:t>
        </m:r>
      </m:oMath>
      <w:r>
        <w:t xml:space="preserve"> </w:t>
      </w:r>
      <w:r>
        <w:t xml:space="preserve">trial interaction. Following the common practice of reporting a</w:t>
      </w:r>
      <w:r>
        <w:t xml:space="preserve"> </w:t>
      </w:r>
      <m:oMath>
        <m:r>
          <m:t>p</m:t>
        </m:r>
        <m:r>
          <m:t>d</m:t>
        </m:r>
      </m:oMath>
      <w:r>
        <w:t xml:space="preserve"> </w:t>
      </w:r>
      <w:r>
        <w:t xml:space="preserve">for every coefficient, we make a directional claim about each of the nine fixed effects, so that the family contains nine hypotheses (</w:t>
      </w:r>
      <w:hyperlink w:anchor="tbl-hypotheses">
        <w:r>
          <w:rPr>
            <w:rStyle w:val="Hyperlink"/>
          </w:rPr>
          <w:t xml:space="preserve">Table 1</w:t>
        </w:r>
      </w:hyperlink>
      <w:r>
        <w:t xml:space="preserve">).</w:t>
      </w:r>
    </w:p>
    <w:p>
      <w:pPr>
        <w:pStyle w:val="BodyText"/>
      </w:pPr>
      <w:r>
        <w:t xml:space="preserve">Although several of the theoretical hypotheses are directional (e.g., incongruent trials are expected to slow responses), we compute</w:t>
      </w:r>
      <w:r>
        <w:t xml:space="preserve"> </w:t>
      </w:r>
      <m:oMath>
        <m:r>
          <m:t>p</m:t>
        </m:r>
        <m:r>
          <m:t>d</m:t>
        </m:r>
      </m:oMath>
      <w:r>
        <w:t xml:space="preserve"> </w:t>
      </w:r>
      <w:r>
        <w:t xml:space="preserve">as</w:t>
      </w:r>
      <w:r>
        <w:t xml:space="preserve"> </w:t>
      </w:r>
      <m:oMath>
        <m:r>
          <m:rPr>
            <m:sty m:val="p"/>
          </m:rPr>
          <m:t>max</m:t>
        </m:r>
        <m:r>
          <m:t>​</m:t>
        </m:r>
        <m:d>
          <m:dPr>
            <m:begChr m:val="("/>
            <m:sepChr m:val=""/>
            <m:endChr m:val=")"/>
            <m:grow/>
          </m:dPr>
          <m:e>
            <m:r>
              <m:rPr>
                <m:sty m:val="p"/>
              </m:rPr>
              <m:t>Pr</m:t>
            </m:r>
            <m:r>
              <m:rPr>
                <m:sty m:val="p"/>
              </m:rPr>
              <m:t>(</m:t>
            </m:r>
            <m:r>
              <m:t>θ</m:t>
            </m:r>
            <m:r>
              <m:rPr>
                <m:sty m:val="p"/>
              </m:rPr>
              <m:t>&gt;</m:t>
            </m:r>
            <m:r>
              <m:t>0</m:t>
            </m:r>
            <m:r>
              <m:rPr>
                <m:sty m:val="p"/>
              </m:rPr>
              <m:t>∣</m:t>
            </m:r>
            <m:r>
              <m:t>y</m:t>
            </m:r>
            <m:r>
              <m:rPr>
                <m:sty m:val="p"/>
              </m:rPr>
              <m:t>)</m:t>
            </m:r>
            <m:r>
              <m:rPr>
                <m:sty m:val="p"/>
              </m:rPr>
              <m:t>,</m:t>
            </m:r>
            <m:r>
              <m:t> </m:t>
            </m:r>
            <m:r>
              <m:rPr>
                <m:sty m:val="p"/>
              </m:rPr>
              <m:t>Pr</m:t>
            </m:r>
            <m:r>
              <m:rPr>
                <m:sty m:val="p"/>
              </m:rPr>
              <m:t>(</m:t>
            </m:r>
            <m:r>
              <m:t>θ</m:t>
            </m:r>
            <m:r>
              <m:rPr>
                <m:sty m:val="p"/>
              </m:rPr>
              <m:t>&lt;</m:t>
            </m:r>
            <m:r>
              <m:t>0</m:t>
            </m:r>
            <m:r>
              <m:rPr>
                <m:sty m:val="p"/>
              </m:rPr>
              <m:t>∣</m:t>
            </m:r>
            <m:r>
              <m:t>y</m:t>
            </m:r>
            <m:r>
              <m:rPr>
                <m:sty m:val="p"/>
              </m:rPr>
              <m:t>)</m:t>
            </m:r>
          </m:e>
        </m:d>
      </m:oMath>
      <w:r>
        <w:t xml:space="preserve"> </w:t>
      </w:r>
      <w:r>
        <w:t xml:space="preserve">for all hypotheses, as is common in applied work. When the direction of each parameter is specified in advance, the directional formulation can be used instead; it halves the per-test error rate at the same</w:t>
      </w:r>
      <w:r>
        <w:t xml:space="preserve"> </w:t>
      </w:r>
      <m:oMath>
        <m:r>
          <m:t>c</m:t>
        </m:r>
      </m:oMath>
      <w:r>
        <w:t xml:space="preserve">, and the rule then corresponds to a single prior for each parameter, the member of</w:t>
      </w:r>
      <w:r>
        <w:t xml:space="preserve"> </w:t>
      </w:r>
      <m:oMath>
        <m:r>
          <m:rPr>
            <m:sty m:val="p"/>
          </m:rPr>
          <m:t>Γ</m:t>
        </m:r>
      </m:oMath>
      <w:r>
        <w:t xml:space="preserve"> </w:t>
      </w:r>
      <w:r>
        <w:t xml:space="preserve">most skeptical of the predicted direction, and</w:t>
      </w:r>
      <w:r>
        <w:t xml:space="preserve"> </w:t>
      </w:r>
      <m:oMath>
        <m:r>
          <m:t>p</m:t>
        </m:r>
        <m:sSub>
          <m:e>
            <m:r>
              <m:t>d</m:t>
            </m:r>
          </m:e>
          <m:sub>
            <m:r>
              <m:rPr>
                <m:nor/>
                <m:sty m:val="p"/>
              </m:rPr>
              <m:t>adj</m:t>
            </m:r>
          </m:sub>
        </m:sSub>
      </m:oMath>
      <w:r>
        <w:t xml:space="preserve"> </w:t>
      </w:r>
      <w:r>
        <w:t xml:space="preserve">is then the posterior probability under that single prior.</w:t>
      </w:r>
    </w:p>
    <w:bookmarkStart w:id="88" w:name="tbl-hypotheses"/>
    <w:p>
      <w:pPr>
        <w:pStyle w:val="FigureTitle"/>
      </w:pPr>
      <w:r>
        <w:t xml:space="preserve">Table 1</w:t>
      </w:r>
    </w:p>
    <w:p>
      <w:pPr>
        <w:pStyle w:val="Caption"/>
      </w:pPr>
      <w:r>
        <w:t xml:space="preserve">Tested Hypotheses for Reaction Times</w:t>
      </w:r>
    </w:p>
    <w:bookmarkStart w:id="87" w:name="tbl-hypotheses"/>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Hypothesis</w:t>
            </w:r>
          </w:p>
        </w:tc>
        <w:tc>
          <w:tcPr/>
          <w:p>
            <w:pPr>
              <w:pStyle w:val="Compact"/>
              <w:jc w:val="center"/>
            </w:pPr>
            <m:oMath>
              <m:sSub>
                <m:e>
                  <m:r>
                    <m:t>θ</m:t>
                  </m:r>
                </m:e>
                <m:sub>
                  <m:r>
                    <m:rPr>
                      <m:nor/>
                      <m:sty m:val="p"/>
                    </m:rPr>
                    <m:t>null</m:t>
                  </m:r>
                </m:sub>
              </m:sSub>
            </m:oMath>
          </w:p>
        </w:tc>
      </w:tr>
      <w:tr>
        <w:tc>
          <w:tcPr/>
          <w:p>
            <w:pPr>
              <w:pStyle w:val="Compact"/>
            </w:pPr>
            <m:oMath>
              <m:sSub>
                <m:e>
                  <m:r>
                    <m:t>H</m:t>
                  </m:r>
                </m:e>
                <m:sub>
                  <m:r>
                    <m:t>1</m:t>
                  </m:r>
                </m:sub>
              </m:sSub>
            </m:oMath>
            <w:r>
              <w:t xml:space="preserve">: congruency effect</w:t>
            </w:r>
          </w:p>
        </w:tc>
        <w:tc>
          <w:tcPr/>
          <w:p>
            <w:pPr>
              <w:pStyle w:val="Compact"/>
              <w:jc w:val="center"/>
            </w:pPr>
            <w:r>
              <w:t xml:space="preserve">0</w:t>
            </w:r>
          </w:p>
        </w:tc>
      </w:tr>
      <w:tr>
        <w:tc>
          <w:tcPr/>
          <w:p>
            <w:pPr>
              <w:pStyle w:val="Compact"/>
            </w:pPr>
            <m:oMath>
              <m:sSub>
                <m:e>
                  <m:r>
                    <m:t>H</m:t>
                  </m:r>
                </m:e>
                <m:sub>
                  <m:r>
                    <m:t>2</m:t>
                  </m:r>
                </m:sub>
              </m:sSub>
            </m:oMath>
            <w:r>
              <w:t xml:space="preserve">: previous congruency effect</w:t>
            </w:r>
          </w:p>
        </w:tc>
        <w:tc>
          <w:tcPr/>
          <w:p>
            <w:pPr>
              <w:pStyle w:val="Compact"/>
              <w:jc w:val="center"/>
            </w:pPr>
            <w:r>
              <w:t xml:space="preserve">0</w:t>
            </w:r>
          </w:p>
        </w:tc>
      </w:tr>
      <w:tr>
        <w:tc>
          <w:tcPr/>
          <w:p>
            <w:pPr>
              <w:pStyle w:val="Compact"/>
            </w:pPr>
            <m:oMath>
              <m:sSub>
                <m:e>
                  <m:r>
                    <m:t>H</m:t>
                  </m:r>
                </m:e>
                <m:sub>
                  <m:r>
                    <m:t>3</m:t>
                  </m:r>
                </m:sub>
              </m:sSub>
            </m:oMath>
            <w:r>
              <w:t xml:space="preserve">: condition effect</w:t>
            </w:r>
          </w:p>
        </w:tc>
        <w:tc>
          <w:tcPr/>
          <w:p>
            <w:pPr>
              <w:pStyle w:val="Compact"/>
              <w:jc w:val="center"/>
            </w:pPr>
            <w:r>
              <w:t xml:space="preserve">0</w:t>
            </w:r>
          </w:p>
        </w:tc>
      </w:tr>
      <w:tr>
        <w:tc>
          <w:tcPr/>
          <w:p>
            <w:pPr>
              <w:pStyle w:val="Compact"/>
            </w:pPr>
            <m:oMath>
              <m:sSub>
                <m:e>
                  <m:r>
                    <m:t>H</m:t>
                  </m:r>
                </m:e>
                <m:sub>
                  <m:r>
                    <m:t>4</m:t>
                  </m:r>
                </m:sub>
              </m:sSub>
            </m:oMath>
            <w:r>
              <w:t xml:space="preserve">: trial number effect</w:t>
            </w:r>
          </w:p>
        </w:tc>
        <w:tc>
          <w:tcPr/>
          <w:p>
            <w:pPr>
              <w:pStyle w:val="Compact"/>
              <w:jc w:val="center"/>
            </w:pPr>
            <w:r>
              <w:t xml:space="preserve">0</w:t>
            </w:r>
          </w:p>
        </w:tc>
      </w:tr>
      <w:tr>
        <w:tc>
          <w:tcPr/>
          <w:p>
            <w:pPr>
              <w:pStyle w:val="Compact"/>
            </w:pPr>
            <m:oMath>
              <m:sSub>
                <m:e>
                  <m:r>
                    <m:t>H</m:t>
                  </m:r>
                </m:e>
                <m:sub>
                  <m:r>
                    <m:t>5</m:t>
                  </m:r>
                </m:sub>
              </m:sSub>
            </m:oMath>
            <w:r>
              <w:t xml:space="preserve">: congruency</w:t>
            </w:r>
            <w:r>
              <w:t xml:space="preserve"> </w:t>
            </w:r>
            <m:oMath>
              <m:r>
                <m:rPr>
                  <m:sty m:val="p"/>
                </m:rPr>
                <m:t>×</m:t>
              </m:r>
            </m:oMath>
            <w:r>
              <w:t xml:space="preserve"> </w:t>
            </w:r>
            <w:r>
              <w:t xml:space="preserve">previous congruency interaction</w:t>
            </w:r>
          </w:p>
        </w:tc>
        <w:tc>
          <w:tcPr/>
          <w:p>
            <w:pPr>
              <w:pStyle w:val="Compact"/>
              <w:jc w:val="center"/>
            </w:pPr>
            <w:r>
              <w:t xml:space="preserve">0</w:t>
            </w:r>
          </w:p>
        </w:tc>
      </w:tr>
      <w:tr>
        <w:tc>
          <w:tcPr/>
          <w:p>
            <w:pPr>
              <w:pStyle w:val="Compact"/>
            </w:pPr>
            <m:oMath>
              <m:sSub>
                <m:e>
                  <m:r>
                    <m:t>H</m:t>
                  </m:r>
                </m:e>
                <m:sub>
                  <m:r>
                    <m:t>6</m:t>
                  </m:r>
                </m:sub>
              </m:sSub>
            </m:oMath>
            <w:r>
              <w:t xml:space="preserve">: congruency</w:t>
            </w:r>
            <w:r>
              <w:t xml:space="preserve"> </w:t>
            </w:r>
            <m:oMath>
              <m:r>
                <m:rPr>
                  <m:sty m:val="p"/>
                </m:rPr>
                <m:t>×</m:t>
              </m:r>
            </m:oMath>
            <w:r>
              <w:t xml:space="preserve"> </w:t>
            </w:r>
            <w:r>
              <w:t xml:space="preserve">condition interaction</w:t>
            </w:r>
          </w:p>
        </w:tc>
        <w:tc>
          <w:tcPr/>
          <w:p>
            <w:pPr>
              <w:pStyle w:val="Compact"/>
              <w:jc w:val="center"/>
            </w:pPr>
            <w:r>
              <w:t xml:space="preserve">0</w:t>
            </w:r>
          </w:p>
        </w:tc>
      </w:tr>
      <w:tr>
        <w:tc>
          <w:tcPr/>
          <w:p>
            <w:pPr>
              <w:pStyle w:val="Compact"/>
            </w:pPr>
            <m:oMath>
              <m:sSub>
                <m:e>
                  <m:r>
                    <m:t>H</m:t>
                  </m:r>
                </m:e>
                <m:sub>
                  <m:r>
                    <m:t>7</m:t>
                  </m:r>
                </m:sub>
              </m:sSub>
            </m:oMath>
            <w:r>
              <w:t xml:space="preserve">: congruency</w:t>
            </w:r>
            <w:r>
              <w:t xml:space="preserve"> </w:t>
            </w:r>
            <m:oMath>
              <m:r>
                <m:rPr>
                  <m:sty m:val="p"/>
                </m:rPr>
                <m:t>×</m:t>
              </m:r>
            </m:oMath>
            <w:r>
              <w:t xml:space="preserve"> </w:t>
            </w:r>
            <w:r>
              <w:t xml:space="preserve">trial interaction</w:t>
            </w:r>
          </w:p>
        </w:tc>
        <w:tc>
          <w:tcPr/>
          <w:p>
            <w:pPr>
              <w:pStyle w:val="Compact"/>
              <w:jc w:val="center"/>
            </w:pPr>
            <w:r>
              <w:t xml:space="preserve">0</w:t>
            </w:r>
          </w:p>
        </w:tc>
      </w:tr>
      <w:tr>
        <w:tc>
          <w:tcPr/>
          <w:p>
            <w:pPr>
              <w:pStyle w:val="Compact"/>
            </w:pPr>
            <m:oMath>
              <m:sSub>
                <m:e>
                  <m:r>
                    <m:t>H</m:t>
                  </m:r>
                </m:e>
                <m:sub>
                  <m:r>
                    <m:t>8</m:t>
                  </m:r>
                </m:sub>
              </m:sSub>
            </m:oMath>
            <w:r>
              <w:t xml:space="preserve">: trial</w:t>
            </w:r>
            <w:r>
              <w:t xml:space="preserve"> </w:t>
            </w:r>
            <m:oMath>
              <m:r>
                <m:rPr>
                  <m:sty m:val="p"/>
                </m:rPr>
                <m:t>×</m:t>
              </m:r>
            </m:oMath>
            <w:r>
              <w:t xml:space="preserve"> </w:t>
            </w:r>
            <w:r>
              <w:t xml:space="preserve">condition interaction</w:t>
            </w:r>
          </w:p>
        </w:tc>
        <w:tc>
          <w:tcPr/>
          <w:p>
            <w:pPr>
              <w:pStyle w:val="Compact"/>
              <w:jc w:val="center"/>
            </w:pPr>
            <w:r>
              <w:t xml:space="preserve">0</w:t>
            </w:r>
          </w:p>
        </w:tc>
      </w:tr>
      <w:tr>
        <w:tc>
          <w:tcPr/>
          <w:p>
            <w:pPr>
              <w:pStyle w:val="Compact"/>
            </w:pPr>
            <m:oMath>
              <m:sSub>
                <m:e>
                  <m:r>
                    <m:t>H</m:t>
                  </m:r>
                </m:e>
                <m:sub>
                  <m:r>
                    <m:t>9</m:t>
                  </m:r>
                </m:sub>
              </m:sSub>
            </m:oMath>
            <w:r>
              <w:t xml:space="preserve">: congruency</w:t>
            </w:r>
            <w:r>
              <w:t xml:space="preserve"> </w:t>
            </w:r>
            <m:oMath>
              <m:r>
                <m:rPr>
                  <m:sty m:val="p"/>
                </m:rPr>
                <m:t>×</m:t>
              </m:r>
            </m:oMath>
            <w:r>
              <w:t xml:space="preserve"> </w:t>
            </w:r>
            <w:r>
              <w:t xml:space="preserve">condition</w:t>
            </w:r>
            <w:r>
              <w:t xml:space="preserve"> </w:t>
            </w:r>
            <m:oMath>
              <m:r>
                <m:rPr>
                  <m:sty m:val="p"/>
                </m:rPr>
                <m:t>×</m:t>
              </m:r>
            </m:oMath>
            <w:r>
              <w:t xml:space="preserve"> </w:t>
            </w:r>
            <w:r>
              <w:t xml:space="preserve">trial interaction</w:t>
            </w:r>
          </w:p>
        </w:tc>
        <w:tc>
          <w:tcPr/>
          <w:p>
            <w:pPr>
              <w:pStyle w:val="Compact"/>
              <w:jc w:val="center"/>
            </w:pPr>
            <w:r>
              <w:t xml:space="preserve">0</w:t>
            </w:r>
          </w:p>
        </w:tc>
      </w:tr>
    </w:tbl>
    <w:bookmarkEnd w:id="87"/>
    <w:bookmarkEnd w:id="88"/>
    <w:p>
      <w:pPr>
        <w:pStyle w:val="FigureNote"/>
      </w:pPr>
      <w:r>
        <w:rPr>
          <w:i/>
          <w:iCs/>
        </w:rPr>
        <w:t xml:space="preserve">Note</w:t>
      </w:r>
      <w:r>
        <w:t xml:space="preserve">. Hypotheses are evaluated on the log scale of the posterior.</w:t>
      </w:r>
    </w:p>
    <w:p>
      <w:pPr>
        <w:pStyle w:val="BodyText"/>
      </w:pPr>
      <w:r>
        <w:t xml:space="preserve">We retained only correct trials preceded by a correct trial (i.e., error and post-error trials were excluded), yielding</w:t>
      </w:r>
      <w:r>
        <w:t xml:space="preserve"> </w:t>
      </w:r>
      <m:oMath>
        <m:r>
          <m:t>5</m:t>
        </m:r>
        <m:r>
          <m:rPr>
            <m:sty m:val="p"/>
          </m:rPr>
          <m:t>,</m:t>
        </m:r>
        <m:r>
          <m:t>965</m:t>
        </m:r>
      </m:oMath>
      <w:r>
        <w:t xml:space="preserve"> </w:t>
      </w:r>
      <w:r>
        <w:t xml:space="preserve">observations.</w:t>
      </w:r>
    </w:p>
    <w:p>
      <w:pPr>
        <w:pStyle w:val="SourceCode"/>
      </w:pPr>
      <w:r>
        <w:rPr>
          <w:rStyle w:val="NormalTok"/>
        </w:rPr>
        <w:t xml:space="preserve">data_rt </w:t>
      </w:r>
      <w:r>
        <w:rPr>
          <w:rStyle w:val="OtherTok"/>
        </w:rPr>
        <w:t xml:space="preserve">&lt;-</w:t>
      </w:r>
      <w:r>
        <w:rPr>
          <w:rStyle w:val="NormalTok"/>
        </w:rPr>
        <w:t xml:space="preserve"> data_stroop </w:t>
      </w:r>
      <w:r>
        <w:rPr>
          <w:rStyle w:val="SpecialCharTok"/>
        </w:rPr>
        <w:t xml:space="preserve">|&gt;</w:t>
      </w:r>
      <w:r>
        <w:br/>
      </w:r>
      <w:r>
        <w:rPr>
          <w:rStyle w:val="NormalTok"/>
        </w:rPr>
        <w:t xml:space="preserve">  </w:t>
      </w:r>
      <w:r>
        <w:rPr>
          <w:rStyle w:val="FunctionTok"/>
        </w:rPr>
        <w:t xml:space="preserve">group_by</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(acc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w:t>
      </w:r>
      <w:r>
        <w:rPr>
          <w:rStyle w:val="FunctionTok"/>
        </w:rPr>
        <w:t xml:space="preserve">lag</w:t>
      </w:r>
      <w:r>
        <w:rPr>
          <w:rStyle w:val="NormalTok"/>
        </w:rPr>
        <w:t xml:space="preserve">(acc)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set contrast</w:t>
      </w:r>
      <w:r>
        <w:br/>
      </w:r>
      <w:r>
        <w:rPr>
          <w:rStyle w:val="FunctionTok"/>
        </w:rPr>
        <w:t xml:space="preserve">contrasts</w:t>
      </w:r>
      <w:r>
        <w:rPr>
          <w:rStyle w:val="NormalTok"/>
        </w:rPr>
        <w:t xml:space="preserve">(data_rt</w:t>
      </w:r>
      <w:r>
        <w:rPr>
          <w:rStyle w:val="SpecialCharTok"/>
        </w:rPr>
        <w:t xml:space="preserve">$</w:t>
      </w:r>
      <w:r>
        <w:rPr>
          <w:rStyle w:val="NormalTok"/>
        </w:rPr>
        <w:t xml:space="preserve">congruency) </w:t>
      </w:r>
      <w:r>
        <w:rPr>
          <w:rStyle w:val="OtherTok"/>
        </w:rPr>
        <w:t xml:space="preserve">&lt;-</w:t>
      </w:r>
      <w:r>
        <w:rPr>
          <w:rStyle w:val="NormalTok"/>
        </w:rPr>
        <w:t xml:space="preserve"> </w:t>
      </w:r>
      <w:r>
        <w:rPr>
          <w:rStyle w:val="FunctionTok"/>
        </w:rPr>
        <w:t xml:space="preserve">contr.sum</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2</w:t>
      </w:r>
      <w:r>
        <w:br/>
      </w:r>
      <w:r>
        <w:rPr>
          <w:rStyle w:val="FunctionTok"/>
        </w:rPr>
        <w:t xml:space="preserve">contrasts</w:t>
      </w:r>
      <w:r>
        <w:rPr>
          <w:rStyle w:val="NormalTok"/>
        </w:rPr>
        <w:t xml:space="preserve">(data_rt</w:t>
      </w:r>
      <w:r>
        <w:rPr>
          <w:rStyle w:val="SpecialCharTok"/>
        </w:rPr>
        <w:t xml:space="preserve">$</w:t>
      </w:r>
      <w:r>
        <w:rPr>
          <w:rStyle w:val="NormalTok"/>
        </w:rPr>
        <w:t xml:space="preserve">prev_cong) </w:t>
      </w:r>
      <w:r>
        <w:rPr>
          <w:rStyle w:val="OtherTok"/>
        </w:rPr>
        <w:t xml:space="preserve">&lt;-</w:t>
      </w:r>
      <w:r>
        <w:rPr>
          <w:rStyle w:val="NormalTok"/>
        </w:rPr>
        <w:t xml:space="preserve"> </w:t>
      </w:r>
      <w:r>
        <w:rPr>
          <w:rStyle w:val="FunctionTok"/>
        </w:rPr>
        <w:t xml:space="preserve">contr.sum</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2</w:t>
      </w:r>
      <w:r>
        <w:br/>
      </w:r>
      <w:r>
        <w:rPr>
          <w:rStyle w:val="FunctionTok"/>
        </w:rPr>
        <w:t xml:space="preserve">contrasts</w:t>
      </w:r>
      <w:r>
        <w:rPr>
          <w:rStyle w:val="NormalTok"/>
        </w:rPr>
        <w:t xml:space="preserve">(data_rt</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contr.sum</w:t>
      </w:r>
      <w:r>
        <w:rPr>
          <w:rStyle w:val="NormalTok"/>
        </w:rPr>
        <w:t xml:space="preserve">(</w:t>
      </w:r>
      <w:r>
        <w:rPr>
          <w:rStyle w:val="DecValTok"/>
        </w:rPr>
        <w:t xml:space="preserve">2</w:t>
      </w:r>
      <w:r>
        <w:rPr>
          <w:rStyle w:val="NormalTok"/>
        </w:rPr>
        <w:t xml:space="preserve">)</w:t>
      </w:r>
      <w:r>
        <w:rPr>
          <w:rStyle w:val="SpecialCharTok"/>
        </w:rPr>
        <w:t xml:space="preserve">/</w:t>
      </w:r>
      <w:r>
        <w:rPr>
          <w:rStyle w:val="DecValTok"/>
        </w:rPr>
        <w:t xml:space="preserve">2</w:t>
      </w:r>
      <w:r>
        <w:br/>
      </w:r>
      <w:r>
        <w:br/>
      </w:r>
      <w:r>
        <w:rPr>
          <w:rStyle w:val="NormalTok"/>
        </w:rPr>
        <w:t xml:space="preserve">mod_rt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AttributeTok"/>
        </w:rPr>
        <w:t xml:space="preserve">formula =</w:t>
      </w:r>
      <w:r>
        <w:rPr>
          <w:rStyle w:val="NormalTok"/>
        </w:rPr>
        <w:t xml:space="preserve"> rt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congruency </w:t>
      </w:r>
      <w:r>
        <w:rPr>
          <w:rStyle w:val="SpecialCharTok"/>
        </w:rPr>
        <w:t xml:space="preserve">*</w:t>
      </w:r>
      <w:r>
        <w:rPr>
          <w:rStyle w:val="NormalTok"/>
        </w:rPr>
        <w:t xml:space="preserve"> prev_cong </w:t>
      </w:r>
      <w:r>
        <w:rPr>
          <w:rStyle w:val="SpecialCharTok"/>
        </w:rPr>
        <w:t xml:space="preserve">+</w:t>
      </w:r>
      <w:r>
        <w:br/>
      </w:r>
      <w:r>
        <w:rPr>
          <w:rStyle w:val="NormalTok"/>
        </w:rPr>
        <w:t xml:space="preserve">    congruency </w:t>
      </w:r>
      <w:r>
        <w:rPr>
          <w:rStyle w:val="SpecialCharTok"/>
        </w:rPr>
        <w:t xml:space="preserve">*</w:t>
      </w:r>
      <w:r>
        <w:rPr>
          <w:rStyle w:val="NormalTok"/>
        </w:rPr>
        <w:t xml:space="preserve"> trial </w:t>
      </w:r>
      <w:r>
        <w:rPr>
          <w:rStyle w:val="SpecialCharTok"/>
        </w:rPr>
        <w:t xml:space="preserve">*</w:t>
      </w:r>
      <w:r>
        <w:rPr>
          <w:rStyle w:val="NormalTok"/>
        </w:rPr>
        <w:t xml:space="preserve"> condition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congruency </w:t>
      </w:r>
      <w:r>
        <w:rPr>
          <w:rStyle w:val="SpecialCharTok"/>
        </w:rPr>
        <w:t xml:space="preserve">+</w:t>
      </w:r>
      <w:r>
        <w:rPr>
          <w:rStyle w:val="NormalTok"/>
        </w:rPr>
        <w:t xml:space="preserve"> prev_cong </w:t>
      </w:r>
      <w:r>
        <w:rPr>
          <w:rStyle w:val="SpecialCharTok"/>
        </w:rPr>
        <w:t xml:space="preserve">+</w:t>
      </w:r>
      <w:r>
        <w:rPr>
          <w:rStyle w:val="NormalTok"/>
        </w:rPr>
        <w:t xml:space="preserve"> trial </w:t>
      </w:r>
      <w:r>
        <w:rPr>
          <w:rStyle w:val="SpecialCharTok"/>
        </w:rPr>
        <w:t xml:space="preserve">+</w:t>
      </w:r>
      <w:r>
        <w:rPr>
          <w:rStyle w:val="NormalTok"/>
        </w:rPr>
        <w:t xml:space="preserve"> condition </w:t>
      </w:r>
      <w:r>
        <w:rPr>
          <w:rStyle w:val="SpecialCharTok"/>
        </w:rPr>
        <w:t xml:space="preserve">||</w:t>
      </w:r>
      <w:r>
        <w:rPr>
          <w:rStyle w:val="NormalTok"/>
        </w:rPr>
        <w:t xml:space="preserve"> id),</w:t>
      </w:r>
      <w:r>
        <w:br/>
      </w:r>
      <w:r>
        <w:rPr>
          <w:rStyle w:val="NormalTok"/>
        </w:rPr>
        <w:t xml:space="preserve">  </w:t>
      </w:r>
      <w:r>
        <w:rPr>
          <w:rStyle w:val="AttributeTok"/>
        </w:rPr>
        <w:t xml:space="preserve">family =</w:t>
      </w:r>
      <w:r>
        <w:rPr>
          <w:rStyle w:val="NormalTok"/>
        </w:rPr>
        <w:t xml:space="preserve"> </w:t>
      </w:r>
      <w:r>
        <w:rPr>
          <w:rStyle w:val="FunctionTok"/>
        </w:rPr>
        <w:t xml:space="preserve">lognormal</w:t>
      </w:r>
      <w:r>
        <w:rPr>
          <w:rStyle w:val="NormalTok"/>
        </w:rPr>
        <w:t xml:space="preserve">(), </w:t>
      </w:r>
      <w:r>
        <w:rPr>
          <w:rStyle w:val="AttributeTok"/>
        </w:rPr>
        <w:t xml:space="preserve">data =</w:t>
      </w:r>
      <w:r>
        <w:rPr>
          <w:rStyle w:val="NormalTok"/>
        </w:rPr>
        <w:t xml:space="preserve"> data_rt,</w:t>
      </w:r>
      <w:r>
        <w:br/>
      </w:r>
      <w:r>
        <w:rPr>
          <w:rStyle w:val="NormalTok"/>
        </w:rPr>
        <w:t xml:space="preserve">  </w:t>
      </w:r>
      <w:r>
        <w:rPr>
          <w:rStyle w:val="AttributeTok"/>
        </w:rPr>
        <w:t xml:space="preserve">cores =</w:t>
      </w:r>
      <w:r>
        <w:rPr>
          <w:rStyle w:val="NormalTok"/>
        </w:rPr>
        <w:t xml:space="preserve"> </w:t>
      </w:r>
      <w:r>
        <w:rPr>
          <w:rStyle w:val="DecValTok"/>
        </w:rPr>
        <w:t xml:space="preserve">3</w:t>
      </w:r>
      <w:r>
        <w:rPr>
          <w:rStyle w:val="NormalTok"/>
        </w:rPr>
        <w:t xml:space="preserve">, </w:t>
      </w:r>
      <w:r>
        <w:rPr>
          <w:rStyle w:val="AttributeTok"/>
        </w:rPr>
        <w:t xml:space="preserve">chains =</w:t>
      </w:r>
      <w:r>
        <w:rPr>
          <w:rStyle w:val="NormalTok"/>
        </w:rPr>
        <w:t xml:space="preserve"> </w:t>
      </w:r>
      <w:r>
        <w:rPr>
          <w:rStyle w:val="DecValTok"/>
        </w:rPr>
        <w:t xml:space="preserve">3</w:t>
      </w:r>
      <w:r>
        <w:rPr>
          <w:rStyle w:val="NormalTok"/>
        </w:rPr>
        <w:t xml:space="preserve">, </w:t>
      </w:r>
      <w:r>
        <w:rPr>
          <w:rStyle w:val="AttributeTok"/>
        </w:rPr>
        <w:t xml:space="preserve">iter =</w:t>
      </w:r>
      <w:r>
        <w:rPr>
          <w:rStyle w:val="NormalTok"/>
        </w:rPr>
        <w:t xml:space="preserve"> </w:t>
      </w:r>
      <w:r>
        <w:rPr>
          <w:rStyle w:val="DecValTok"/>
        </w:rPr>
        <w:t xml:space="preserve">8000</w:t>
      </w:r>
      <w:r>
        <w:rPr>
          <w:rStyle w:val="NormalTok"/>
        </w:rPr>
        <w:t xml:space="preserve">)</w:t>
      </w:r>
    </w:p>
    <w:p>
      <w:pPr>
        <w:pStyle w:val="FirstParagraph"/>
      </w:pPr>
      <w:r>
        <w:t xml:space="preserve">Since</w:t>
      </w:r>
      <w:r>
        <w:t xml:space="preserve"> </w:t>
      </w:r>
      <w:r>
        <w:rPr>
          <w:rStyle w:val="VerbatimChar"/>
        </w:rPr>
        <w:t xml:space="preserve">pd.adjust()</w:t>
      </w:r>
      <w:r>
        <w:t xml:space="preserve"> </w:t>
      </w:r>
      <w:r>
        <w:t xml:space="preserve">computes</w:t>
      </w:r>
      <w:r>
        <w:t xml:space="preserve"> </w:t>
      </w:r>
      <m:oMath>
        <m:r>
          <m:t>p</m:t>
        </m:r>
        <m:r>
          <m:t>d</m:t>
        </m:r>
      </m:oMath>
      <w:r>
        <w:t xml:space="preserve"> </w:t>
      </w:r>
      <w:r>
        <w:t xml:space="preserve">values automatically from a matrix of posterior draws, we extracted the relevant draws from the model.</w:t>
      </w:r>
    </w:p>
    <w:p>
      <w:pPr>
        <w:pStyle w:val="SourceCode"/>
      </w:pPr>
      <w:r>
        <w:rPr>
          <w:rStyle w:val="NormalTok"/>
        </w:rPr>
        <w:t xml:space="preserve">draws_rt </w:t>
      </w:r>
      <w:r>
        <w:rPr>
          <w:rStyle w:val="OtherTok"/>
        </w:rPr>
        <w:t xml:space="preserve">&lt;-</w:t>
      </w:r>
      <w:r>
        <w:rPr>
          <w:rStyle w:val="NormalTok"/>
        </w:rPr>
        <w:t xml:space="preserve"> </w:t>
      </w:r>
      <w:r>
        <w:rPr>
          <w:rStyle w:val="FunctionTok"/>
        </w:rPr>
        <w:t xml:space="preserve">as.data.frame</w:t>
      </w:r>
      <w:r>
        <w:rPr>
          <w:rStyle w:val="NormalTok"/>
        </w:rPr>
        <w:t xml:space="preserve">(mod_rt)</w:t>
      </w:r>
      <w:r>
        <w:br/>
      </w:r>
      <w:r>
        <w:rPr>
          <w:rStyle w:val="NormalTok"/>
        </w:rPr>
        <w:t xml:space="preserve">par_names </w:t>
      </w:r>
      <w:r>
        <w:rPr>
          <w:rStyle w:val="OtherTok"/>
        </w:rPr>
        <w:t xml:space="preserve">&lt;-</w:t>
      </w:r>
      <w:r>
        <w:rPr>
          <w:rStyle w:val="NormalTok"/>
        </w:rPr>
        <w:t xml:space="preserve"> </w:t>
      </w:r>
      <w:r>
        <w:rPr>
          <w:rStyle w:val="FunctionTok"/>
        </w:rPr>
        <w:t xml:space="preserve">colnames</w:t>
      </w:r>
      <w:r>
        <w:rPr>
          <w:rStyle w:val="NormalTok"/>
        </w:rPr>
        <w:t xml:space="preserve">(draws_rt)[</w:t>
      </w:r>
      <w:r>
        <w:rPr>
          <w:rStyle w:val="DecValTok"/>
        </w:rPr>
        <w:t xml:space="preserve">2</w:t>
      </w:r>
      <w:r>
        <w:rPr>
          <w:rStyle w:val="SpecialCharTok"/>
        </w:rPr>
        <w:t xml:space="preserve">:</w:t>
      </w:r>
      <w:r>
        <w:rPr>
          <w:rStyle w:val="DecValTok"/>
        </w:rPr>
        <w:t xml:space="preserve">10</w:t>
      </w:r>
      <w:r>
        <w:rPr>
          <w:rStyle w:val="NormalTok"/>
        </w:rPr>
        <w:t xml:space="preserve">]</w:t>
      </w:r>
      <w:r>
        <w:br/>
      </w:r>
      <w:r>
        <w:rPr>
          <w:rStyle w:val="NormalTok"/>
        </w:rPr>
        <w:t xml:space="preserve">draws_rt </w:t>
      </w:r>
      <w:r>
        <w:rPr>
          <w:rStyle w:val="OtherTok"/>
        </w:rPr>
        <w:t xml:space="preserve">&lt;-</w:t>
      </w:r>
      <w:r>
        <w:rPr>
          <w:rStyle w:val="NormalTok"/>
        </w:rPr>
        <w:t xml:space="preserve"> draws_rt[, par_names]</w:t>
      </w:r>
      <w:r>
        <w:br/>
      </w:r>
      <w:r>
        <w:rPr>
          <w:rStyle w:val="FunctionTok"/>
        </w:rPr>
        <w:t xml:space="preserve">pd.adjust</w:t>
      </w:r>
      <w:r>
        <w:rPr>
          <w:rStyle w:val="NormalTok"/>
        </w:rPr>
        <w:t xml:space="preserve">(</w:t>
      </w:r>
      <w:r>
        <w:rPr>
          <w:rStyle w:val="AttributeTok"/>
        </w:rPr>
        <w:t xml:space="preserve">draws =</w:t>
      </w:r>
      <w:r>
        <w:rPr>
          <w:rStyle w:val="NormalTok"/>
        </w:rPr>
        <w:t xml:space="preserve"> draws_rt, </w:t>
      </w:r>
      <w:r>
        <w:rPr>
          <w:rStyle w:val="AttributeTok"/>
        </w:rPr>
        <w:t xml:space="preserve">pi0 =</w:t>
      </w:r>
      <w:r>
        <w:rPr>
          <w:rStyle w:val="NormalTok"/>
        </w:rPr>
        <w:t xml:space="preserve"> </w:t>
      </w:r>
      <w:r>
        <w:rPr>
          <w:rStyle w:val="FloatTok"/>
        </w:rPr>
        <w:t xml:space="preserve">0.7</w:t>
      </w:r>
      <w:r>
        <w:rPr>
          <w:rStyle w:val="NormalTok"/>
        </w:rPr>
        <w:t xml:space="preserve">, </w:t>
      </w:r>
      <w:r>
        <w:rPr>
          <w:rStyle w:val="AttributeTok"/>
        </w:rPr>
        <w:t xml:space="preserve">null.value =</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Prior-odds threshold for directional claims</w:t>
      </w:r>
      <w:r>
        <w:br/>
      </w:r>
      <w:r>
        <w:rPr>
          <w:rStyle w:val="VerbatimChar"/>
        </w:rPr>
        <w:t xml:space="preserve">  m = 9, pi0 = 0.7, Pr(H0) = pi0^m = 0.0404</w:t>
      </w:r>
      <w:r>
        <w:br/>
      </w:r>
      <w:r>
        <w:rPr>
          <w:rStyle w:val="VerbatimChar"/>
        </w:rPr>
        <w:t xml:space="preserve">  c  = 0.975 (unadjusted; alpha = 0.05)</w:t>
      </w:r>
      <w:r>
        <w:br/>
      </w:r>
      <w:r>
        <w:rPr>
          <w:rStyle w:val="VerbatimChar"/>
        </w:rPr>
        <w:t xml:space="preserve">  c* = 0.9891 (adjusted; alpha* = 0.0217)</w:t>
      </w:r>
      <w:r>
        <w:br/>
      </w:r>
      <w:r>
        <w:rPr>
          <w:rStyle w:val="VerbatimChar"/>
        </w:rPr>
        <w:t xml:space="preserve">  alpha = 2(1 - c), the per-test rate if the null pd is uniform</w:t>
      </w:r>
      <w:r>
        <w:br/>
      </w:r>
      <w:r>
        <w:rPr>
          <w:rStyle w:val="VerbatimChar"/>
        </w:rPr>
        <w:t xml:space="preserve">  null value = 0, direction = two.sided</w:t>
      </w:r>
      <w:r>
        <w:br/>
      </w:r>
      <w:r>
        <w:rPr>
          <w:rStyle w:val="VerbatimChar"/>
        </w:rPr>
        <w:t xml:space="preserve">Claim a direction when pd &gt; 0.9891</w:t>
      </w:r>
      <w:r>
        <w:br/>
      </w:r>
      <w:r>
        <w:br/>
      </w:r>
      <w:r>
        <w:rPr>
          <w:rStyle w:val="VerbatimChar"/>
        </w:rPr>
        <w:t xml:space="preserve">                               median.est     pd</w:t>
      </w:r>
      <w:r>
        <w:br/>
      </w:r>
      <w:r>
        <w:rPr>
          <w:rStyle w:val="VerbatimChar"/>
        </w:rPr>
        <w:t xml:space="preserve">b_congruency1                     -0.1439 1.0000</w:t>
      </w:r>
      <w:r>
        <w:br/>
      </w:r>
      <w:r>
        <w:rPr>
          <w:rStyle w:val="VerbatimChar"/>
        </w:rPr>
        <w:t xml:space="preserve">b_prev_cong1                      -0.0166 0.9803</w:t>
      </w:r>
      <w:r>
        <w:br/>
      </w:r>
      <w:r>
        <w:rPr>
          <w:rStyle w:val="VerbatimChar"/>
        </w:rPr>
        <w:t xml:space="preserve">b_trial                            0.0119 0.9369</w:t>
      </w:r>
      <w:r>
        <w:br/>
      </w:r>
      <w:r>
        <w:rPr>
          <w:rStyle w:val="VerbatimChar"/>
        </w:rPr>
        <w:t xml:space="preserve">b_condition1                       0.0063 0.6509</w:t>
      </w:r>
      <w:r>
        <w:br/>
      </w:r>
      <w:r>
        <w:rPr>
          <w:rStyle w:val="VerbatimChar"/>
        </w:rPr>
        <w:t xml:space="preserve">b_congruency1:prev_cong1           0.0223 0.9583</w:t>
      </w:r>
      <w:r>
        <w:br/>
      </w:r>
      <w:r>
        <w:rPr>
          <w:rStyle w:val="VerbatimChar"/>
        </w:rPr>
        <w:t xml:space="preserve">b_congruency1:trial               -0.0033 0.7206</w:t>
      </w:r>
      <w:r>
        <w:br/>
      </w:r>
      <w:r>
        <w:rPr>
          <w:rStyle w:val="VerbatimChar"/>
        </w:rPr>
        <w:t xml:space="preserve">b_congruency1:condition1          -0.0166 0.9291</w:t>
      </w:r>
      <w:r>
        <w:br/>
      </w:r>
      <w:r>
        <w:rPr>
          <w:rStyle w:val="VerbatimChar"/>
        </w:rPr>
        <w:t xml:space="preserve">b_trial:condition1                 0.0071 0.8936</w:t>
      </w:r>
      <w:r>
        <w:br/>
      </w:r>
      <w:r>
        <w:rPr>
          <w:rStyle w:val="VerbatimChar"/>
        </w:rPr>
        <w:t xml:space="preserve">b_congruency1:trial:condition1    -0.0028 0.5961</w:t>
      </w:r>
    </w:p>
    <w:p>
      <w:pPr>
        <w:pStyle w:val="FirstParagraph"/>
      </w:pPr>
      <w:r>
        <w:t xml:space="preserve">The function was called with</w:t>
      </w:r>
      <w:r>
        <w:t xml:space="preserve"> </w:t>
      </w:r>
      <m:oMath>
        <m:sSub>
          <m:e>
            <m:r>
              <m:t>π</m:t>
            </m:r>
          </m:e>
          <m:sub>
            <m:r>
              <m:t>0</m:t>
            </m:r>
          </m:sub>
        </m:sSub>
        <m:r>
          <m:rPr>
            <m:sty m:val="p"/>
          </m:rPr>
          <m:t>=</m:t>
        </m:r>
        <m:r>
          <m:t>.7</m:t>
        </m:r>
      </m:oMath>
      <w:r>
        <w:t xml:space="preserve">, shown in the printed header. Under the within-model prior, each parameter has prior probability</w:t>
      </w:r>
      <w:r>
        <w:t xml:space="preserve"> </w:t>
      </w:r>
      <m:oMath>
        <m:r>
          <m:t>.5</m:t>
        </m:r>
      </m:oMath>
      <w:r>
        <w:t xml:space="preserve"> </w:t>
      </w:r>
      <w:r>
        <w:t xml:space="preserve">of having the sign opposite to the one claimed; with</w:t>
      </w:r>
      <w:r>
        <w:t xml:space="preserve"> </w:t>
      </w:r>
      <m:oMath>
        <m:sSub>
          <m:e>
            <m:r>
              <m:t>π</m:t>
            </m:r>
          </m:e>
          <m:sub>
            <m:r>
              <m:t>0</m:t>
            </m:r>
          </m:sub>
        </m:sSub>
        <m:r>
          <m:rPr>
            <m:sty m:val="p"/>
          </m:rPr>
          <m:t>=</m:t>
        </m:r>
        <m:r>
          <m:t>.7</m:t>
        </m:r>
      </m:oMath>
      <w:r>
        <w:t xml:space="preserve"> </w:t>
      </w:r>
      <w:r>
        <w:t xml:space="preserve">we consider it plausible that this probability is as high as</w:t>
      </w:r>
      <w:r>
        <w:t xml:space="preserve"> </w:t>
      </w:r>
      <m:oMath>
        <m:r>
          <m:t>.7</m:t>
        </m:r>
      </m:oMath>
      <w:r>
        <w:t xml:space="preserve">. This reflects skepticism about most effects in the family, such as those of ego depletion, whose replicability has been questioned</w:t>
      </w:r>
      <w:r>
        <w:t xml:space="preserve"> </w:t>
      </w:r>
      <w:r>
        <w:t xml:space="preserve">(</w:t>
      </w:r>
      <w:hyperlink w:anchor="ref-Lin2020">
        <w:r>
          <w:rPr>
            <w:rStyle w:val="Hyperlink"/>
          </w:rPr>
          <w:t xml:space="preserve">Lin et al., 2020</w:t>
        </w:r>
      </w:hyperlink>
      <w:r>
        <w:t xml:space="preserve">)</w:t>
      </w:r>
      <w:r>
        <w:t xml:space="preserve">, rather than equal prior probabilities for the two directions. Because the nine parameters are independent a priori under the flat priors used here,</w:t>
      </w:r>
      <w:r>
        <w:t xml:space="preserve"> </w:t>
      </w:r>
      <m:oMath>
        <m:sSub>
          <m:e>
            <m:r>
              <m:t>π</m:t>
            </m:r>
          </m:e>
          <m:sub>
            <m:r>
              <m:t>0</m:t>
            </m:r>
          </m:sub>
        </m:sSub>
        <m:r>
          <m:rPr>
            <m:sty m:val="p"/>
          </m:rPr>
          <m:t>=</m:t>
        </m:r>
        <m:r>
          <m:t>.7</m:t>
        </m:r>
      </m:oMath>
      <w:r>
        <w:t xml:space="preserve"> </w:t>
      </w:r>
      <w:r>
        <w:t xml:space="preserve">corresponds to</w:t>
      </w:r>
      <w:r>
        <w:t xml:space="preserve"> </w:t>
      </w:r>
      <m:oMath>
        <m:r>
          <m:rPr>
            <m:sty m:val="p"/>
          </m:rPr>
          <m:t>Pr</m:t>
        </m:r>
        <m:r>
          <m:rPr>
            <m:sty m:val="p"/>
          </m:rPr>
          <m:t>(</m:t>
        </m:r>
        <m:sSub>
          <m:e>
            <m:r>
              <m:t>H</m:t>
            </m:r>
          </m:e>
          <m:sub>
            <m:r>
              <m:t>0</m:t>
            </m:r>
          </m:sub>
        </m:sSub>
        <m:r>
          <m:rPr>
            <m:sty m:val="p"/>
          </m:rPr>
          <m:t>)</m:t>
        </m:r>
        <m:r>
          <m:rPr>
            <m:sty m:val="p"/>
          </m:rPr>
          <m:t>=</m:t>
        </m:r>
        <m:sSup>
          <m:e>
            <m:r>
              <m:t>.7</m:t>
            </m:r>
          </m:e>
          <m:sup>
            <m:r>
              <m:t>9</m:t>
            </m:r>
          </m:sup>
        </m:sSup>
        <m:r>
          <m:rPr>
            <m:sty m:val="p"/>
          </m:rPr>
          <m:t>≈</m:t>
        </m:r>
        <m:r>
          <m:t>.04</m:t>
        </m:r>
      </m:oMath>
      <w:r>
        <w:t xml:space="preserve">: the largest prior probability that none of the nine claims is correct is about 4%.</w:t>
      </w:r>
    </w:p>
    <w:p>
      <w:pPr>
        <w:pStyle w:val="BodyText"/>
      </w:pPr>
      <w:r>
        <w:t xml:space="preserve">The header reports the resulting threshold: with the default</w:t>
      </w:r>
      <w:r>
        <w:t xml:space="preserve"> </w:t>
      </w:r>
      <m:oMath>
        <m:r>
          <m:t>c</m:t>
        </m:r>
        <m:r>
          <m:rPr>
            <m:sty m:val="p"/>
          </m:rPr>
          <m:t>=</m:t>
        </m:r>
        <m:r>
          <m:t>.975</m:t>
        </m:r>
      </m:oMath>
      <w:r>
        <w:t xml:space="preserve">, a directional claim requires</w:t>
      </w:r>
      <w:r>
        <w:t xml:space="preserve"> </w:t>
      </w:r>
      <m:oMath>
        <m:r>
          <m:t>p</m:t>
        </m:r>
        <m:r>
          <m:t>d</m:t>
        </m:r>
        <m:r>
          <m:rPr>
            <m:sty m:val="p"/>
          </m:rPr>
          <m:t>&gt;</m:t>
        </m:r>
        <m:sSup>
          <m:e>
            <m:r>
              <m:t>c</m:t>
            </m:r>
          </m:e>
          <m:sup>
            <m:r>
              <m:rPr>
                <m:sty m:val="p"/>
              </m:rPr>
              <m:t>*</m:t>
            </m:r>
          </m:sup>
        </m:sSup>
        <m:r>
          <m:rPr>
            <m:sty m:val="p"/>
          </m:rPr>
          <m:t>=</m:t>
        </m:r>
        <m:r>
          <m:t>.989</m:t>
        </m:r>
      </m:oMath>
      <w:r>
        <w:t xml:space="preserve"> </w:t>
      </w:r>
      <w:r>
        <w:t xml:space="preserve">or, equivalently,</w:t>
      </w:r>
      <w:r>
        <w:t xml:space="preserve"> </w:t>
      </w:r>
      <m:oMath>
        <m:r>
          <m:t>p</m:t>
        </m:r>
        <m:sSub>
          <m:e>
            <m:r>
              <m:t>d</m:t>
            </m:r>
          </m:e>
          <m:sub>
            <m:r>
              <m:rPr>
                <m:nor/>
                <m:sty m:val="p"/>
              </m:rPr>
              <m:t>adj</m:t>
            </m:r>
          </m:sub>
        </m:sSub>
        <m:r>
          <m:rPr>
            <m:sty m:val="p"/>
          </m:rPr>
          <m:t>&gt;</m:t>
        </m:r>
        <m:r>
          <m:t>.975</m:t>
        </m:r>
      </m:oMath>
      <w:r>
        <w:t xml:space="preserve">.</w:t>
      </w:r>
    </w:p>
    <w:p>
      <w:pPr>
        <w:pStyle w:val="BodyText"/>
      </w:pPr>
      <w:r>
        <w:t xml:space="preserve">In this family,</w:t>
      </w:r>
      <w:r>
        <w:t xml:space="preserve"> </w:t>
      </w:r>
      <m:oMath>
        <m:r>
          <m:t>2</m:t>
        </m:r>
      </m:oMath>
      <w:r>
        <w:t xml:space="preserve"> </w:t>
      </w:r>
      <w:r>
        <w:t xml:space="preserve">effects exceed</w:t>
      </w:r>
      <w:r>
        <w:t xml:space="preserve"> </w:t>
      </w:r>
      <m:oMath>
        <m:r>
          <m:t>c</m:t>
        </m:r>
      </m:oMath>
      <w:r>
        <w:t xml:space="preserve"> </w:t>
      </w:r>
      <w:r>
        <w:t xml:space="preserve">and</w:t>
      </w:r>
      <w:r>
        <w:t xml:space="preserve"> </w:t>
      </w:r>
      <m:oMath>
        <m:r>
          <m:t>1</m:t>
        </m:r>
      </m:oMath>
      <w:r>
        <w:t xml:space="preserve"> </w:t>
      </w:r>
      <w:r>
        <w:t xml:space="preserve">exceeds</w:t>
      </w:r>
      <w:r>
        <w:t xml:space="preserve"> </w:t>
      </w:r>
      <m:oMath>
        <m:sSup>
          <m:e>
            <m:r>
              <m:t>c</m:t>
            </m:r>
          </m:e>
          <m:sup>
            <m:r>
              <m:rPr>
                <m:sty m:val="p"/>
              </m:rPr>
              <m:t>*</m:t>
            </m:r>
          </m:sup>
        </m:sSup>
      </m:oMath>
      <w:r>
        <w:t xml:space="preserve">. The congruency effect (</w:t>
      </w:r>
      <w:r>
        <w:rPr>
          <w:rStyle w:val="VerbatimChar"/>
        </w:rPr>
        <w:t xml:space="preserve">b_congruency1</w:t>
      </w:r>
      <w:r>
        <w:t xml:space="preserve">,</w:t>
      </w:r>
      <w:r>
        <w:t xml:space="preserve"> </w:t>
      </w:r>
      <m:oMath>
        <m:r>
          <m:t>p</m:t>
        </m:r>
        <m:r>
          <m:t>d</m:t>
        </m:r>
        <m:r>
          <m:rPr>
            <m:sty m:val="p"/>
          </m:rPr>
          <m:t>=</m:t>
        </m:r>
        <m:r>
          <m:t>1.000</m:t>
        </m:r>
      </m:oMath>
      <w:r>
        <w:t xml:space="preserve">) exceeds both thresholds, whereas</w:t>
      </w:r>
      <w:r>
        <w:t xml:space="preserve"> </w:t>
      </w:r>
      <w:r>
        <w:rPr>
          <w:rStyle w:val="VerbatimChar"/>
        </w:rPr>
        <w:t xml:space="preserve">b_prev_cong1</w:t>
      </w:r>
      <w:r>
        <w:t xml:space="preserve"> </w:t>
      </w:r>
      <w:r>
        <w:t xml:space="preserve">(</w:t>
      </w:r>
      <m:oMath>
        <m:r>
          <m:t>p</m:t>
        </m:r>
        <m:r>
          <m:t>d</m:t>
        </m:r>
        <m:r>
          <m:rPr>
            <m:sty m:val="p"/>
          </m:rPr>
          <m:t>=</m:t>
        </m:r>
        <m:r>
          <m:t>.980</m:t>
        </m:r>
      </m:oMath>
      <w:r>
        <w:t xml:space="preserve">,</w:t>
      </w:r>
      <w:r>
        <w:t xml:space="preserve"> </w:t>
      </w:r>
      <m:oMath>
        <m:r>
          <m:t>p</m:t>
        </m:r>
        <m:sSub>
          <m:e>
            <m:r>
              <m:t>d</m:t>
            </m:r>
          </m:e>
          <m:sub>
            <m:r>
              <m:rPr>
                <m:nor/>
                <m:sty m:val="p"/>
              </m:rPr>
              <m:t>adj</m:t>
            </m:r>
          </m:sub>
        </m:sSub>
        <m:r>
          <m:rPr>
            <m:sty m:val="p"/>
          </m:rPr>
          <m:t>=</m:t>
        </m:r>
        <m:r>
          <m:t>.955</m:t>
        </m:r>
      </m:oMath>
      <w:r>
        <w:t xml:space="preserve">) exceeds</w:t>
      </w:r>
      <w:r>
        <w:t xml:space="preserve"> </w:t>
      </w:r>
      <m:oMath>
        <m:r>
          <m:t>c</m:t>
        </m:r>
      </m:oMath>
      <w:r>
        <w:t xml:space="preserve"> </w:t>
      </w:r>
      <w:r>
        <w:t xml:space="preserve">but not</w:t>
      </w:r>
      <w:r>
        <w:t xml:space="preserve"> </w:t>
      </w:r>
      <m:oMath>
        <m:sSup>
          <m:e>
            <m:r>
              <m:t>c</m:t>
            </m:r>
          </m:e>
          <m:sup>
            <m:r>
              <m:rPr>
                <m:sty m:val="p"/>
              </m:rPr>
              <m:t>*</m:t>
            </m:r>
          </m:sup>
        </m:sSup>
      </m:oMath>
      <w:r>
        <w:t xml:space="preserve">. None of the remaining effects exceeds either threshold; the largest among them are</w:t>
      </w:r>
      <w:r>
        <w:t xml:space="preserve"> </w:t>
      </w:r>
      <w:r>
        <w:rPr>
          <w:rStyle w:val="VerbatimChar"/>
        </w:rPr>
        <w:t xml:space="preserve">b_congruency1:prev_cong1</w:t>
      </w:r>
      <w:r>
        <w:t xml:space="preserve"> </w:t>
      </w:r>
      <w:r>
        <w:t xml:space="preserve">(</w:t>
      </w:r>
      <m:oMath>
        <m:r>
          <m:t>p</m:t>
        </m:r>
        <m:r>
          <m:t>d</m:t>
        </m:r>
        <m:r>
          <m:rPr>
            <m:sty m:val="p"/>
          </m:rPr>
          <m:t>=</m:t>
        </m:r>
        <m:r>
          <m:t>.958</m:t>
        </m:r>
      </m:oMath>
      <w:r>
        <w:t xml:space="preserve">) and</w:t>
      </w:r>
      <w:r>
        <w:t xml:space="preserve"> </w:t>
      </w:r>
      <w:r>
        <w:rPr>
          <w:rStyle w:val="VerbatimChar"/>
        </w:rPr>
        <w:t xml:space="preserve">b_trial</w:t>
      </w:r>
      <w:r>
        <w:t xml:space="preserve"> </w:t>
      </w:r>
      <w:r>
        <w:t xml:space="preserve">(</w:t>
      </w:r>
      <m:oMath>
        <m:r>
          <m:t>p</m:t>
        </m:r>
        <m:r>
          <m:t>d</m:t>
        </m:r>
        <m:r>
          <m:rPr>
            <m:sty m:val="p"/>
          </m:rPr>
          <m:t>=</m:t>
        </m:r>
        <m:r>
          <m:t>.937</m:t>
        </m:r>
      </m:oMath>
      <w:r>
        <w:t xml:space="preserve">). Whether the previous-congruency effect is reported therefore depends on the value of</w:t>
      </w:r>
      <w:r>
        <w:t xml:space="preserve"> </w:t>
      </w:r>
      <m:oMath>
        <m:sSub>
          <m:e>
            <m:r>
              <m:t>π</m:t>
            </m:r>
          </m:e>
          <m:sub>
            <m:r>
              <m:t>0</m:t>
            </m:r>
          </m:sub>
        </m:sSub>
      </m:oMath>
      <w:r>
        <w:t xml:space="preserve">, and hence on how many of these nine effects the researcher judges could be null; the procedure requires this judgment to be stated explicitly. A researcher interested only in ego depletion would include in the family only the four effects involving condition, and</w:t>
      </w:r>
      <w:r>
        <w:t xml:space="preserve"> </w:t>
      </w:r>
      <m:oMath>
        <m:sSub>
          <m:e>
            <m:r>
              <m:t>π</m:t>
            </m:r>
          </m:e>
          <m:sub>
            <m:r>
              <m:t>0</m:t>
            </m:r>
          </m:sub>
        </m:sSub>
      </m:oMath>
      <w:r>
        <w:t xml:space="preserve"> </w:t>
      </w:r>
      <w:r>
        <w:t xml:space="preserve">would then be chosen for those four effects. In these data, none of them would be claimed under either threshold (largest</w:t>
      </w:r>
      <w:r>
        <w:t xml:space="preserve"> </w:t>
      </w:r>
      <m:oMath>
        <m:r>
          <m:t>p</m:t>
        </m:r>
        <m:r>
          <m:t>d</m:t>
        </m:r>
        <m:r>
          <m:rPr>
            <m:sty m:val="p"/>
          </m:rPr>
          <m:t>=</m:t>
        </m:r>
        <m:r>
          <m:t>.929</m:t>
        </m:r>
      </m:oMath>
      <w:r>
        <w:t xml:space="preserve">, for the congruency</w:t>
      </w:r>
      <w:r>
        <w:t xml:space="preserve"> </w:t>
      </w:r>
      <m:oMath>
        <m:r>
          <m:rPr>
            <m:sty m:val="p"/>
          </m:rPr>
          <m:t>×</m:t>
        </m:r>
      </m:oMath>
      <w:r>
        <w:t xml:space="preserve"> </w:t>
      </w:r>
      <w:r>
        <w:t xml:space="preserve">condition interaction).</w:t>
      </w:r>
    </w:p>
    <w:p>
      <w:pPr>
        <w:pStyle w:val="BodyText"/>
      </w:pPr>
      <w:r>
        <w:t xml:space="preserve">A companion function,</w:t>
      </w:r>
      <w:r>
        <w:t xml:space="preserve"> </w:t>
      </w:r>
      <w:r>
        <w:rPr>
          <w:rStyle w:val="VerbatimChar"/>
        </w:rPr>
        <w:t xml:space="preserve">joint()</w:t>
      </w:r>
      <w:r>
        <w:t xml:space="preserve">, computes by default the joint posterior probability of the</w:t>
      </w:r>
      <w:r>
        <w:t xml:space="preserve"> </w:t>
      </w:r>
      <m:oMath>
        <m:r>
          <m:t>k</m:t>
        </m:r>
      </m:oMath>
      <w:r>
        <w:t xml:space="preserve"> </w:t>
      </w:r>
      <w:r>
        <w:t xml:space="preserve">strongest directional claims, for each</w:t>
      </w:r>
      <w:r>
        <w:t xml:space="preserve"> </w:t>
      </w:r>
      <m:oMath>
        <m:r>
          <m:t>k</m:t>
        </m:r>
      </m:oMath>
      <w:r>
        <w:t xml:space="preserve">:</w:t>
      </w:r>
    </w:p>
    <w:p>
      <w:pPr>
        <w:pStyle w:val="SourceCode"/>
      </w:pPr>
      <w:r>
        <w:rPr>
          <w:rStyle w:val="FunctionTok"/>
        </w:rPr>
        <w:t xml:space="preserve">joint</w:t>
      </w:r>
      <w:r>
        <w:rPr>
          <w:rStyle w:val="NormalTok"/>
        </w:rPr>
        <w:t xml:space="preserve">(draws_rt, </w:t>
      </w:r>
      <w:r>
        <w:rPr>
          <w:rStyle w:val="AttributeTok"/>
        </w:rPr>
        <w:t xml:space="preserve">null.value =</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Joint directional statement</w:t>
      </w:r>
      <w:r>
        <w:br/>
      </w:r>
      <w:r>
        <w:rPr>
          <w:rStyle w:val="VerbatimChar"/>
        </w:rPr>
        <w:t xml:space="preserve">  null value = 0, direction = two.sided</w:t>
      </w:r>
      <w:r>
        <w:br/>
      </w:r>
      <w:r>
        <w:rPr>
          <w:rStyle w:val="VerbatimChar"/>
        </w:rPr>
        <w:t xml:space="preserve">  joint_cum: Pr(the top k claims all hold | y)</w:t>
      </w:r>
      <w:r>
        <w:br/>
      </w:r>
      <w:r>
        <w:br/>
      </w:r>
      <w:r>
        <w:rPr>
          <w:rStyle w:val="VerbatimChar"/>
        </w:rPr>
        <w:t xml:space="preserve">                               median.est     pd joint_cum</w:t>
      </w:r>
      <w:r>
        <w:br/>
      </w:r>
      <w:r>
        <w:rPr>
          <w:rStyle w:val="VerbatimChar"/>
        </w:rPr>
        <w:t xml:space="preserve">b_congruency1                     -0.1439 1.0000    1.0000</w:t>
      </w:r>
      <w:r>
        <w:br/>
      </w:r>
      <w:r>
        <w:rPr>
          <w:rStyle w:val="VerbatimChar"/>
        </w:rPr>
        <w:t xml:space="preserve">b_prev_cong1                      -0.0166 0.9803    0.9803</w:t>
      </w:r>
      <w:r>
        <w:br/>
      </w:r>
      <w:r>
        <w:rPr>
          <w:rStyle w:val="VerbatimChar"/>
        </w:rPr>
        <w:t xml:space="preserve">b_congruency1:prev_cong1           0.0223 0.9583    0.9412</w:t>
      </w:r>
      <w:r>
        <w:br/>
      </w:r>
      <w:r>
        <w:rPr>
          <w:rStyle w:val="VerbatimChar"/>
        </w:rPr>
        <w:t xml:space="preserve">b_trial                            0.0119 0.9369    0.8812</w:t>
      </w:r>
      <w:r>
        <w:br/>
      </w:r>
      <w:r>
        <w:rPr>
          <w:rStyle w:val="VerbatimChar"/>
        </w:rPr>
        <w:t xml:space="preserve">b_congruency1:condition1          -0.0166 0.9291    0.8191</w:t>
      </w:r>
      <w:r>
        <w:br/>
      </w:r>
      <w:r>
        <w:rPr>
          <w:rStyle w:val="VerbatimChar"/>
        </w:rPr>
        <w:t xml:space="preserve">b_trial:condition1                 0.0071 0.8936    0.7340</w:t>
      </w:r>
      <w:r>
        <w:br/>
      </w:r>
      <w:r>
        <w:rPr>
          <w:rStyle w:val="VerbatimChar"/>
        </w:rPr>
        <w:t xml:space="preserve">b_congruency1:trial               -0.0033 0.7206    0.5366</w:t>
      </w:r>
      <w:r>
        <w:br/>
      </w:r>
      <w:r>
        <w:rPr>
          <w:rStyle w:val="VerbatimChar"/>
        </w:rPr>
        <w:t xml:space="preserve">b_condition1                       0.0063 0.6509    0.3532</w:t>
      </w:r>
      <w:r>
        <w:br/>
      </w:r>
      <w:r>
        <w:rPr>
          <w:rStyle w:val="VerbatimChar"/>
        </w:rPr>
        <w:t xml:space="preserve">b_congruency1:trial:condition1    -0.0028 0.5961    0.2232</w:t>
      </w:r>
    </w:p>
    <w:p>
      <w:pPr>
        <w:pStyle w:val="FirstParagraph"/>
      </w:pPr>
      <w:r>
        <w:t xml:space="preserve">The rows are sorted by decreasing</w:t>
      </w:r>
      <w:r>
        <w:t xml:space="preserve"> </w:t>
      </w:r>
      <m:oMath>
        <m:r>
          <m:t>p</m:t>
        </m:r>
        <m:r>
          <m:t>d</m:t>
        </m:r>
      </m:oMath>
      <w:r>
        <w:t xml:space="preserve">, and the</w:t>
      </w:r>
      <w:r>
        <w:t xml:space="preserve"> </w:t>
      </w:r>
      <w:r>
        <w:rPr>
          <w:rStyle w:val="VerbatimChar"/>
        </w:rPr>
        <w:t xml:space="preserve">joint_cum</w:t>
      </w:r>
      <w:r>
        <w:t xml:space="preserve"> </w:t>
      </w:r>
      <w:r>
        <w:t xml:space="preserve">column reports the posterior probability that the top</w:t>
      </w:r>
      <w:r>
        <w:t xml:space="preserve"> </w:t>
      </w:r>
      <m:oMath>
        <m:r>
          <m:t>k</m:t>
        </m:r>
      </m:oMath>
      <w:r>
        <w:t xml:space="preserve"> </w:t>
      </w:r>
      <w:r>
        <w:t xml:space="preserve">claims hold simultaneously; a high value supports accepting that set of claims as a whole. Here the two strongest claims hold jointly with probability</w:t>
      </w:r>
      <w:r>
        <w:t xml:space="preserve"> </w:t>
      </w:r>
      <m:oMath>
        <m:r>
          <m:t>.98</m:t>
        </m:r>
      </m:oMath>
      <w:r>
        <w:t xml:space="preserve"> </w:t>
      </w:r>
      <w:r>
        <w:t xml:space="preserve">and the three strongest with</w:t>
      </w:r>
      <w:r>
        <w:t xml:space="preserve"> </w:t>
      </w:r>
      <m:oMath>
        <m:r>
          <m:t>.94</m:t>
        </m:r>
      </m:oMath>
      <w:r>
        <w:t xml:space="preserve">; the joint probability then declines as weaker claims are added, indicating how many of the leading effects can be reported as a jointly supported set.</w:t>
      </w:r>
    </w:p>
    <w:p>
      <w:pPr>
        <w:pStyle w:val="BodyText"/>
      </w:pPr>
      <w:r>
        <w:t xml:space="preserve">Setting</w:t>
      </w:r>
      <w:r>
        <w:t xml:space="preserve"> </w:t>
      </w:r>
      <w:r>
        <w:rPr>
          <w:rStyle w:val="VerbatimChar"/>
        </w:rPr>
        <w:t xml:space="preserve">interval = TRUE</w:t>
      </w:r>
      <w:r>
        <w:t xml:space="preserve"> </w:t>
      </w:r>
      <w:r>
        <w:t xml:space="preserve">returns simultaneous equi-tailed credible intervals instead:</w:t>
      </w:r>
    </w:p>
    <w:p>
      <w:pPr>
        <w:pStyle w:val="SourceCode"/>
      </w:pPr>
      <w:r>
        <w:rPr>
          <w:rStyle w:val="FunctionTok"/>
        </w:rPr>
        <w:t xml:space="preserve">joint</w:t>
      </w:r>
      <w:r>
        <w:rPr>
          <w:rStyle w:val="NormalTok"/>
        </w:rPr>
        <w:t xml:space="preserve">(draws_rt, </w:t>
      </w:r>
      <w:r>
        <w:rPr>
          <w:rStyle w:val="AttributeTok"/>
        </w:rPr>
        <w:t xml:space="preserve">interval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Simultaneous credible intervals (joint coverage 0.95)</w:t>
      </w:r>
      <w:r>
        <w:br/>
      </w:r>
      <w:r>
        <w:br/>
      </w:r>
      <w:r>
        <w:rPr>
          <w:rStyle w:val="VerbatimChar"/>
        </w:rPr>
        <w:t xml:space="preserve">                                 lower     est   upper</w:t>
      </w:r>
      <w:r>
        <w:br/>
      </w:r>
      <w:r>
        <w:rPr>
          <w:rStyle w:val="VerbatimChar"/>
        </w:rPr>
        <w:t xml:space="preserve">b_congruency1                  -0.1915 -0.1439 -0.0970</w:t>
      </w:r>
      <w:r>
        <w:br/>
      </w:r>
      <w:r>
        <w:rPr>
          <w:rStyle w:val="VerbatimChar"/>
        </w:rPr>
        <w:t xml:space="preserve">b_prev_cong1                   -0.0409 -0.0166  0.0066</w:t>
      </w:r>
      <w:r>
        <w:br/>
      </w:r>
      <w:r>
        <w:rPr>
          <w:rStyle w:val="VerbatimChar"/>
        </w:rPr>
        <w:t xml:space="preserve">b_trial                        -0.0101  0.0119  0.0344</w:t>
      </w:r>
      <w:r>
        <w:br/>
      </w:r>
      <w:r>
        <w:rPr>
          <w:rStyle w:val="VerbatimChar"/>
        </w:rPr>
        <w:t xml:space="preserve">b_condition1                   -0.0419  0.0063  0.0554</w:t>
      </w:r>
      <w:r>
        <w:br/>
      </w:r>
      <w:r>
        <w:rPr>
          <w:rStyle w:val="VerbatimChar"/>
        </w:rPr>
        <w:t xml:space="preserve">b_congruency1:prev_cong1       -0.0125  0.0223  0.0567</w:t>
      </w:r>
      <w:r>
        <w:br/>
      </w:r>
      <w:r>
        <w:rPr>
          <w:rStyle w:val="VerbatimChar"/>
        </w:rPr>
        <w:t xml:space="preserve">b_congruency1:trial            -0.0191 -0.0033  0.0124</w:t>
      </w:r>
      <w:r>
        <w:br/>
      </w:r>
      <w:r>
        <w:rPr>
          <w:rStyle w:val="VerbatimChar"/>
        </w:rPr>
        <w:t xml:space="preserve">b_congruency1:condition1       -0.0489 -0.0166  0.0154</w:t>
      </w:r>
      <w:r>
        <w:br/>
      </w:r>
      <w:r>
        <w:rPr>
          <w:rStyle w:val="VerbatimChar"/>
        </w:rPr>
        <w:t xml:space="preserve">b_trial:condition1             -0.0089  0.0071  0.0231</w:t>
      </w:r>
      <w:r>
        <w:br/>
      </w:r>
      <w:r>
        <w:rPr>
          <w:rStyle w:val="VerbatimChar"/>
        </w:rPr>
        <w:t xml:space="preserve">b_congruency1:trial:condition1 -0.0348 -0.0028  0.0280</w:t>
      </w:r>
    </w:p>
    <w:p>
      <w:pPr>
        <w:pStyle w:val="FirstParagraph"/>
      </w:pPr>
      <w:r>
        <w:t xml:space="preserve">Under this stricter criterion, only</w:t>
      </w:r>
      <w:r>
        <w:t xml:space="preserve"> </w:t>
      </w:r>
      <w:r>
        <w:rPr>
          <w:rStyle w:val="VerbatimChar"/>
        </w:rPr>
        <w:t xml:space="preserve">b_congruency1</w:t>
      </w:r>
      <w:r>
        <w:t xml:space="preserve"> </w:t>
      </w:r>
      <w:r>
        <w:t xml:space="preserve">excludes zero (simultaneous band</w:t>
      </w:r>
      <w:r>
        <w:t xml:space="preserve"> </w:t>
      </w:r>
      <m:oMath>
        <m:r>
          <m:rPr>
            <m:sty m:val="p"/>
          </m:rPr>
          <m:t>[</m:t>
        </m:r>
        <m:r>
          <m:rPr>
            <m:sty m:val="p"/>
          </m:rPr>
          <m:t>−</m:t>
        </m:r>
        <m:r>
          <m:t>0.19</m:t>
        </m:r>
        <m:r>
          <m:rPr>
            <m:sty m:val="p"/>
          </m:rPr>
          <m:t>,</m:t>
        </m:r>
        <m:r>
          <m:rPr>
            <m:sty m:val="p"/>
          </m:rPr>
          <m:t>−</m:t>
        </m:r>
        <m:r>
          <m:t>0.10</m:t>
        </m:r>
        <m:r>
          <m:rPr>
            <m:sty m:val="p"/>
          </m:rPr>
          <m:t>]</m:t>
        </m:r>
      </m:oMath>
      <w:r>
        <w:t xml:space="preserve">).</w:t>
      </w:r>
    </w:p>
    <w:bookmarkEnd w:id="89"/>
    <w:bookmarkStart w:id="90" w:name="discussion"/>
    <w:p>
      <w:pPr>
        <w:pStyle w:val="Heading1"/>
      </w:pPr>
      <w:r>
        <w:t xml:space="preserve">Discussion</w:t>
      </w:r>
    </w:p>
    <w:p>
      <w:pPr>
        <w:pStyle w:val="FirstParagraph"/>
      </w:pPr>
      <w:r>
        <w:t xml:space="preserve">The probability of direction (</w:t>
      </w:r>
      <m:oMath>
        <m:r>
          <m:t>p</m:t>
        </m:r>
        <m:r>
          <m:t>d</m:t>
        </m:r>
      </m:oMath>
      <w:r>
        <w:t xml:space="preserve">) is the posterior mass on the data-favored side of a reference null value, equivalently, the larger of the two one-sided posterior probabilities. When it is thresholded at a fixed cutoff, each directional claim is evaluated at prior odds of one under a symmetric within-model prior, which for a family of</w:t>
      </w:r>
      <w:r>
        <w:t xml:space="preserve"> </w:t>
      </w:r>
      <m:oMath>
        <m:r>
          <m:t>m</m:t>
        </m:r>
      </m:oMath>
      <w:r>
        <w:t xml:space="preserve"> </w:t>
      </w:r>
      <w:r>
        <w:t xml:space="preserve">claims implies near-certainty that at least one of them is correct. Building on</w:t>
      </w:r>
      <w:r>
        <w:t xml:space="preserve"> </w:t>
      </w:r>
      <w:r>
        <w:t xml:space="preserve">Jeffreys (</w:t>
      </w:r>
      <w:hyperlink w:anchor="ref-Jeffreys1938">
        <w:r>
          <w:rPr>
            <w:rStyle w:val="Hyperlink"/>
          </w:rPr>
          <w:t xml:space="preserve">1938</w:t>
        </w:r>
      </w:hyperlink>
      <w:r>
        <w:t xml:space="preserve">; see also</w:t>
      </w:r>
      <w:r>
        <w:t xml:space="preserve"> </w:t>
      </w:r>
      <w:hyperlink w:anchor="ref-Westfall1997">
        <w:r>
          <w:rPr>
            <w:rStyle w:val="Hyperlink"/>
          </w:rPr>
          <w:t xml:space="preserve">Westfall et al., 1997</w:t>
        </w:r>
      </w:hyperlink>
      <w:r>
        <w:t xml:space="preserve">)</w:t>
      </w:r>
      <w:r>
        <w:t xml:space="preserve"> </w:t>
      </w:r>
      <w:r>
        <w:t xml:space="preserve">and on Bayesian approaches to FDR control</w:t>
      </w:r>
      <w:r>
        <w:t xml:space="preserve"> </w:t>
      </w:r>
      <w:r>
        <w:t xml:space="preserve">(</w:t>
      </w:r>
      <w:hyperlink w:anchor="ref-Abraham2022">
        <w:r>
          <w:rPr>
            <w:rStyle w:val="Hyperlink"/>
          </w:rPr>
          <w:t xml:space="preserve">Abraham et al., 2022</w:t>
        </w:r>
      </w:hyperlink>
      <w:r>
        <w:t xml:space="preserve">;</w:t>
      </w:r>
      <w:r>
        <w:t xml:space="preserve"> </w:t>
      </w:r>
      <w:hyperlink w:anchor="ref-Efron2001">
        <w:r>
          <w:rPr>
            <w:rStyle w:val="Hyperlink"/>
          </w:rPr>
          <w:t xml:space="preserve">Efron et al., 2001</w:t>
        </w:r>
      </w:hyperlink>
      <w:r>
        <w:t xml:space="preserve">;</w:t>
      </w:r>
      <w:r>
        <w:t xml:space="preserve"> </w:t>
      </w:r>
      <w:hyperlink w:anchor="ref-Guo2010">
        <w:r>
          <w:rPr>
            <w:rStyle w:val="Hyperlink"/>
          </w:rPr>
          <w:t xml:space="preserve">Guo &amp; Heitjan, 2010</w:t>
        </w:r>
      </w:hyperlink>
      <w:r>
        <w:t xml:space="preserve">;</w:t>
      </w:r>
      <w:r>
        <w:t xml:space="preserve"> </w:t>
      </w:r>
      <w:hyperlink w:anchor="ref-Scott2006">
        <w:r>
          <w:rPr>
            <w:rStyle w:val="Hyperlink"/>
          </w:rPr>
          <w:t xml:space="preserve">Scott &amp; Berger, 2006</w:t>
        </w:r>
      </w:hyperlink>
      <w:r>
        <w:t xml:space="preserve">;</w:t>
      </w:r>
      <w:r>
        <w:t xml:space="preserve"> </w:t>
      </w:r>
      <w:hyperlink w:anchor="ref-Scott2010">
        <w:r>
          <w:rPr>
            <w:rStyle w:val="Hyperlink"/>
          </w:rPr>
          <w:t xml:space="preserve">Scott &amp; Berger, 2010</w:t>
        </w:r>
      </w:hyperlink>
      <w:r>
        <w:t xml:space="preserve">;</w:t>
      </w:r>
      <w:r>
        <w:t xml:space="preserve"> </w:t>
      </w:r>
      <w:hyperlink w:anchor="ref-Stephens2017">
        <w:r>
          <w:rPr>
            <w:rStyle w:val="Hyperlink"/>
          </w:rPr>
          <w:t xml:space="preserve">Stephens, 2017</w:t>
        </w:r>
      </w:hyperlink>
      <w:r>
        <w:t xml:space="preserve">;</w:t>
      </w:r>
      <w:r>
        <w:t xml:space="preserve"> </w:t>
      </w:r>
      <w:hyperlink w:anchor="ref-Storey2002">
        <w:r>
          <w:rPr>
            <w:rStyle w:val="Hyperlink"/>
          </w:rPr>
          <w:t xml:space="preserve">Storey, 2002</w:t>
        </w:r>
      </w:hyperlink>
      <w:r>
        <w:t xml:space="preserve">,</w:t>
      </w:r>
      <w:r>
        <w:t xml:space="preserve"> </w:t>
      </w:r>
      <w:hyperlink w:anchor="ref-Storey2003">
        <w:r>
          <w:rPr>
            <w:rStyle w:val="Hyperlink"/>
          </w:rPr>
          <w:t xml:space="preserve">2003</w:t>
        </w:r>
      </w:hyperlink>
      <w:r>
        <w:t xml:space="preserve">)</w:t>
      </w:r>
      <w:r>
        <w:t xml:space="preserve">, the procedure presented here makes explicit, through a single quantity,</w:t>
      </w:r>
      <w:r>
        <w:t xml:space="preserve"> </w:t>
      </w:r>
      <m:oMath>
        <m:sSub>
          <m:e>
            <m:r>
              <m:t>π</m:t>
            </m:r>
          </m:e>
          <m:sub>
            <m:r>
              <m:t>0</m:t>
            </m:r>
          </m:sub>
        </m:sSub>
      </m:oMath>
      <w:r>
        <w:t xml:space="preserve">, how far the prior odds of each claim may be lowered, and translates it into the threshold</w:t>
      </w:r>
      <w:r>
        <w:t xml:space="preserve"> </w:t>
      </w:r>
      <m:oMath>
        <m:sSup>
          <m:e>
            <m:r>
              <m:t>c</m:t>
            </m:r>
          </m:e>
          <m:sup>
            <m:r>
              <m:rPr>
                <m:sty m:val="p"/>
              </m:rPr>
              <m:t>*</m:t>
            </m:r>
          </m:sup>
        </m:sSup>
      </m:oMath>
      <w:r>
        <w:t xml:space="preserve"> </w:t>
      </w:r>
      <w:r>
        <w:t xml:space="preserve">or, equivalently, into</w:t>
      </w:r>
      <w:r>
        <w:t xml:space="preserve"> </w:t>
      </w:r>
      <m:oMath>
        <m:r>
          <m:t>p</m:t>
        </m:r>
        <m:sSub>
          <m:e>
            <m:r>
              <m:t>d</m:t>
            </m:r>
          </m:e>
          <m:sub>
            <m:r>
              <m:rPr>
                <m:nor/>
                <m:sty m:val="p"/>
              </m:rPr>
              <m:t>adj</m:t>
            </m:r>
          </m:sub>
        </m:sSub>
      </m:oMath>
      <w:r>
        <w:t xml:space="preserve">, the posterior probability of the claimed direction under the most skeptical prior, compared with</w:t>
      </w:r>
      <w:r>
        <w:t xml:space="preserve"> </w:t>
      </w:r>
      <m:oMath>
        <m:r>
          <m:t>c</m:t>
        </m:r>
      </m:oMath>
      <w:r>
        <w:t xml:space="preserve">.</w:t>
      </w:r>
    </w:p>
    <w:p>
      <w:pPr>
        <w:pStyle w:val="BodyText"/>
      </w:pPr>
      <w:r>
        <w:t xml:space="preserve">Estimation uses the posterior under the researcher’s prior;</w:t>
      </w:r>
      <w:r>
        <w:t xml:space="preserve"> </w:t>
      </w:r>
      <m:oMath>
        <m:sSub>
          <m:e>
            <m:r>
              <m:t>π</m:t>
            </m:r>
          </m:e>
          <m:sub>
            <m:r>
              <m:t>0</m:t>
            </m:r>
          </m:sub>
        </m:sSub>
      </m:oMath>
      <w:r>
        <w:t xml:space="preserve"> </w:t>
      </w:r>
      <w:r>
        <w:t xml:space="preserve">affects only which claims are made, and the probability</w:t>
      </w:r>
      <w:r>
        <w:t xml:space="preserve"> </w:t>
      </w:r>
      <m:oMath>
        <m:r>
          <m:t>p</m:t>
        </m:r>
        <m:sSub>
          <m:e>
            <m:r>
              <m:t>d</m:t>
            </m:r>
          </m:e>
          <m:sub>
            <m:r>
              <m:rPr>
                <m:nor/>
                <m:sty m:val="p"/>
              </m:rPr>
              <m:t>adj</m:t>
            </m:r>
          </m:sub>
        </m:sSub>
      </m:oMath>
      <w:r>
        <w:t xml:space="preserve"> </w:t>
      </w:r>
      <w:r>
        <w:t xml:space="preserve">reported for them, through the class of priors under which a claim must hold. The prior in this class that is most skeptical of a claim moves mass to the other side of</w:t>
      </w:r>
      <w:r>
        <w:t xml:space="preserve"> </w:t>
      </w:r>
      <m:oMath>
        <m:r>
          <m:t>0</m:t>
        </m:r>
      </m:oMath>
      <w:r>
        <w:t xml:space="preserve"> </w:t>
      </w:r>
      <w:r>
        <w:t xml:space="preserve">rather than to</w:t>
      </w:r>
      <w:r>
        <w:t xml:space="preserve"> </w:t>
      </w:r>
      <m:oMath>
        <m:r>
          <m:t>0</m:t>
        </m:r>
      </m:oMath>
      <w:r>
        <w:t xml:space="preserve"> </w:t>
      </w:r>
      <w:r>
        <w:t xml:space="preserve">itself and is not suited to estimation. A single prior that gives prior probability</w:t>
      </w:r>
      <w:r>
        <w:t xml:space="preserve"> </w:t>
      </w:r>
      <m:oMath>
        <m:sSub>
          <m:e>
            <m:r>
              <m:t>π</m:t>
            </m:r>
          </m:e>
          <m:sub>
            <m:r>
              <m:t>0</m:t>
            </m:r>
          </m:sub>
        </m:sSub>
      </m:oMath>
      <w:r>
        <w:t xml:space="preserve"> </w:t>
      </w:r>
      <w:r>
        <w:t xml:space="preserve">to the complement of a claim in either direction,</w:t>
      </w:r>
      <w:r>
        <w:t xml:space="preserve"> </w:t>
      </w:r>
      <m:oMath>
        <m:r>
          <m:t>0</m:t>
        </m:r>
      </m:oMath>
      <w:r>
        <w:t xml:space="preserve"> </w:t>
      </w:r>
      <w:r>
        <w:t xml:space="preserve">together with the opposite sign, must place mass at</w:t>
      </w:r>
      <w:r>
        <w:t xml:space="preserve"> </w:t>
      </w:r>
      <m:oMath>
        <m:r>
          <m:t>0</m:t>
        </m:r>
      </m:oMath>
      <w:r>
        <w:t xml:space="preserve">, as the two-group, or spike-and-slab, prior does</w:t>
      </w:r>
      <w:r>
        <w:t xml:space="preserve"> </w:t>
      </w:r>
      <w:r>
        <w:t xml:space="preserve">(</w:t>
      </w:r>
      <w:hyperlink w:anchor="ref-Scott2006">
        <w:r>
          <w:rPr>
            <w:rStyle w:val="Hyperlink"/>
          </w:rPr>
          <w:t xml:space="preserve">Scott &amp; Berger, 2006</w:t>
        </w:r>
      </w:hyperlink>
      <w:r>
        <w:t xml:space="preserve">;</w:t>
      </w:r>
      <w:r>
        <w:t xml:space="preserve"> </w:t>
      </w:r>
      <w:hyperlink w:anchor="ref-Scott2010">
        <w:r>
          <w:rPr>
            <w:rStyle w:val="Hyperlink"/>
          </w:rPr>
          <w:t xml:space="preserve">Scott &amp; Berger, 2010</w:t>
        </w:r>
      </w:hyperlink>
      <w:r>
        <w:t xml:space="preserve">)</w:t>
      </w:r>
      <w:r>
        <w:t xml:space="preserve">. Such a prior does not require a direction, but it requires a proper prior on the non-null effects, and the resulting Bayes factors depend on the scale of that prior and can be difficult to estimate in complex models</w:t>
      </w:r>
      <w:r>
        <w:t xml:space="preserve"> </w:t>
      </w:r>
      <w:r>
        <w:t xml:space="preserve">(</w:t>
      </w:r>
      <w:hyperlink w:anchor="ref-Schad2023">
        <w:r>
          <w:rPr>
            <w:rStyle w:val="Hyperlink"/>
          </w:rPr>
          <w:t xml:space="preserve">Schad et al., 2023</w:t>
        </w:r>
      </w:hyperlink>
      <w:r>
        <w:t xml:space="preserve">)</w:t>
      </w:r>
      <w:r>
        <w:t xml:space="preserve">.</w:t>
      </w:r>
    </w:p>
    <w:p>
      <w:pPr>
        <w:pStyle w:val="BodyText"/>
      </w:pPr>
      <w:r>
        <w:t xml:space="preserve">Specifying</w:t>
      </w:r>
      <w:r>
        <w:t xml:space="preserve"> </w:t>
      </w:r>
      <m:oMath>
        <m:sSub>
          <m:e>
            <m:r>
              <m:t>π</m:t>
            </m:r>
          </m:e>
          <m:sub>
            <m:r>
              <m:t>0</m:t>
            </m:r>
          </m:sub>
        </m:sSub>
      </m:oMath>
      <w:r>
        <w:t xml:space="preserve"> </w:t>
      </w:r>
      <w:r>
        <w:t xml:space="preserve">helps in two situations. Researchers who use diffuse within-model priors can take into account how many null effects the family may contain, without placing informative priors on individual parameters. Researchers who consider prior odds of one appropriate can state this choice by setting</w:t>
      </w:r>
      <w:r>
        <w:t xml:space="preserve"> </w:t>
      </w:r>
      <m:oMath>
        <m:sSub>
          <m:e>
            <m:r>
              <m:t>π</m:t>
            </m:r>
          </m:e>
          <m:sub>
            <m:r>
              <m:t>0</m:t>
            </m:r>
          </m:sub>
        </m:sSub>
        <m:r>
          <m:rPr>
            <m:sty m:val="p"/>
          </m:rPr>
          <m:t>=</m:t>
        </m:r>
        <m:r>
          <m:t>.5</m:t>
        </m:r>
      </m:oMath>
      <w:r>
        <w:t xml:space="preserve">.</w:t>
      </w:r>
    </w:p>
    <w:p>
      <w:pPr>
        <w:pStyle w:val="BodyText"/>
      </w:pPr>
      <w:r>
        <w:t xml:space="preserve">Related corrections have been implemented for specific testing contexts, such as post-hoc tests in JASP</w:t>
      </w:r>
      <w:r>
        <w:t xml:space="preserve"> </w:t>
      </w:r>
      <w:r>
        <w:t xml:space="preserve">(</w:t>
      </w:r>
      <w:hyperlink w:anchor="ref-deJong2019">
        <w:r>
          <w:rPr>
            <w:rStyle w:val="Hyperlink"/>
          </w:rPr>
          <w:t xml:space="preserve">de Jong, 2019</w:t>
        </w:r>
      </w:hyperlink>
      <w:r>
        <w:t xml:space="preserve">;</w:t>
      </w:r>
      <w:r>
        <w:t xml:space="preserve"> </w:t>
      </w:r>
      <w:hyperlink w:anchor="ref-Bergh2020">
        <w:r>
          <w:rPr>
            <w:rStyle w:val="Hyperlink"/>
          </w:rPr>
          <w:t xml:space="preserve">van den Bergh et al., 2020</w:t>
        </w:r>
      </w:hyperlink>
      <w:r>
        <w:t xml:space="preserve">)</w:t>
      </w:r>
      <w:r>
        <w:t xml:space="preserve">. The present procedure extends this logic to</w:t>
      </w:r>
      <w:r>
        <w:t xml:space="preserve"> </w:t>
      </w:r>
      <m:oMath>
        <m:r>
          <m:t>p</m:t>
        </m:r>
        <m:r>
          <m:t>d</m:t>
        </m:r>
      </m:oMath>
      <w:r>
        <w:t xml:space="preserve"> </w:t>
      </w:r>
      <w:r>
        <w:t xml:space="preserve">and provides a general-purpose implementation for applied use, applicable directly to posterior draws or any posterior-derived</w:t>
      </w:r>
      <w:r>
        <w:t xml:space="preserve"> </w:t>
      </w:r>
      <m:oMath>
        <m:r>
          <m:t>p</m:t>
        </m:r>
        <m:r>
          <m:t>d</m:t>
        </m:r>
      </m:oMath>
      <w:r>
        <w:t xml:space="preserve">, including cases where</w:t>
      </w:r>
      <w:r>
        <w:t xml:space="preserve"> </w:t>
      </w:r>
      <m:oMath>
        <m:r>
          <m:t>p</m:t>
        </m:r>
        <m:r>
          <m:t>d</m:t>
        </m:r>
      </m:oMath>
      <w:r>
        <w:t xml:space="preserve"> </w:t>
      </w:r>
      <w:r>
        <w:t xml:space="preserve">values arise from multiple separate analyses within the same manuscript</w:t>
      </w:r>
      <w:r>
        <w:t xml:space="preserve"> </w:t>
      </w:r>
      <w:r>
        <w:t xml:space="preserve">(</w:t>
      </w:r>
      <w:hyperlink w:anchor="ref-Philippe2021">
        <w:r>
          <w:rPr>
            <w:rStyle w:val="Hyperlink"/>
          </w:rPr>
          <w:t xml:space="preserve">Blondé et al., 2021</w:t>
        </w:r>
      </w:hyperlink>
      <w:r>
        <w:t xml:space="preserve">;</w:t>
      </w:r>
      <w:r>
        <w:t xml:space="preserve"> </w:t>
      </w:r>
      <w:hyperlink w:anchor="ref-Ciranka2026">
        <w:r>
          <w:rPr>
            <w:rStyle w:val="Hyperlink"/>
          </w:rPr>
          <w:t xml:space="preserve">Ciranka et al., 2026</w:t>
        </w:r>
      </w:hyperlink>
      <w:r>
        <w:t xml:space="preserve">)</w:t>
      </w:r>
      <w:r>
        <w:t xml:space="preserve">. This raises the question of how to define the hypothesis family to which the correction applies</w:t>
      </w:r>
      <w:r>
        <w:t xml:space="preserve"> </w:t>
      </w:r>
      <w:r>
        <w:t xml:space="preserve">(</w:t>
      </w:r>
      <w:hyperlink w:anchor="ref-Hochberg1987">
        <w:r>
          <w:rPr>
            <w:rStyle w:val="Hyperlink"/>
          </w:rPr>
          <w:t xml:space="preserve">Hochberg &amp; Tamhane, 1987</w:t>
        </w:r>
      </w:hyperlink>
      <w:r>
        <w:t xml:space="preserve">;</w:t>
      </w:r>
      <w:r>
        <w:t xml:space="preserve"> </w:t>
      </w:r>
      <w:hyperlink w:anchor="ref-Shaffer1995">
        <w:r>
          <w:rPr>
            <w:rStyle w:val="Hyperlink"/>
          </w:rPr>
          <w:t xml:space="preserve">Shaffer, 1995</w:t>
        </w:r>
      </w:hyperlink>
      <w:r>
        <w:t xml:space="preserve">)</w:t>
      </w:r>
      <w:r>
        <w:t xml:space="preserve">. Although no universal consensus exists regarding what constitutes a family, we favor the criteria proposed by</w:t>
      </w:r>
      <w:r>
        <w:t xml:space="preserve"> </w:t>
      </w:r>
      <w:r>
        <w:t xml:space="preserve">Westfall et al. (</w:t>
      </w:r>
      <w:hyperlink w:anchor="ref-Westfall2011">
        <w:r>
          <w:rPr>
            <w:rStyle w:val="Hyperlink"/>
          </w:rPr>
          <w:t xml:space="preserve">2011</w:t>
        </w:r>
      </w:hyperlink>
      <w:r>
        <w:t xml:space="preserve">)</w:t>
      </w:r>
      <w:r>
        <w:t xml:space="preserve">, where a family is a set of questions that</w:t>
      </w:r>
      <w:r>
        <w:t xml:space="preserve"> </w:t>
      </w:r>
      <w:r>
        <w:rPr>
          <w:i/>
          <w:iCs/>
        </w:rPr>
        <w:t xml:space="preserve">“form a natural and coherent unit, [are] considered simultaneously in the decision-making process, and/or present a set over which one plays pick-the-winner”</w:t>
      </w:r>
      <w:r>
        <w:t xml:space="preserve">. Regardless of the chosen definition, authors should clearly specify their chosen family and explain how it serves the study’s substantive goals.</w:t>
      </w:r>
    </w:p>
    <w:p>
      <w:pPr>
        <w:pStyle w:val="BodyText"/>
      </w:pPr>
      <w:r>
        <w:t xml:space="preserve">We further recommend that researchers justify their choice of</w:t>
      </w:r>
      <w:r>
        <w:t xml:space="preserve"> </w:t>
      </w:r>
      <m:oMath>
        <m:sSub>
          <m:e>
            <m:r>
              <m:t>π</m:t>
            </m:r>
          </m:e>
          <m:sub>
            <m:r>
              <m:t>0</m:t>
            </m:r>
          </m:sub>
        </m:sSub>
      </m:oMath>
      <w:r>
        <w:t xml:space="preserve"> </w:t>
      </w:r>
      <w:r>
        <w:t xml:space="preserve">by drawing on theory, expert elicitation, or domain expertise</w:t>
      </w:r>
      <w:r>
        <w:t xml:space="preserve"> </w:t>
      </w:r>
      <w:r>
        <w:t xml:space="preserve">(</w:t>
      </w:r>
      <w:hyperlink w:anchor="ref-Hagan2019">
        <w:r>
          <w:rPr>
            <w:rStyle w:val="Hyperlink"/>
          </w:rPr>
          <w:t xml:space="preserve">O’Hagan, 2019</w:t>
        </w:r>
      </w:hyperlink>
      <w:r>
        <w:t xml:space="preserve">)</w:t>
      </w:r>
      <w:r>
        <w:t xml:space="preserve">, and report this justification. If the parameters in the family are exchangeable,</w:t>
      </w:r>
      <w:r>
        <w:t xml:space="preserve"> </w:t>
      </w:r>
      <m:oMath>
        <m:sSub>
          <m:e>
            <m:r>
              <m:t>π</m:t>
            </m:r>
          </m:e>
          <m:sub>
            <m:r>
              <m:t>0</m:t>
            </m:r>
          </m:sub>
        </m:sSub>
      </m:oMath>
      <w:r>
        <w:t xml:space="preserve"> </w:t>
      </w:r>
      <w:r>
        <w:t xml:space="preserve">is also an upper bound on the expected proportion of parameters in the family that are not on the claimed side, null effects included, so a judgment about how many null effects the family could plausibly contain can guide its choice. The simulations support this choice, since the FDR was held low whenever</w:t>
      </w:r>
      <w:r>
        <w:t xml:space="preserve"> </w:t>
      </w:r>
      <m:oMath>
        <m:sSub>
          <m:e>
            <m:r>
              <m:t>π</m:t>
            </m:r>
          </m:e>
          <m:sub>
            <m:r>
              <m:t>0</m:t>
            </m:r>
          </m:sub>
        </m:sSub>
      </m:oMath>
      <w:r>
        <w:t xml:space="preserve"> </w:t>
      </w:r>
      <w:r>
        <w:t xml:space="preserve">was at least the actual proportion of null effects,</w:t>
      </w:r>
      <w:r>
        <w:t xml:space="preserve"> </w:t>
      </w:r>
      <m:oMath>
        <m:sSub>
          <m:e>
            <m:r>
              <m:t>π</m:t>
            </m:r>
          </m:e>
          <m:sub>
            <m:r>
              <m:rPr>
                <m:nor/>
                <m:sty m:val="p"/>
              </m:rPr>
              <m:t>null</m:t>
            </m:r>
          </m:sub>
        </m:sSub>
      </m:oMath>
      <w:r>
        <w:t xml:space="preserve">. This value does not depend on the size of the family. If the aim is instead to limit the probability of any wrong claim in the family, and the parameters are independent a priori,</w:t>
      </w:r>
      <w:r>
        <w:t xml:space="preserve"> </w:t>
      </w:r>
      <m:oMath>
        <m:sSub>
          <m:e>
            <m:r>
              <m:t>π</m:t>
            </m:r>
          </m:e>
          <m:sub>
            <m:r>
              <m:t>0</m:t>
            </m:r>
          </m:sub>
        </m:sSub>
      </m:oMath>
      <w:r>
        <w:t xml:space="preserve"> </w:t>
      </w:r>
      <w:r>
        <w:t xml:space="preserve">can be set through</w:t>
      </w:r>
      <w:r>
        <w:t xml:space="preserve"> </w:t>
      </w:r>
      <m:oMath>
        <m:r>
          <m:rPr>
            <m:sty m:val="p"/>
          </m:rPr>
          <m:t>Pr</m:t>
        </m:r>
        <m:r>
          <m:rPr>
            <m:sty m:val="p"/>
          </m:rPr>
          <m:t>(</m:t>
        </m:r>
        <m:sSub>
          <m:e>
            <m:r>
              <m:t>H</m:t>
            </m:r>
          </m:e>
          <m:sub>
            <m:r>
              <m:t>0</m:t>
            </m:r>
          </m:sub>
        </m:sSub>
        <m:r>
          <m:rPr>
            <m:sty m:val="p"/>
          </m:rPr>
          <m:t>)</m:t>
        </m:r>
      </m:oMath>
      <w:r>
        <w:t xml:space="preserve">, the largest prior probability that no claim in the family is correct, so that</w:t>
      </w:r>
      <w:r>
        <w:t xml:space="preserve"> </w:t>
      </w:r>
      <m:oMath>
        <m:sSub>
          <m:e>
            <m:r>
              <m:t>π</m:t>
            </m:r>
          </m:e>
          <m:sub>
            <m:r>
              <m:t>0</m:t>
            </m:r>
          </m:sub>
        </m:sSub>
        <m:r>
          <m:rPr>
            <m:sty m:val="p"/>
          </m:rPr>
          <m:t>=</m:t>
        </m:r>
        <m:r>
          <m:rPr>
            <m:sty m:val="p"/>
          </m:rPr>
          <m:t>Pr</m:t>
        </m:r>
        <m:r>
          <m:rPr>
            <m:sty m:val="p"/>
          </m:rPr>
          <m:t>(</m:t>
        </m:r>
        <m:sSub>
          <m:e>
            <m:r>
              <m:t>H</m:t>
            </m:r>
          </m:e>
          <m:sub>
            <m:r>
              <m:t>0</m:t>
            </m:r>
          </m:sub>
        </m:sSub>
        <m:sSup>
          <m:e>
            <m:r>
              <m:rPr>
                <m:sty m:val="p"/>
              </m:rPr>
              <m:t>)</m:t>
            </m:r>
          </m:e>
          <m:sup>
            <m:r>
              <m:t>1</m:t>
            </m:r>
            <m:r>
              <m:rPr>
                <m:sty m:val="p"/>
              </m:rPr>
              <m:t>/</m:t>
            </m:r>
            <m:r>
              <m:t>m</m:t>
            </m:r>
          </m:sup>
        </m:sSup>
      </m:oMath>
      <w:r>
        <w:t xml:space="preserve"> </w:t>
      </w:r>
      <w:r>
        <w:t xml:space="preserve">increases with</w:t>
      </w:r>
      <w:r>
        <w:t xml:space="preserve"> </w:t>
      </w:r>
      <m:oMath>
        <m:r>
          <m:t>m</m:t>
        </m:r>
      </m:oMath>
      <w:r>
        <w:t xml:space="preserve">, as the simultaneous credible band does implicitly. For applied reporting, we recommend stating</w:t>
      </w:r>
      <w:r>
        <w:t xml:space="preserve"> </w:t>
      </w:r>
      <m:oMath>
        <m:sSub>
          <m:e>
            <m:r>
              <m:t>π</m:t>
            </m:r>
          </m:e>
          <m:sub>
            <m:r>
              <m:t>0</m:t>
            </m:r>
          </m:sub>
        </m:sSub>
      </m:oMath>
      <w:r>
        <w:t xml:space="preserve">,</w:t>
      </w:r>
      <w:r>
        <w:t xml:space="preserve"> </w:t>
      </w:r>
      <m:oMath>
        <m:r>
          <m:t>m</m:t>
        </m:r>
      </m:oMath>
      <w:r>
        <w:t xml:space="preserve">, the implied</w:t>
      </w:r>
      <w:r>
        <w:t xml:space="preserve"> </w:t>
      </w:r>
      <m:oMath>
        <m:r>
          <m:rPr>
            <m:sty m:val="p"/>
          </m:rPr>
          <m:t>Pr</m:t>
        </m:r>
        <m:r>
          <m:rPr>
            <m:sty m:val="p"/>
          </m:rPr>
          <m:t>(</m:t>
        </m:r>
        <m:sSub>
          <m:e>
            <m:r>
              <m:t>H</m:t>
            </m:r>
          </m:e>
          <m:sub>
            <m:r>
              <m:t>0</m:t>
            </m:r>
          </m:sub>
        </m:sSub>
        <m:r>
          <m:rPr>
            <m:sty m:val="p"/>
          </m:rPr>
          <m:t>)</m:t>
        </m:r>
        <m:r>
          <m:rPr>
            <m:sty m:val="p"/>
          </m:rPr>
          <m:t>=</m:t>
        </m:r>
        <m:sSubSup>
          <m:e>
            <m:r>
              <m:t>π</m:t>
            </m:r>
          </m:e>
          <m:sub>
            <m:r>
              <m:t>0</m:t>
            </m:r>
          </m:sub>
          <m:sup>
            <m:r>
              <m:t>m</m:t>
            </m:r>
          </m:sup>
        </m:sSubSup>
      </m:oMath>
      <w:r>
        <w:t xml:space="preserve">, and</w:t>
      </w:r>
      <w:r>
        <w:t xml:space="preserve"> </w:t>
      </w:r>
      <m:oMath>
        <m:sSup>
          <m:e>
            <m:r>
              <m:t>c</m:t>
            </m:r>
          </m:e>
          <m:sup>
            <m:r>
              <m:rPr>
                <m:sty m:val="p"/>
              </m:rPr>
              <m:t>*</m:t>
            </m:r>
          </m:sup>
        </m:sSup>
      </m:oMath>
      <w:r>
        <w:t xml:space="preserve">, together with the</w:t>
      </w:r>
      <w:r>
        <w:t xml:space="preserve"> </w:t>
      </w:r>
      <m:oMath>
        <m:r>
          <m:t>p</m:t>
        </m:r>
        <m:r>
          <m:t>d</m:t>
        </m:r>
      </m:oMath>
      <w:r>
        <w:t xml:space="preserve"> </w:t>
      </w:r>
      <w:r>
        <w:t xml:space="preserve">and</w:t>
      </w:r>
      <w:r>
        <w:t xml:space="preserve"> </w:t>
      </w:r>
      <m:oMath>
        <m:r>
          <m:t>p</m:t>
        </m:r>
        <m:sSub>
          <m:e>
            <m:r>
              <m:t>d</m:t>
            </m:r>
          </m:e>
          <m:sub>
            <m:r>
              <m:rPr>
                <m:nor/>
                <m:sty m:val="p"/>
              </m:rPr>
              <m:t>adj</m:t>
            </m:r>
          </m:sub>
        </m:sSub>
      </m:oMath>
      <w:r>
        <w:t xml:space="preserve"> </w:t>
      </w:r>
      <w:r>
        <w:t xml:space="preserve">of every parameter in the family, so that readers can apply the threshold implied by a different value of</w:t>
      </w:r>
      <w:r>
        <w:t xml:space="preserve"> </w:t>
      </w:r>
      <m:oMath>
        <m:sSub>
          <m:e>
            <m:r>
              <m:t>π</m:t>
            </m:r>
          </m:e>
          <m:sub>
            <m:r>
              <m:t>0</m:t>
            </m:r>
          </m:sub>
        </m:sSub>
      </m:oMath>
      <w:r>
        <w:t xml:space="preserve">. When the appropriate value is uncertain, results can be reported for several values of</w:t>
      </w:r>
      <w:r>
        <w:t xml:space="preserve"> </w:t>
      </w:r>
      <m:oMath>
        <m:sSub>
          <m:e>
            <m:r>
              <m:t>π</m:t>
            </m:r>
          </m:e>
          <m:sub>
            <m:r>
              <m:t>0</m:t>
            </m:r>
          </m:sub>
        </m:sSub>
      </m:oMath>
      <w:r>
        <w:t xml:space="preserve">.</w:t>
      </w:r>
    </w:p>
    <w:p>
      <w:pPr>
        <w:pStyle w:val="BodyText"/>
      </w:pPr>
      <w:r>
        <w:t xml:space="preserve">Although our approach derives from the Bayesian FDR literature, it differs from it in one respect: there, the proportion of null effects is typically given a prior distribution and estimated from the data, whereas here the user specifies</w:t>
      </w:r>
      <w:r>
        <w:t xml:space="preserve"> </w:t>
      </w:r>
      <m:oMath>
        <m:sSub>
          <m:e>
            <m:r>
              <m:t>π</m:t>
            </m:r>
          </m:e>
          <m:sub>
            <m:r>
              <m:t>0</m:t>
            </m:r>
          </m:sub>
        </m:sSub>
      </m:oMath>
      <w:r>
        <w:t xml:space="preserve">, for instance from a judgment about that proportion. The error properties of the rule therefore depend on how the specified</w:t>
      </w:r>
      <w:r>
        <w:t xml:space="preserve"> </w:t>
      </w:r>
      <m:oMath>
        <m:sSub>
          <m:e>
            <m:r>
              <m:t>π</m:t>
            </m:r>
          </m:e>
          <m:sub>
            <m:r>
              <m:t>0</m:t>
            </m:r>
          </m:sub>
        </m:sSub>
      </m:oMath>
      <w:r>
        <w:t xml:space="preserve"> </w:t>
      </w:r>
      <w:r>
        <w:t xml:space="preserve">relates to the actual proportion of null effects: a value below it increases the error rates gradually, while a larger value lowers them at the cost of power. Estimating the proportion of null effects from the data requires large families</w:t>
      </w:r>
      <w:r>
        <w:t xml:space="preserve"> </w:t>
      </w:r>
      <w:r>
        <w:t xml:space="preserve">(</w:t>
      </w:r>
      <w:hyperlink w:anchor="ref-Efron2001">
        <w:r>
          <w:rPr>
            <w:rStyle w:val="Hyperlink"/>
          </w:rPr>
          <w:t xml:space="preserve">Efron et al., 2001</w:t>
        </w:r>
      </w:hyperlink>
      <w:r>
        <w:t xml:space="preserve">;</w:t>
      </w:r>
      <w:r>
        <w:t xml:space="preserve"> </w:t>
      </w:r>
      <w:hyperlink w:anchor="ref-Storey2002">
        <w:r>
          <w:rPr>
            <w:rStyle w:val="Hyperlink"/>
          </w:rPr>
          <w:t xml:space="preserve">Storey, 2002</w:t>
        </w:r>
      </w:hyperlink>
      <w:r>
        <w:t xml:space="preserve">)</w:t>
      </w:r>
      <w:r>
        <w:t xml:space="preserve">, larger than those typical of psychological studies. A researcher may also deliberately choose a larger</w:t>
      </w:r>
      <w:r>
        <w:t xml:space="preserve"> </w:t>
      </w:r>
      <m:oMath>
        <m:sSub>
          <m:e>
            <m:r>
              <m:t>π</m:t>
            </m:r>
          </m:e>
          <m:sub>
            <m:r>
              <m:t>0</m:t>
            </m:r>
          </m:sub>
        </m:sSub>
      </m:oMath>
      <w:r>
        <w:t xml:space="preserve">, reducing Type I errors at the cost of Type II errors.</w:t>
      </w:r>
    </w:p>
    <w:p>
      <w:pPr>
        <w:pStyle w:val="BodyText"/>
      </w:pPr>
      <w:r>
        <w:t xml:space="preserve">Several limitations warrant attention. First, applying the same</w:t>
      </w:r>
      <w:r>
        <w:t xml:space="preserve"> </w:t>
      </w:r>
      <m:oMath>
        <m:sSub>
          <m:e>
            <m:r>
              <m:t>π</m:t>
            </m:r>
          </m:e>
          <m:sub>
            <m:r>
              <m:t>0</m:t>
            </m:r>
          </m:sub>
        </m:sSub>
      </m:oMath>
      <w:r>
        <w:t xml:space="preserve"> </w:t>
      </w:r>
      <w:r>
        <w:t xml:space="preserve">to every test assumes that the</w:t>
      </w:r>
      <w:r>
        <w:t xml:space="preserve"> </w:t>
      </w:r>
      <m:oMath>
        <m:r>
          <m:t>m</m:t>
        </m:r>
      </m:oMath>
      <w:r>
        <w:t xml:space="preserve"> </w:t>
      </w:r>
      <w:r>
        <w:t xml:space="preserve">parameters are exchangeable. In many models this is not the case; for example, a main effect that motivated the study and a higher-order interaction included for completeness typically differ in prior plausibility. A common</w:t>
      </w:r>
      <w:r>
        <w:t xml:space="preserve"> </w:t>
      </w:r>
      <m:oMath>
        <m:sSub>
          <m:e>
            <m:r>
              <m:t>π</m:t>
            </m:r>
          </m:e>
          <m:sub>
            <m:r>
              <m:t>0</m:t>
            </m:r>
          </m:sub>
        </m:sSub>
      </m:oMath>
      <w:r>
        <w:t xml:space="preserve"> </w:t>
      </w:r>
      <w:r>
        <w:t xml:space="preserve">is then too strict for the more plausible claims and too lenient for the less plausible ones, and specifying the average</w:t>
      </w:r>
      <w:r>
        <w:t xml:space="preserve"> </w:t>
      </w:r>
      <m:oMath>
        <m:sSub>
          <m:e>
            <m:r>
              <m:t>π</m:t>
            </m:r>
          </m:e>
          <m:sub>
            <m:r>
              <m:t>0</m:t>
            </m:r>
          </m:sub>
        </m:sSub>
      </m:oMath>
      <w:r>
        <w:t xml:space="preserve"> </w:t>
      </w:r>
      <w:r>
        <w:t xml:space="preserve">does not preserve the overall error rate. In such cases the family can be divided into more homogeneous subsets, each with its own</w:t>
      </w:r>
      <w:r>
        <w:t xml:space="preserve"> </w:t>
      </w:r>
      <m:oMath>
        <m:sSub>
          <m:e>
            <m:r>
              <m:t>π</m:t>
            </m:r>
          </m:e>
          <m:sub>
            <m:r>
              <m:t>0</m:t>
            </m:r>
          </m:sub>
        </m:sSub>
      </m:oMath>
      <w:r>
        <w:t xml:space="preserve">, or a conservative common value can be used. Parameters on which no claim is based need not be included in the family. Allowing a separate</w:t>
      </w:r>
      <w:r>
        <w:t xml:space="preserve"> </w:t>
      </w:r>
      <m:oMath>
        <m:sSub>
          <m:e>
            <m:r>
              <m:t>π</m:t>
            </m:r>
          </m:e>
          <m:sub>
            <m:r>
              <m:t>0</m:t>
            </m:r>
          </m:sub>
        </m:sSub>
      </m:oMath>
      <w:r>
        <w:t xml:space="preserve"> </w:t>
      </w:r>
      <w:r>
        <w:t xml:space="preserve">for each test is a natural extension of the implementation.</w:t>
      </w:r>
    </w:p>
    <w:p>
      <w:pPr>
        <w:pStyle w:val="BodyText"/>
      </w:pPr>
      <w:r>
        <w:t xml:space="preserve">Second, the rule does not provide evidence for a point null hypothesis. The procedure evaluates directional claims defined by inequalities (e.g.,</w:t>
      </w:r>
      <w:r>
        <w:t xml:space="preserve"> </w:t>
      </w:r>
      <m:oMath>
        <m:r>
          <m:t>θ</m:t>
        </m:r>
        <m:r>
          <m:rPr>
            <m:sty m:val="p"/>
          </m:rPr>
          <m:t>&gt;</m:t>
        </m:r>
        <m:r>
          <m:t>0</m:t>
        </m:r>
      </m:oMath>
      <w:r>
        <w:t xml:space="preserve"> </w:t>
      </w:r>
      <w:r>
        <w:t xml:space="preserve">vs. </w:t>
      </w:r>
      <m:oMath>
        <m:r>
          <m:t>θ</m:t>
        </m:r>
        <m:r>
          <m:rPr>
            <m:sty m:val="p"/>
          </m:rPr>
          <m:t>≤</m:t>
        </m:r>
        <m:r>
          <m:t>0</m:t>
        </m:r>
      </m:oMath>
      <w:r>
        <w:t xml:space="preserve">), and while the complementary hypothesis includes the null value, that value receives no special status; not making a claim therefore reflects the absence of a directional discovery, not evidence in favor of</w:t>
      </w:r>
      <w:r>
        <w:t xml:space="preserve"> </w:t>
      </w:r>
      <m:oMath>
        <m:r>
          <m:t>θ</m:t>
        </m:r>
        <m:r>
          <m:rPr>
            <m:sty m:val="p"/>
          </m:rPr>
          <m:t>=</m:t>
        </m:r>
        <m:r>
          <m:t>0</m:t>
        </m:r>
      </m:oMath>
      <w:r>
        <w:t xml:space="preserve">. The prior-odds penalty applies a classical multiplicity strategy</w:t>
      </w:r>
      <w:r>
        <w:t xml:space="preserve"> </w:t>
      </w:r>
      <w:r>
        <w:t xml:space="preserve">(</w:t>
      </w:r>
      <w:hyperlink w:anchor="ref-deJong2019">
        <w:r>
          <w:rPr>
            <w:rStyle w:val="Hyperlink"/>
          </w:rPr>
          <w:t xml:space="preserve">de Jong, 2019</w:t>
        </w:r>
      </w:hyperlink>
      <w:r>
        <w:t xml:space="preserve">;</w:t>
      </w:r>
      <w:r>
        <w:t xml:space="preserve"> </w:t>
      </w:r>
      <w:hyperlink w:anchor="ref-Jeffreys1938">
        <w:r>
          <w:rPr>
            <w:rStyle w:val="Hyperlink"/>
          </w:rPr>
          <w:t xml:space="preserve">Jeffreys, 1938</w:t>
        </w:r>
      </w:hyperlink>
      <w:r>
        <w:t xml:space="preserve">;</w:t>
      </w:r>
      <w:r>
        <w:t xml:space="preserve"> </w:t>
      </w:r>
      <w:hyperlink w:anchor="ref-Westfall1997">
        <w:r>
          <w:rPr>
            <w:rStyle w:val="Hyperlink"/>
          </w:rPr>
          <w:t xml:space="preserve">Westfall et al., 1997</w:t>
        </w:r>
      </w:hyperlink>
      <w:r>
        <w:t xml:space="preserve">)</w:t>
      </w:r>
      <w:r>
        <w:t xml:space="preserve"> </w:t>
      </w:r>
      <w:r>
        <w:t xml:space="preserve">to</w:t>
      </w:r>
      <w:r>
        <w:t xml:space="preserve"> </w:t>
      </w:r>
      <m:oMath>
        <m:r>
          <m:t>p</m:t>
        </m:r>
        <m:r>
          <m:t>d</m:t>
        </m:r>
      </m:oMath>
      <w:r>
        <w:t xml:space="preserve">; because it acts on the prior odds alone, it extends in principle to other Bayes factor approaches</w:t>
      </w:r>
      <w:r>
        <w:t xml:space="preserve"> </w:t>
      </w:r>
      <w:r>
        <w:t xml:space="preserve">(</w:t>
      </w:r>
      <w:hyperlink w:anchor="ref-Dienes2016">
        <w:r>
          <w:rPr>
            <w:rStyle w:val="Hyperlink"/>
          </w:rPr>
          <w:t xml:space="preserve">Dienes, 2016</w:t>
        </w:r>
      </w:hyperlink>
      <w:r>
        <w:t xml:space="preserve">;</w:t>
      </w:r>
      <w:r>
        <w:t xml:space="preserve"> </w:t>
      </w:r>
      <w:hyperlink w:anchor="ref-Heck2023">
        <w:r>
          <w:rPr>
            <w:rStyle w:val="Hyperlink"/>
          </w:rPr>
          <w:t xml:space="preserve">Heck et al.</w:t>
        </w:r>
        <w:r>
          <w:rPr>
            <w:rStyle w:val="Hyperlink"/>
          </w:rPr>
          <w:t xml:space="preserve">, 2023</w:t>
        </w:r>
      </w:hyperlink>
      <w:r>
        <w:t xml:space="preserve">;</w:t>
      </w:r>
      <w:r>
        <w:t xml:space="preserve"> </w:t>
      </w:r>
      <w:hyperlink w:anchor="ref-Ly2016">
        <w:r>
          <w:rPr>
            <w:rStyle w:val="Hyperlink"/>
          </w:rPr>
          <w:t xml:space="preserve">Ly et al., 2016</w:t>
        </w:r>
      </w:hyperlink>
      <w:r>
        <w:t xml:space="preserve">;</w:t>
      </w:r>
      <w:r>
        <w:t xml:space="preserve"> </w:t>
      </w:r>
      <w:hyperlink w:anchor="ref-Morey2011">
        <w:r>
          <w:rPr>
            <w:rStyle w:val="Hyperlink"/>
          </w:rPr>
          <w:t xml:space="preserve">Morey &amp; Rouder, 2011</w:t>
        </w:r>
      </w:hyperlink>
      <w:r>
        <w:t xml:space="preserve">)</w:t>
      </w:r>
      <w:r>
        <w:t xml:space="preserve">. When joint modeling is feasible, an alternative is to integrate evidence across hypotheses through joint posterior probabilities</w:t>
      </w:r>
      <w:r>
        <w:t xml:space="preserve"> </w:t>
      </w:r>
      <w:r>
        <w:t xml:space="preserve">(</w:t>
      </w:r>
      <w:hyperlink w:anchor="ref-Box1992">
        <w:r>
          <w:rPr>
            <w:rStyle w:val="Hyperlink"/>
          </w:rPr>
          <w:t xml:space="preserve">Box &amp; Tiao, 1992</w:t>
        </w:r>
      </w:hyperlink>
      <w:r>
        <w:t xml:space="preserve">;</w:t>
      </w:r>
      <w:r>
        <w:t xml:space="preserve"> </w:t>
      </w:r>
      <w:hyperlink w:anchor="ref-Gelman2000">
        <w:r>
          <w:rPr>
            <w:rStyle w:val="Hyperlink"/>
          </w:rPr>
          <w:t xml:space="preserve">Gelman &amp; Tuerlinckx, 2000</w:t>
        </w:r>
      </w:hyperlink>
      <w:r>
        <w:t xml:space="preserve">;</w:t>
      </w:r>
      <w:r>
        <w:t xml:space="preserve"> </w:t>
      </w:r>
      <w:hyperlink w:anchor="ref-Pruzek2016">
        <w:r>
          <w:rPr>
            <w:rStyle w:val="Hyperlink"/>
          </w:rPr>
          <w:t xml:space="preserve">Pruzek, 2016</w:t>
        </w:r>
      </w:hyperlink>
      <w:r>
        <w:t xml:space="preserve">;</w:t>
      </w:r>
      <w:r>
        <w:t xml:space="preserve"> </w:t>
      </w:r>
      <w:hyperlink w:anchor="ref-Schnell2020">
        <w:r>
          <w:rPr>
            <w:rStyle w:val="Hyperlink"/>
          </w:rPr>
          <w:t xml:space="preserve">Schnell et al., 2020</w:t>
        </w:r>
      </w:hyperlink>
      <w:r>
        <w:t xml:space="preserve">)</w:t>
      </w:r>
      <w:r>
        <w:t xml:space="preserve">.</w:t>
      </w:r>
    </w:p>
    <w:p>
      <w:pPr>
        <w:pStyle w:val="BodyText"/>
      </w:pPr>
      <w:r>
        <w:t xml:space="preserve">Third, the procedure takes the posterior as given: if the model is misspecified, for instance by omitting random slopes,</w:t>
      </w:r>
      <w:r>
        <w:t xml:space="preserve"> </w:t>
      </w:r>
      <m:oMath>
        <m:r>
          <m:t>p</m:t>
        </m:r>
        <m:r>
          <m:t>d</m:t>
        </m:r>
      </m:oMath>
      <w:r>
        <w:t xml:space="preserve"> </w:t>
      </w:r>
      <w:r>
        <w:t xml:space="preserve">overstates the evidence about the direction of each parameter, and raising the threshold does not correct this</w:t>
      </w:r>
      <w:r>
        <w:t xml:space="preserve"> </w:t>
      </w:r>
      <w:r>
        <w:t xml:space="preserve">(</w:t>
      </w:r>
      <w:hyperlink w:anchor="ref-Oberauer2022">
        <w:r>
          <w:rPr>
            <w:rStyle w:val="Hyperlink"/>
          </w:rPr>
          <w:t xml:space="preserve">Oberauer, 2022</w:t>
        </w:r>
      </w:hyperlink>
      <w:r>
        <w:t xml:space="preserve">)</w:t>
      </w:r>
      <w:r>
        <w:t xml:space="preserve">.</w:t>
      </w:r>
    </w:p>
    <w:p>
      <w:pPr>
        <w:pStyle w:val="BodyText"/>
      </w:pPr>
      <w:r>
        <w:t xml:space="preserve">As Bayesian methods become increasingly common in psychological research, often in pragmatic workflows relying on default priors and fixed decision thresholds, the implications of multiplicity should be explicitly recognized. Additionally, although priors may be well-calibrated at the level of individual parameters, they do not by themselves account for multiplicity when many parameters are considered simultaneously. Ignoring this aspect leads fixed</w:t>
      </w:r>
      <w:r>
        <w:t xml:space="preserve"> </w:t>
      </w:r>
      <m:oMath>
        <m:r>
          <m:t>p</m:t>
        </m:r>
        <m:r>
          <m:t>d</m:t>
        </m:r>
      </m:oMath>
      <w:r>
        <w:t xml:space="preserve"> </w:t>
      </w:r>
      <w:r>
        <w:t xml:space="preserve">thresholds to systematically overstate evidence for directional claims, especially as the number of tests grows. The procedure presented here addresses this by translating an upper bound, set by the researcher, on the prior probability that a parameter has the sign opposite to the one claimed into the threshold that</w:t>
      </w:r>
      <w:r>
        <w:t xml:space="preserve"> </w:t>
      </w:r>
      <m:oMath>
        <m:r>
          <m:t>p</m:t>
        </m:r>
        <m:r>
          <m:t>d</m:t>
        </m:r>
      </m:oMath>
      <w:r>
        <w:t xml:space="preserve"> </w:t>
      </w:r>
      <w:r>
        <w:t xml:space="preserve">must exceed. It requires no refitting and can be applied to posterior draws from any model whose prior is symmetric about the null value.</w:t>
      </w:r>
    </w:p>
    <w:bookmarkEnd w:id="90"/>
    <w:bookmarkStart w:id="91" w:name="acknowledgments"/>
    <w:p>
      <w:pPr>
        <w:pStyle w:val="Heading1"/>
      </w:pPr>
      <w:r>
        <w:t xml:space="preserve">Acknowledgments</w:t>
      </w:r>
    </w:p>
    <w:p>
      <w:pPr>
        <w:pStyle w:val="FirstParagraph"/>
      </w:pPr>
      <w:r>
        <w:t xml:space="preserve">We are grateful to Jelle Goeman, Giovanni Parmigiani and Enrico Toffalini for insightful comments and discussion throughout the development of this work. We also thank Laura Sità, Matteo Manente and two anonymous reviewers for helpful feedback on earlier versions of the manuscript. The</w:t>
      </w:r>
      <w:r>
        <w:t xml:space="preserve"> </w:t>
      </w:r>
      <w:r>
        <w:rPr>
          <w:rStyle w:val="VerbatimChar"/>
        </w:rPr>
        <w:t xml:space="preserve">multibayes</w:t>
      </w:r>
      <w:r>
        <w:t xml:space="preserve"> </w:t>
      </w:r>
      <w:r>
        <w:t xml:space="preserve">package code was reviewed and debugged with the assistance of AI tools.</w:t>
      </w:r>
    </w:p>
    <w:bookmarkEnd w:id="91"/>
    <w:bookmarkStart w:id="94" w:name="open-practices-statement"/>
    <w:p>
      <w:pPr>
        <w:pStyle w:val="Heading1"/>
      </w:pPr>
      <w:r>
        <w:t xml:space="preserve">Open Practices Statement</w:t>
      </w:r>
    </w:p>
    <w:p>
      <w:pPr>
        <w:pStyle w:val="FirstParagraph"/>
      </w:pPr>
      <w:r>
        <w:t xml:space="preserve">The code to reproduce all simulations, figures, and the worked example is available in the</w:t>
      </w:r>
      <w:r>
        <w:t xml:space="preserve"> </w:t>
      </w:r>
      <w:r>
        <w:rPr>
          <w:i/>
          <w:iCs/>
        </w:rPr>
        <w:t xml:space="preserve">multibayes</w:t>
      </w:r>
      <w:r>
        <w:t xml:space="preserve"> </w:t>
      </w:r>
      <w:r>
        <w:t xml:space="preserve">repository on GitHub (</w:t>
      </w:r>
      <w:hyperlink r:id="rId92">
        <w:r>
          <w:rPr>
            <w:rStyle w:val="Hyperlink"/>
          </w:rPr>
          <w:t xml:space="preserve">https://github.com/mar-cald/multibayes</w:t>
        </w:r>
      </w:hyperlink>
      <w:r>
        <w:t xml:space="preserve">) and on OSF (</w:t>
      </w:r>
      <w:hyperlink r:id="rId93">
        <w:r>
          <w:rPr>
            <w:rStyle w:val="Hyperlink"/>
          </w:rPr>
          <w:t xml:space="preserve">https://osf.io/q294m</w:t>
        </w:r>
      </w:hyperlink>
      <w:r>
        <w:t xml:space="preserve">). The worked example uses openly available data from</w:t>
      </w:r>
      <w:r>
        <w:t xml:space="preserve"> </w:t>
      </w:r>
      <w:r>
        <w:t xml:space="preserve">Lin et al. (</w:t>
      </w:r>
      <w:hyperlink w:anchor="ref-Lin2020">
        <w:r>
          <w:rPr>
            <w:rStyle w:val="Hyperlink"/>
          </w:rPr>
          <w:t xml:space="preserve">2020</w:t>
        </w:r>
      </w:hyperlink>
      <w:r>
        <w:t xml:space="preserve">)</w:t>
      </w:r>
      <w:r>
        <w:t xml:space="preserve">, distributed with the</w:t>
      </w:r>
      <w:r>
        <w:t xml:space="preserve"> </w:t>
      </w:r>
      <w:r>
        <w:rPr>
          <w:rStyle w:val="VerbatimChar"/>
        </w:rPr>
        <w:t xml:space="preserve">afex</w:t>
      </w:r>
      <w:r>
        <w:t xml:space="preserve"> </w:t>
      </w:r>
      <w:r>
        <w:t xml:space="preserve">R package</w:t>
      </w:r>
      <w:r>
        <w:t xml:space="preserve"> </w:t>
      </w:r>
      <w:r>
        <w:t xml:space="preserve">(</w:t>
      </w:r>
      <w:hyperlink w:anchor="ref-Singmann2016">
        <w:r>
          <w:rPr>
            <w:rStyle w:val="Hyperlink"/>
          </w:rPr>
          <w:t xml:space="preserve">Singmann et al., 2016</w:t>
        </w:r>
      </w:hyperlink>
      <w:r>
        <w:t xml:space="preserve">)</w:t>
      </w:r>
      <w:r>
        <w:t xml:space="preserve">. No new data were collected, and the study was not preregistered.</w:t>
      </w:r>
    </w:p>
    <w:bookmarkEnd w:id="94"/>
    <w:bookmarkStart w:id="104" w:name="declarations"/>
    <w:p>
      <w:pPr>
        <w:pStyle w:val="Heading1"/>
      </w:pPr>
      <w:r>
        <w:t xml:space="preserve">Declarations</w:t>
      </w:r>
    </w:p>
    <w:bookmarkStart w:id="95" w:name="funding"/>
    <w:p>
      <w:pPr>
        <w:pStyle w:val="Heading2"/>
      </w:pPr>
      <w:r>
        <w:t xml:space="preserve">Funding</w:t>
      </w:r>
    </w:p>
    <w:p>
      <w:pPr>
        <w:pStyle w:val="FirstParagraph"/>
      </w:pPr>
      <w:r>
        <w:t xml:space="preserve">The authors received no funding for this work.</w:t>
      </w:r>
    </w:p>
    <w:bookmarkEnd w:id="95"/>
    <w:bookmarkStart w:id="96" w:name="conflicts-of-interestcompeting-interests"/>
    <w:p>
      <w:pPr>
        <w:pStyle w:val="Heading2"/>
      </w:pPr>
      <w:r>
        <w:t xml:space="preserve">Conflicts of Interest/Competing Interests</w:t>
      </w:r>
    </w:p>
    <w:p>
      <w:pPr>
        <w:pStyle w:val="FirstParagraph"/>
      </w:pPr>
      <w:r>
        <w:t xml:space="preserve">The authors have no conflicts of interest to disclose.</w:t>
      </w:r>
    </w:p>
    <w:bookmarkEnd w:id="96"/>
    <w:bookmarkStart w:id="97" w:name="ethics-approval"/>
    <w:p>
      <w:pPr>
        <w:pStyle w:val="Heading2"/>
      </w:pPr>
      <w:r>
        <w:t xml:space="preserve">Ethics Approval</w:t>
      </w:r>
    </w:p>
    <w:p>
      <w:pPr>
        <w:pStyle w:val="FirstParagraph"/>
      </w:pPr>
      <w:r>
        <w:t xml:space="preserve">Not applicable.</w:t>
      </w:r>
    </w:p>
    <w:bookmarkEnd w:id="97"/>
    <w:bookmarkStart w:id="98" w:name="consent-to-participate"/>
    <w:p>
      <w:pPr>
        <w:pStyle w:val="Heading2"/>
      </w:pPr>
      <w:r>
        <w:t xml:space="preserve">Consent to Participate</w:t>
      </w:r>
    </w:p>
    <w:p>
      <w:pPr>
        <w:pStyle w:val="FirstParagraph"/>
      </w:pPr>
      <w:r>
        <w:t xml:space="preserve">Not applicable.</w:t>
      </w:r>
    </w:p>
    <w:bookmarkEnd w:id="98"/>
    <w:bookmarkStart w:id="99" w:name="consent-for-publication"/>
    <w:p>
      <w:pPr>
        <w:pStyle w:val="Heading2"/>
      </w:pPr>
      <w:r>
        <w:t xml:space="preserve">Consent for Publication</w:t>
      </w:r>
    </w:p>
    <w:p>
      <w:pPr>
        <w:pStyle w:val="FirstParagraph"/>
      </w:pPr>
      <w:r>
        <w:t xml:space="preserve">Not applicable.</w:t>
      </w:r>
    </w:p>
    <w:bookmarkEnd w:id="99"/>
    <w:bookmarkStart w:id="100" w:name="availability-of-data-and-materials"/>
    <w:p>
      <w:pPr>
        <w:pStyle w:val="Heading2"/>
      </w:pPr>
      <w:r>
        <w:t xml:space="preserve">Availability of Data and Materials</w:t>
      </w:r>
    </w:p>
    <w:p>
      <w:pPr>
        <w:pStyle w:val="FirstParagraph"/>
      </w:pPr>
      <w:r>
        <w:t xml:space="preserve">The worked example uses openly available data from</w:t>
      </w:r>
      <w:r>
        <w:t xml:space="preserve"> </w:t>
      </w:r>
      <w:r>
        <w:t xml:space="preserve">Lin et al. (</w:t>
      </w:r>
      <w:hyperlink w:anchor="ref-Lin2020">
        <w:r>
          <w:rPr>
            <w:rStyle w:val="Hyperlink"/>
          </w:rPr>
          <w:t xml:space="preserve">2020</w:t>
        </w:r>
      </w:hyperlink>
      <w:r>
        <w:t xml:space="preserve">)</w:t>
      </w:r>
      <w:r>
        <w:t xml:space="preserve">, distributed with the</w:t>
      </w:r>
      <w:r>
        <w:t xml:space="preserve"> </w:t>
      </w:r>
      <w:r>
        <w:rPr>
          <w:rStyle w:val="VerbatimChar"/>
        </w:rPr>
        <w:t xml:space="preserve">afex</w:t>
      </w:r>
      <w:r>
        <w:t xml:space="preserve"> </w:t>
      </w:r>
      <w:r>
        <w:t xml:space="preserve">R package</w:t>
      </w:r>
      <w:r>
        <w:t xml:space="preserve"> </w:t>
      </w:r>
      <w:r>
        <w:t xml:space="preserve">(</w:t>
      </w:r>
      <w:hyperlink w:anchor="ref-Singmann2016">
        <w:r>
          <w:rPr>
            <w:rStyle w:val="Hyperlink"/>
          </w:rPr>
          <w:t xml:space="preserve">Singmann et al., 2016</w:t>
        </w:r>
      </w:hyperlink>
      <w:r>
        <w:t xml:space="preserve">)</w:t>
      </w:r>
      <w:r>
        <w:t xml:space="preserve">. No new data were collected.</w:t>
      </w:r>
    </w:p>
    <w:bookmarkEnd w:id="100"/>
    <w:bookmarkStart w:id="101" w:name="code-availability"/>
    <w:p>
      <w:pPr>
        <w:pStyle w:val="Heading2"/>
      </w:pPr>
      <w:r>
        <w:t xml:space="preserve">Code Availability</w:t>
      </w:r>
    </w:p>
    <w:p>
      <w:pPr>
        <w:pStyle w:val="FirstParagraph"/>
      </w:pPr>
      <w:r>
        <w:t xml:space="preserve">The</w:t>
      </w:r>
      <w:r>
        <w:t xml:space="preserve"> </w:t>
      </w:r>
      <w:r>
        <w:rPr>
          <w:rStyle w:val="VerbatimChar"/>
        </w:rPr>
        <w:t xml:space="preserve">multibayes</w:t>
      </w:r>
      <w:r>
        <w:t xml:space="preserve"> </w:t>
      </w:r>
      <w:r>
        <w:t xml:space="preserve">R package and the code to reproduce all simulations, figures, and the worked example are available on GitHub (</w:t>
      </w:r>
      <w:hyperlink r:id="rId92">
        <w:r>
          <w:rPr>
            <w:rStyle w:val="Hyperlink"/>
          </w:rPr>
          <w:t xml:space="preserve">https://github.com/mar-cald/multibayes</w:t>
        </w:r>
      </w:hyperlink>
      <w:r>
        <w:t xml:space="preserve">) and OSF (</w:t>
      </w:r>
      <w:hyperlink r:id="rId93">
        <w:r>
          <w:rPr>
            <w:rStyle w:val="Hyperlink"/>
          </w:rPr>
          <w:t xml:space="preserve">https://osf.io/q294m</w:t>
        </w:r>
      </w:hyperlink>
      <w:r>
        <w:t xml:space="preserve">).</w:t>
      </w:r>
    </w:p>
    <w:bookmarkEnd w:id="101"/>
    <w:bookmarkStart w:id="103" w:name="authors-contributions"/>
    <w:p>
      <w:pPr>
        <w:pStyle w:val="Heading2"/>
      </w:pPr>
      <w:r>
        <w:t xml:space="preserve">Authors’ Contributions</w:t>
      </w:r>
    </w:p>
    <w:p>
      <w:pPr>
        <w:pStyle w:val="FirstParagraph"/>
      </w:pPr>
      <w:r>
        <w:t xml:space="preserve">Author roles were classified using the Contributor Roles Taxonomy (CRediT;</w:t>
      </w:r>
      <w:r>
        <w:t xml:space="preserve"> </w:t>
      </w:r>
      <w:hyperlink r:id="rId102">
        <w:r>
          <w:rPr>
            <w:rStyle w:val="Hyperlink"/>
          </w:rPr>
          <w:t xml:space="preserve">https://credit.niso.org/</w:t>
        </w:r>
      </w:hyperlink>
      <w:r>
        <w:t xml:space="preserve">) as follows — Conceptualization: M. Calderan and G. Altoè; Methodology: M. Calderan, F. Gambarota, and L. Finos; Software: M. Calderan and F. Gambarota; Writing - Original Draft: M. Calderan; Writing - Review &amp; Editing: F. Gambarota, L. Finos, and G. Altoè; Visualization: M. Calderan; Supervision: L. Finos and G. Altoè. All authors approved the final version of the manuscript and agree to be accountable for the work.</w:t>
      </w:r>
    </w:p>
    <w:bookmarkEnd w:id="103"/>
    <w:bookmarkEnd w:id="104"/>
    <w:bookmarkStart w:id="251" w:name="refs"/>
    <w:p>
      <w:pPr>
        <w:pStyle w:val="Heading1"/>
      </w:pPr>
      <w:r>
        <w:t xml:space="preserve">References</w:t>
      </w:r>
    </w:p>
    <w:bookmarkStart w:id="250" w:name="refs"/>
    <w:bookmarkStart w:id="106" w:name="ref-Abraham2022"/>
    <w:p>
      <w:pPr>
        <w:pStyle w:val="Bibliography"/>
      </w:pPr>
      <w:r>
        <w:t xml:space="preserve">Abraham, K., Castillo, I., &amp; Roquain, É. (2022). Empirical</w:t>
      </w:r>
      <w:r>
        <w:t xml:space="preserve"> </w:t>
      </w:r>
      <w:r>
        <w:t xml:space="preserve">Bayes</w:t>
      </w:r>
      <w:r>
        <w:t xml:space="preserve"> </w:t>
      </w:r>
      <w:r>
        <w:t xml:space="preserve">cumulative l-value multiple testing procedure for sparse sequences.</w:t>
      </w:r>
      <w:r>
        <w:t xml:space="preserve"> </w:t>
      </w:r>
      <w:r>
        <w:rPr>
          <w:i/>
          <w:iCs/>
        </w:rPr>
        <w:t xml:space="preserve">Electronic Journal of Statistics</w:t>
      </w:r>
      <w:r>
        <w:t xml:space="preserve">,</w:t>
      </w:r>
      <w:r>
        <w:t xml:space="preserve"> </w:t>
      </w:r>
      <w:r>
        <w:rPr>
          <w:i/>
          <w:iCs/>
        </w:rPr>
        <w:t xml:space="preserve">16</w:t>
      </w:r>
      <w:r>
        <w:t xml:space="preserve">(1), 2033–2081.</w:t>
      </w:r>
      <w:r>
        <w:t xml:space="preserve"> </w:t>
      </w:r>
      <w:hyperlink r:id="rId105">
        <w:r>
          <w:rPr>
            <w:rStyle w:val="Hyperlink"/>
          </w:rPr>
          <w:t xml:space="preserve">https://doi.org/10.1214/22-EJS1979</w:t>
        </w:r>
      </w:hyperlink>
    </w:p>
    <w:bookmarkEnd w:id="106"/>
    <w:bookmarkStart w:id="108" w:name="ref-Altoe2020"/>
    <w:p>
      <w:pPr>
        <w:pStyle w:val="Bibliography"/>
      </w:pPr>
      <w:r>
        <w:t xml:space="preserve">Altoè, G., Bertoldo, G., Zandonella Callegher, C., Toffalini, E., Calcagnì, A., Finos, L., &amp; Pastore, M. (2020). Enhancing statistical inference in psychological research via prospective and retrospective design analysis.</w:t>
      </w:r>
      <w:r>
        <w:t xml:space="preserve"> </w:t>
      </w:r>
      <w:r>
        <w:rPr>
          <w:i/>
          <w:iCs/>
        </w:rPr>
        <w:t xml:space="preserve">Frontiers in Psychology</w:t>
      </w:r>
      <w:r>
        <w:t xml:space="preserve">,</w:t>
      </w:r>
      <w:r>
        <w:t xml:space="preserve"> </w:t>
      </w:r>
      <w:r>
        <w:rPr>
          <w:i/>
          <w:iCs/>
        </w:rPr>
        <w:t xml:space="preserve">10</w:t>
      </w:r>
      <w:r>
        <w:t xml:space="preserve">, 2893.</w:t>
      </w:r>
      <w:r>
        <w:t xml:space="preserve"> </w:t>
      </w:r>
      <w:hyperlink r:id="rId107">
        <w:r>
          <w:rPr>
            <w:rStyle w:val="Hyperlink"/>
          </w:rPr>
          <w:t xml:space="preserve">https://doi.org/10.3389/fpsyg.2019.02893</w:t>
        </w:r>
      </w:hyperlink>
    </w:p>
    <w:bookmarkEnd w:id="108"/>
    <w:bookmarkStart w:id="110" w:name="ref-Ben2022"/>
    <w:p>
      <w:pPr>
        <w:pStyle w:val="Bibliography"/>
      </w:pPr>
      <w:r>
        <w:t xml:space="preserve">Ben-Artzi, I., Luria, R., &amp; Shahar, N. (2022). Working memory capacity estimates moderate value learning for outcome-irrelevant features.</w:t>
      </w:r>
      <w:r>
        <w:t xml:space="preserve"> </w:t>
      </w:r>
      <w:r>
        <w:rPr>
          <w:i/>
          <w:iCs/>
        </w:rPr>
        <w:t xml:space="preserve">Scientific Reports</w:t>
      </w:r>
      <w:r>
        <w:t xml:space="preserve">,</w:t>
      </w:r>
      <w:r>
        <w:t xml:space="preserve"> </w:t>
      </w:r>
      <w:r>
        <w:rPr>
          <w:i/>
          <w:iCs/>
        </w:rPr>
        <w:t xml:space="preserve">12</w:t>
      </w:r>
      <w:r>
        <w:t xml:space="preserve">(1), 19677.</w:t>
      </w:r>
      <w:r>
        <w:t xml:space="preserve"> </w:t>
      </w:r>
      <w:hyperlink r:id="rId109">
        <w:r>
          <w:rPr>
            <w:rStyle w:val="Hyperlink"/>
          </w:rPr>
          <w:t xml:space="preserve">https://doi.org/10.1038/s41598-022-21832-x</w:t>
        </w:r>
      </w:hyperlink>
    </w:p>
    <w:bookmarkEnd w:id="110"/>
    <w:bookmarkStart w:id="112" w:name="ref-Benjamin2017"/>
    <w:p>
      <w:pPr>
        <w:pStyle w:val="Bibliography"/>
      </w:pPr>
      <w:r>
        <w:t xml:space="preserve">Benjamin, D. J., Berger, J. O., Johannesson, M., Nosek, B. A., Wagenmakers, E.-J., Berk, R., Bollen, K. A., Brembs, B., Brown, L., Camerer, C., Cesarini, D., Chambers, C. D., Clyde, M., Cook, T. D., De Boeck, P., Dienes, Z., Dreber, A., Easwaran, K., Efferson, C., … Johnson, V. E. (2017). Redefine statistical significance.</w:t>
      </w:r>
      <w:r>
        <w:t xml:space="preserve"> </w:t>
      </w:r>
      <w:r>
        <w:rPr>
          <w:i/>
          <w:iCs/>
        </w:rPr>
        <w:t xml:space="preserve">Nature Human Behaviour</w:t>
      </w:r>
      <w:r>
        <w:t xml:space="preserve">,</w:t>
      </w:r>
      <w:r>
        <w:t xml:space="preserve"> </w:t>
      </w:r>
      <w:r>
        <w:rPr>
          <w:i/>
          <w:iCs/>
        </w:rPr>
        <w:t xml:space="preserve">2</w:t>
      </w:r>
      <w:r>
        <w:t xml:space="preserve">(1), 6–10.</w:t>
      </w:r>
      <w:r>
        <w:t xml:space="preserve"> </w:t>
      </w:r>
      <w:hyperlink r:id="rId111">
        <w:r>
          <w:rPr>
            <w:rStyle w:val="Hyperlink"/>
          </w:rPr>
          <w:t xml:space="preserve">https://doi.org/10.1038/s41562-017-0189-z</w:t>
        </w:r>
      </w:hyperlink>
    </w:p>
    <w:bookmarkEnd w:id="112"/>
    <w:bookmarkStart w:id="114" w:name="ref-Benjamini1995"/>
    <w:p>
      <w:pPr>
        <w:pStyle w:val="Bibliography"/>
      </w:pPr>
      <w:r>
        <w:t xml:space="preserve">Benjamini, Y., &amp; Hochberg, Y. (1995). Controlling the false discovery rate: A practical and powerful approach to multiple testing.</w:t>
      </w:r>
      <w:r>
        <w:t xml:space="preserve"> </w:t>
      </w:r>
      <w:r>
        <w:rPr>
          <w:i/>
          <w:iCs/>
        </w:rPr>
        <w:t xml:space="preserve">Journal of the Royal Statistical Society Series B: Statistical Methodology</w:t>
      </w:r>
      <w:r>
        <w:t xml:space="preserve">,</w:t>
      </w:r>
      <w:r>
        <w:t xml:space="preserve"> </w:t>
      </w:r>
      <w:r>
        <w:rPr>
          <w:i/>
          <w:iCs/>
        </w:rPr>
        <w:t xml:space="preserve">57</w:t>
      </w:r>
      <w:r>
        <w:t xml:space="preserve">(1), 289–300.</w:t>
      </w:r>
      <w:r>
        <w:t xml:space="preserve"> </w:t>
      </w:r>
      <w:hyperlink r:id="rId113">
        <w:r>
          <w:rPr>
            <w:rStyle w:val="Hyperlink"/>
          </w:rPr>
          <w:t xml:space="preserve">https://doi.org/10.1111/j.2517-6161.1995.tb02031.x</w:t>
        </w:r>
      </w:hyperlink>
    </w:p>
    <w:bookmarkEnd w:id="114"/>
    <w:bookmarkStart w:id="116" w:name="ref-Berger1994"/>
    <w:p>
      <w:pPr>
        <w:pStyle w:val="Bibliography"/>
      </w:pPr>
      <w:r>
        <w:t xml:space="preserve">Berger, J. O. (1994). An overview of robust</w:t>
      </w:r>
      <w:r>
        <w:t xml:space="preserve"> </w:t>
      </w:r>
      <w:r>
        <w:t xml:space="preserve">Bayesian</w:t>
      </w:r>
      <w:r>
        <w:t xml:space="preserve"> </w:t>
      </w:r>
      <w:r>
        <w:t xml:space="preserve">analysis.</w:t>
      </w:r>
      <w:r>
        <w:t xml:space="preserve"> </w:t>
      </w:r>
      <w:r>
        <w:rPr>
          <w:i/>
          <w:iCs/>
        </w:rPr>
        <w:t xml:space="preserve">Test</w:t>
      </w:r>
      <w:r>
        <w:t xml:space="preserve">,</w:t>
      </w:r>
      <w:r>
        <w:t xml:space="preserve"> </w:t>
      </w:r>
      <w:r>
        <w:rPr>
          <w:i/>
          <w:iCs/>
        </w:rPr>
        <w:t xml:space="preserve">3</w:t>
      </w:r>
      <w:r>
        <w:t xml:space="preserve">(1), 5–124.</w:t>
      </w:r>
      <w:r>
        <w:t xml:space="preserve"> </w:t>
      </w:r>
      <w:hyperlink r:id="rId115">
        <w:r>
          <w:rPr>
            <w:rStyle w:val="Hyperlink"/>
          </w:rPr>
          <w:t xml:space="preserve">https://doi.org/10.1007/BF02562676</w:t>
        </w:r>
      </w:hyperlink>
    </w:p>
    <w:bookmarkEnd w:id="116"/>
    <w:bookmarkStart w:id="118" w:name="ref-berger2023"/>
    <w:p>
      <w:pPr>
        <w:pStyle w:val="Bibliography"/>
      </w:pPr>
      <w:r>
        <w:t xml:space="preserve">Berger, J. O. (2023). Four types of frequentism and their interplay with</w:t>
      </w:r>
      <w:r>
        <w:t xml:space="preserve"> </w:t>
      </w:r>
      <w:r>
        <w:t xml:space="preserve">Bayesianism</w:t>
      </w:r>
      <w:r>
        <w:t xml:space="preserve">.</w:t>
      </w:r>
      <w:r>
        <w:t xml:space="preserve"> </w:t>
      </w:r>
      <w:r>
        <w:rPr>
          <w:i/>
          <w:iCs/>
        </w:rPr>
        <w:t xml:space="preserve">The New England Journal of Statistics in Data Science</w:t>
      </w:r>
      <w:r>
        <w:t xml:space="preserve">,</w:t>
      </w:r>
      <w:r>
        <w:t xml:space="preserve"> </w:t>
      </w:r>
      <w:r>
        <w:rPr>
          <w:i/>
          <w:iCs/>
        </w:rPr>
        <w:t xml:space="preserve">1</w:t>
      </w:r>
      <w:r>
        <w:t xml:space="preserve">, 126–137.</w:t>
      </w:r>
      <w:r>
        <w:t xml:space="preserve"> </w:t>
      </w:r>
      <w:hyperlink r:id="rId117">
        <w:r>
          <w:rPr>
            <w:rStyle w:val="Hyperlink"/>
          </w:rPr>
          <w:t xml:space="preserve">https://doi.org/10.51387/22-NEJSDS4</w:t>
        </w:r>
      </w:hyperlink>
    </w:p>
    <w:bookmarkEnd w:id="118"/>
    <w:bookmarkStart w:id="120" w:name="ref-Berry1999"/>
    <w:p>
      <w:pPr>
        <w:pStyle w:val="Bibliography"/>
      </w:pPr>
      <w:r>
        <w:t xml:space="preserve">Berry, D. A., &amp; Hochberg, Y. (1999).</w:t>
      </w:r>
      <w:r>
        <w:t xml:space="preserve"> </w:t>
      </w:r>
      <w:r>
        <w:t xml:space="preserve">Bayesian</w:t>
      </w:r>
      <w:r>
        <w:t xml:space="preserve"> </w:t>
      </w:r>
      <w:r>
        <w:t xml:space="preserve">perspectives on multiple comparisons.</w:t>
      </w:r>
      <w:r>
        <w:t xml:space="preserve"> </w:t>
      </w:r>
      <w:r>
        <w:rPr>
          <w:i/>
          <w:iCs/>
        </w:rPr>
        <w:t xml:space="preserve">Journal of Statistical Planning and Inference</w:t>
      </w:r>
      <w:r>
        <w:t xml:space="preserve">,</w:t>
      </w:r>
      <w:r>
        <w:t xml:space="preserve"> </w:t>
      </w:r>
      <w:r>
        <w:rPr>
          <w:i/>
          <w:iCs/>
        </w:rPr>
        <w:t xml:space="preserve">82</w:t>
      </w:r>
      <w:r>
        <w:t xml:space="preserve">(1), 215–227.</w:t>
      </w:r>
      <w:r>
        <w:t xml:space="preserve"> </w:t>
      </w:r>
      <w:hyperlink r:id="rId119">
        <w:r>
          <w:rPr>
            <w:rStyle w:val="Hyperlink"/>
          </w:rPr>
          <w:t xml:space="preserve">https://doi.org/10.1016/S0378-3758(99)00044-0</w:t>
        </w:r>
      </w:hyperlink>
    </w:p>
    <w:bookmarkEnd w:id="120"/>
    <w:bookmarkStart w:id="122" w:name="ref-Philippe2021"/>
    <w:p>
      <w:pPr>
        <w:pStyle w:val="Bibliography"/>
      </w:pPr>
      <w:r>
        <w:t xml:space="preserve">Blondé, P., Makowski, D., Sperduti, M., &amp; Piolino, P. (2021). In medio stat virtus: Intermediate levels of mind wandering improve episodic memory encoding in a virtual environment.</w:t>
      </w:r>
      <w:r>
        <w:t xml:space="preserve"> </w:t>
      </w:r>
      <w:r>
        <w:rPr>
          <w:i/>
          <w:iCs/>
        </w:rPr>
        <w:t xml:space="preserve">Psychological Research</w:t>
      </w:r>
      <w:r>
        <w:t xml:space="preserve">,</w:t>
      </w:r>
      <w:r>
        <w:t xml:space="preserve"> </w:t>
      </w:r>
      <w:r>
        <w:rPr>
          <w:i/>
          <w:iCs/>
        </w:rPr>
        <w:t xml:space="preserve">85</w:t>
      </w:r>
      <w:r>
        <w:t xml:space="preserve">(4), 1613–1625.</w:t>
      </w:r>
      <w:r>
        <w:t xml:space="preserve"> </w:t>
      </w:r>
      <w:hyperlink r:id="rId121">
        <w:r>
          <w:rPr>
            <w:rStyle w:val="Hyperlink"/>
          </w:rPr>
          <w:t xml:space="preserve">https://doi.org/10.1007/s00426-020-01358-5</w:t>
        </w:r>
      </w:hyperlink>
    </w:p>
    <w:bookmarkEnd w:id="122"/>
    <w:bookmarkStart w:id="124" w:name="ref-Box1992"/>
    <w:p>
      <w:pPr>
        <w:pStyle w:val="Bibliography"/>
      </w:pPr>
      <w:r>
        <w:t xml:space="preserve">Box, G. E. P., &amp; Tiao, G. C. (1992).</w:t>
      </w:r>
      <w:r>
        <w:t xml:space="preserve"> </w:t>
      </w:r>
      <w:r>
        <w:rPr>
          <w:i/>
          <w:iCs/>
        </w:rPr>
        <w:t xml:space="preserve">Bayesian</w:t>
      </w:r>
      <w:r>
        <w:rPr>
          <w:i/>
          <w:iCs/>
        </w:rPr>
        <w:t xml:space="preserve"> </w:t>
      </w:r>
      <w:r>
        <w:rPr>
          <w:i/>
          <w:iCs/>
        </w:rPr>
        <w:t xml:space="preserve">inference in statistical analysis</w:t>
      </w:r>
      <w:r>
        <w:t xml:space="preserve"> </w:t>
      </w:r>
      <w:r>
        <w:t xml:space="preserve">(1st ed.). Wiley.</w:t>
      </w:r>
      <w:r>
        <w:t xml:space="preserve"> </w:t>
      </w:r>
      <w:hyperlink r:id="rId123">
        <w:r>
          <w:rPr>
            <w:rStyle w:val="Hyperlink"/>
          </w:rPr>
          <w:t xml:space="preserve">https://doi.org/10.1002/9781118033197</w:t>
        </w:r>
      </w:hyperlink>
    </w:p>
    <w:bookmarkEnd w:id="124"/>
    <w:bookmarkStart w:id="126" w:name="ref-Bramley2022"/>
    <w:p>
      <w:pPr>
        <w:pStyle w:val="Bibliography"/>
      </w:pPr>
      <w:r>
        <w:t xml:space="preserve">Bramley, N. R., &amp; Ruggeri, A. (2022). Children’s active physical learning is as effective and goal-targeted as adults’.</w:t>
      </w:r>
      <w:r>
        <w:t xml:space="preserve"> </w:t>
      </w:r>
      <w:r>
        <w:rPr>
          <w:i/>
          <w:iCs/>
        </w:rPr>
        <w:t xml:space="preserve">Developmental Psychology</w:t>
      </w:r>
      <w:r>
        <w:t xml:space="preserve">,</w:t>
      </w:r>
      <w:r>
        <w:t xml:space="preserve"> </w:t>
      </w:r>
      <w:r>
        <w:rPr>
          <w:i/>
          <w:iCs/>
        </w:rPr>
        <w:t xml:space="preserve">58</w:t>
      </w:r>
      <w:r>
        <w:t xml:space="preserve">(12), 2310–2321.</w:t>
      </w:r>
      <w:r>
        <w:t xml:space="preserve"> </w:t>
      </w:r>
      <w:hyperlink r:id="rId125">
        <w:r>
          <w:rPr>
            <w:rStyle w:val="Hyperlink"/>
          </w:rPr>
          <w:t xml:space="preserve">https://doi.org/10.1037/dev0001435</w:t>
        </w:r>
      </w:hyperlink>
    </w:p>
    <w:bookmarkEnd w:id="126"/>
    <w:bookmarkStart w:id="128" w:name="ref-Brissenden2023"/>
    <w:p>
      <w:pPr>
        <w:pStyle w:val="Bibliography"/>
      </w:pPr>
      <w:r>
        <w:t xml:space="preserve">Brissenden, J. A., Adkins, T. J., Hsu, Y. T., &amp; Lee, T. G. (2023). Reward influences the allocation but not the availability of resources in visual working memory.</w:t>
      </w:r>
      <w:r>
        <w:t xml:space="preserve"> </w:t>
      </w:r>
      <w:r>
        <w:rPr>
          <w:i/>
          <w:iCs/>
        </w:rPr>
        <w:t xml:space="preserve">Journal of Experimental Psychology: General</w:t>
      </w:r>
      <w:r>
        <w:t xml:space="preserve">,</w:t>
      </w:r>
      <w:r>
        <w:t xml:space="preserve"> </w:t>
      </w:r>
      <w:r>
        <w:rPr>
          <w:i/>
          <w:iCs/>
        </w:rPr>
        <w:t xml:space="preserve">152</w:t>
      </w:r>
      <w:r>
        <w:t xml:space="preserve">(7), 1825–1839.</w:t>
      </w:r>
      <w:r>
        <w:t xml:space="preserve"> </w:t>
      </w:r>
      <w:hyperlink r:id="rId127">
        <w:r>
          <w:rPr>
            <w:rStyle w:val="Hyperlink"/>
          </w:rPr>
          <w:t xml:space="preserve">https://doi.org/10.1037/xge0001370</w:t>
        </w:r>
      </w:hyperlink>
    </w:p>
    <w:bookmarkEnd w:id="128"/>
    <w:bookmarkStart w:id="130" w:name="ref-Brissenden2024"/>
    <w:p>
      <w:pPr>
        <w:pStyle w:val="Bibliography"/>
      </w:pPr>
      <w:r>
        <w:t xml:space="preserve">Brissenden, J. A., Scerbak, T., Albin, R. L., &amp; Lee, T. G. (2024). Motivational vigor in</w:t>
      </w:r>
      <w:r>
        <w:t xml:space="preserve"> </w:t>
      </w:r>
      <w:r>
        <w:t xml:space="preserve">Parkinson’s</w:t>
      </w:r>
      <w:r>
        <w:t xml:space="preserve"> </w:t>
      </w:r>
      <w:r>
        <w:t xml:space="preserve">disease requires the short and long duration response to levodopa.</w:t>
      </w:r>
      <w:r>
        <w:t xml:space="preserve"> </w:t>
      </w:r>
      <w:r>
        <w:rPr>
          <w:i/>
          <w:iCs/>
        </w:rPr>
        <w:t xml:space="preserve">Movement Disorders</w:t>
      </w:r>
      <w:r>
        <w:t xml:space="preserve">,</w:t>
      </w:r>
      <w:r>
        <w:t xml:space="preserve"> </w:t>
      </w:r>
      <w:r>
        <w:rPr>
          <w:i/>
          <w:iCs/>
        </w:rPr>
        <w:t xml:space="preserve">39</w:t>
      </w:r>
      <w:r>
        <w:t xml:space="preserve">(1), 76–84.</w:t>
      </w:r>
      <w:r>
        <w:t xml:space="preserve"> </w:t>
      </w:r>
      <w:hyperlink r:id="rId129">
        <w:r>
          <w:rPr>
            <w:rStyle w:val="Hyperlink"/>
          </w:rPr>
          <w:t xml:space="preserve">https://doi.org/10.1002/mds.29659</w:t>
        </w:r>
      </w:hyperlink>
    </w:p>
    <w:bookmarkEnd w:id="130"/>
    <w:bookmarkStart w:id="132" w:name="ref-Paul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31">
        <w:r>
          <w:rPr>
            <w:rStyle w:val="Hyperlink"/>
          </w:rPr>
          <w:t xml:space="preserve">https://doi.org/10.18637/jss.v080.i01</w:t>
        </w:r>
      </w:hyperlink>
    </w:p>
    <w:bookmarkEnd w:id="132"/>
    <w:bookmarkStart w:id="133" w:name="ref-Calderan2026"/>
    <w:p>
      <w:pPr>
        <w:pStyle w:val="Bibliography"/>
      </w:pPr>
      <w:r>
        <w:t xml:space="preserve">Calderan, M., &amp; Gambarota, F. (2026).</w:t>
      </w:r>
      <w:r>
        <w:t xml:space="preserve"> </w:t>
      </w:r>
      <w:r>
        <w:rPr>
          <w:i/>
          <w:iCs/>
        </w:rPr>
        <w:t xml:space="preserve">multibayes</w:t>
      </w:r>
      <w:r>
        <w:rPr>
          <w:i/>
          <w:iCs/>
        </w:rPr>
        <w:t xml:space="preserve">:</w:t>
      </w:r>
      <w:r>
        <w:rPr>
          <w:i/>
          <w:iCs/>
        </w:rPr>
        <w:t xml:space="preserve"> </w:t>
      </w:r>
      <w:r>
        <w:rPr>
          <w:i/>
          <w:iCs/>
        </w:rPr>
        <w:t xml:space="preserve">Bayesian</w:t>
      </w:r>
      <w:r>
        <w:rPr>
          <w:i/>
          <w:iCs/>
        </w:rPr>
        <w:t xml:space="preserve"> </w:t>
      </w:r>
      <w:r>
        <w:rPr>
          <w:i/>
          <w:iCs/>
        </w:rPr>
        <w:t xml:space="preserve">multiplicity adjustments</w:t>
      </w:r>
      <w:r>
        <w:t xml:space="preserve">.</w:t>
      </w:r>
      <w:r>
        <w:t xml:space="preserve"> </w:t>
      </w:r>
      <w:hyperlink r:id="rId92">
        <w:r>
          <w:rPr>
            <w:rStyle w:val="Hyperlink"/>
          </w:rPr>
          <w:t xml:space="preserve">https://github.com/mar-cald/multibayes</w:t>
        </w:r>
      </w:hyperlink>
    </w:p>
    <w:bookmarkEnd w:id="133"/>
    <w:bookmarkStart w:id="135" w:name="ref-Casella1987"/>
    <w:p>
      <w:pPr>
        <w:pStyle w:val="Bibliography"/>
      </w:pPr>
      <w:r>
        <w:t xml:space="preserve">Casella, G., &amp; Berger, R. L. (1987). Reconciling</w:t>
      </w:r>
      <w:r>
        <w:t xml:space="preserve"> </w:t>
      </w:r>
      <w:r>
        <w:t xml:space="preserve">Bayesian</w:t>
      </w:r>
      <w:r>
        <w:t xml:space="preserve"> </w:t>
      </w:r>
      <w:r>
        <w:t xml:space="preserve">and frequentist evidence in the one-sided testing problem.</w:t>
      </w:r>
      <w:r>
        <w:t xml:space="preserve"> </w:t>
      </w:r>
      <w:r>
        <w:rPr>
          <w:i/>
          <w:iCs/>
        </w:rPr>
        <w:t xml:space="preserve">Journal of the American Statistical Association</w:t>
      </w:r>
      <w:r>
        <w:t xml:space="preserve">,</w:t>
      </w:r>
      <w:r>
        <w:t xml:space="preserve"> </w:t>
      </w:r>
      <w:r>
        <w:rPr>
          <w:i/>
          <w:iCs/>
        </w:rPr>
        <w:t xml:space="preserve">82</w:t>
      </w:r>
      <w:r>
        <w:t xml:space="preserve">(397), 106–111.</w:t>
      </w:r>
      <w:r>
        <w:t xml:space="preserve"> </w:t>
      </w:r>
      <w:hyperlink r:id="rId134">
        <w:r>
          <w:rPr>
            <w:rStyle w:val="Hyperlink"/>
          </w:rPr>
          <w:t xml:space="preserve">https://doi.org/10.1080/01621459.1987.10478396</w:t>
        </w:r>
      </w:hyperlink>
    </w:p>
    <w:bookmarkEnd w:id="135"/>
    <w:bookmarkStart w:id="137" w:name="ref-Ciranka2026"/>
    <w:p>
      <w:pPr>
        <w:pStyle w:val="Bibliography"/>
      </w:pPr>
      <w:r>
        <w:t xml:space="preserve">Ciranka, S., Chevallier, C., &amp; Nettle, D. (2026). Low socioeconomic status amplifies the perceived rarity of large rewards.</w:t>
      </w:r>
      <w:r>
        <w:t xml:space="preserve"> </w:t>
      </w:r>
      <w:r>
        <w:rPr>
          <w:i/>
          <w:iCs/>
        </w:rPr>
        <w:t xml:space="preserve">Cognition</w:t>
      </w:r>
      <w:r>
        <w:t xml:space="preserve">,</w:t>
      </w:r>
      <w:r>
        <w:t xml:space="preserve"> </w:t>
      </w:r>
      <w:r>
        <w:rPr>
          <w:i/>
          <w:iCs/>
        </w:rPr>
        <w:t xml:space="preserve">270</w:t>
      </w:r>
      <w:r>
        <w:t xml:space="preserve">, 106409.</w:t>
      </w:r>
      <w:r>
        <w:t xml:space="preserve"> </w:t>
      </w:r>
      <w:hyperlink r:id="rId136">
        <w:r>
          <w:rPr>
            <w:rStyle w:val="Hyperlink"/>
          </w:rPr>
          <w:t xml:space="preserve">https://doi.org/10.1016/j.cognition.2025.106409</w:t>
        </w:r>
      </w:hyperlink>
    </w:p>
    <w:bookmarkEnd w:id="137"/>
    <w:bookmarkStart w:id="139" w:name="ref-Cohen1994"/>
    <w:p>
      <w:pPr>
        <w:pStyle w:val="Bibliography"/>
      </w:pPr>
      <w:r>
        <w:t xml:space="preserve">Cohen, J. (1994). The earth is round (p</w:t>
      </w:r>
      <w:r>
        <w:t xml:space="preserve"> </w:t>
      </w:r>
      <m:oMath>
        <m:r>
          <m:rPr>
            <m:sty m:val="p"/>
          </m:rPr>
          <m:t>&lt;</m:t>
        </m:r>
      </m:oMath>
      <w:r>
        <w:t xml:space="preserve"> </w:t>
      </w:r>
      <w:r>
        <w:t xml:space="preserve">.05).</w:t>
      </w:r>
      <w:r>
        <w:t xml:space="preserve"> </w:t>
      </w:r>
      <w:r>
        <w:rPr>
          <w:i/>
          <w:iCs/>
        </w:rPr>
        <w:t xml:space="preserve">American Psychologist</w:t>
      </w:r>
      <w:r>
        <w:t xml:space="preserve">,</w:t>
      </w:r>
      <w:r>
        <w:t xml:space="preserve"> </w:t>
      </w:r>
      <w:r>
        <w:rPr>
          <w:i/>
          <w:iCs/>
        </w:rPr>
        <w:t xml:space="preserve">49</w:t>
      </w:r>
      <w:r>
        <w:t xml:space="preserve">(12), 997–1003.</w:t>
      </w:r>
      <w:r>
        <w:t xml:space="preserve"> </w:t>
      </w:r>
      <w:hyperlink r:id="rId138">
        <w:r>
          <w:rPr>
            <w:rStyle w:val="Hyperlink"/>
          </w:rPr>
          <w:t xml:space="preserve">https://doi.org/10.1037/0003-066X.49.12.997</w:t>
        </w:r>
      </w:hyperlink>
    </w:p>
    <w:bookmarkEnd w:id="139"/>
    <w:bookmarkStart w:id="140" w:name="ref-Dawid1994"/>
    <w:p>
      <w:pPr>
        <w:pStyle w:val="Bibliography"/>
      </w:pPr>
      <w:r>
        <w:t xml:space="preserve">Dawid, A. P. (1994). Selection paradoxes of</w:t>
      </w:r>
      <w:r>
        <w:t xml:space="preserve"> </w:t>
      </w:r>
      <w:r>
        <w:t xml:space="preserve">Bayesian</w:t>
      </w:r>
      <w:r>
        <w:t xml:space="preserve"> </w:t>
      </w:r>
      <w:r>
        <w:t xml:space="preserve">inference.</w:t>
      </w:r>
      <w:r>
        <w:t xml:space="preserve"> </w:t>
      </w:r>
      <w:r>
        <w:rPr>
          <w:i/>
          <w:iCs/>
        </w:rPr>
        <w:t xml:space="preserve">Lecture Notes-Monograph Series</w:t>
      </w:r>
      <w:r>
        <w:t xml:space="preserve">,</w:t>
      </w:r>
      <w:r>
        <w:t xml:space="preserve"> </w:t>
      </w:r>
      <w:r>
        <w:rPr>
          <w:i/>
          <w:iCs/>
        </w:rPr>
        <w:t xml:space="preserve">24</w:t>
      </w:r>
      <w:r>
        <w:t xml:space="preserve">, 211–220.</w:t>
      </w:r>
    </w:p>
    <w:bookmarkEnd w:id="140"/>
    <w:bookmarkStart w:id="142" w:name="ref-deJong2019"/>
    <w:p>
      <w:pPr>
        <w:pStyle w:val="Bibliography"/>
      </w:pPr>
      <w:r>
        <w:t xml:space="preserve">de Jong, T. (2019).</w:t>
      </w:r>
      <w:r>
        <w:t xml:space="preserve"> </w:t>
      </w:r>
      <w:r>
        <w:rPr>
          <w:i/>
          <w:iCs/>
        </w:rPr>
        <w:t xml:space="preserve">A</w:t>
      </w:r>
      <w:r>
        <w:rPr>
          <w:i/>
          <w:iCs/>
        </w:rPr>
        <w:t xml:space="preserve"> </w:t>
      </w:r>
      <w:r>
        <w:rPr>
          <w:i/>
          <w:iCs/>
        </w:rPr>
        <w:t xml:space="preserve">Bayesian</w:t>
      </w:r>
      <w:r>
        <w:rPr>
          <w:i/>
          <w:iCs/>
        </w:rPr>
        <w:t xml:space="preserve"> </w:t>
      </w:r>
      <w:r>
        <w:rPr>
          <w:i/>
          <w:iCs/>
        </w:rPr>
        <w:t xml:space="preserve">approach to the correction for multiplicity</w:t>
      </w:r>
      <w:r>
        <w:t xml:space="preserve">. PsyArXiv preprint.</w:t>
      </w:r>
      <w:r>
        <w:t xml:space="preserve"> </w:t>
      </w:r>
      <w:hyperlink r:id="rId141">
        <w:r>
          <w:rPr>
            <w:rStyle w:val="Hyperlink"/>
          </w:rPr>
          <w:t xml:space="preserve">https://doi.org/10.31234/osf.io/s56mk</w:t>
        </w:r>
      </w:hyperlink>
    </w:p>
    <w:bookmarkEnd w:id="142"/>
    <w:bookmarkStart w:id="144" w:name="ref-Dienes2016"/>
    <w:p>
      <w:pPr>
        <w:pStyle w:val="Bibliography"/>
      </w:pPr>
      <w:r>
        <w:t xml:space="preserve">Dienes, Z. (2016). How</w:t>
      </w:r>
      <w:r>
        <w:t xml:space="preserve"> </w:t>
      </w:r>
      <w:r>
        <w:t xml:space="preserve">Bayes</w:t>
      </w:r>
      <w:r>
        <w:t xml:space="preserve"> </w:t>
      </w:r>
      <w:r>
        <w:t xml:space="preserve">factors change scientific practice.</w:t>
      </w:r>
      <w:r>
        <w:t xml:space="preserve"> </w:t>
      </w:r>
      <w:r>
        <w:rPr>
          <w:i/>
          <w:iCs/>
        </w:rPr>
        <w:t xml:space="preserve">Journal of Mathematical Psychology</w:t>
      </w:r>
      <w:r>
        <w:t xml:space="preserve">,</w:t>
      </w:r>
      <w:r>
        <w:t xml:space="preserve"> </w:t>
      </w:r>
      <w:r>
        <w:rPr>
          <w:i/>
          <w:iCs/>
        </w:rPr>
        <w:t xml:space="preserve">72</w:t>
      </w:r>
      <w:r>
        <w:t xml:space="preserve">, 78–89.</w:t>
      </w:r>
      <w:r>
        <w:t xml:space="preserve"> </w:t>
      </w:r>
      <w:hyperlink r:id="rId143">
        <w:r>
          <w:rPr>
            <w:rStyle w:val="Hyperlink"/>
          </w:rPr>
          <w:t xml:space="preserve">https://doi.org/10.1016/j.jmp.2015.10.003</w:t>
        </w:r>
      </w:hyperlink>
    </w:p>
    <w:bookmarkEnd w:id="144"/>
    <w:bookmarkStart w:id="146" w:name="ref-Efron2001"/>
    <w:p>
      <w:pPr>
        <w:pStyle w:val="Bibliography"/>
      </w:pPr>
      <w:r>
        <w:t xml:space="preserve">Efron, B., Tibshirani, R., Storey, J. D., &amp; Tusher, V. (2001). Empirical</w:t>
      </w:r>
      <w:r>
        <w:t xml:space="preserve"> </w:t>
      </w:r>
      <w:r>
        <w:t xml:space="preserve">Bayes</w:t>
      </w:r>
      <w:r>
        <w:t xml:space="preserve"> </w:t>
      </w:r>
      <w:r>
        <w:t xml:space="preserve">analysis of a microarray experiment.</w:t>
      </w:r>
      <w:r>
        <w:t xml:space="preserve"> </w:t>
      </w:r>
      <w:r>
        <w:rPr>
          <w:i/>
          <w:iCs/>
        </w:rPr>
        <w:t xml:space="preserve">Journal of the American Statistical Association</w:t>
      </w:r>
      <w:r>
        <w:t xml:space="preserve">,</w:t>
      </w:r>
      <w:r>
        <w:t xml:space="preserve"> </w:t>
      </w:r>
      <w:r>
        <w:rPr>
          <w:i/>
          <w:iCs/>
        </w:rPr>
        <w:t xml:space="preserve">96</w:t>
      </w:r>
      <w:r>
        <w:t xml:space="preserve">(456), 1151–1160.</w:t>
      </w:r>
      <w:r>
        <w:t xml:space="preserve"> </w:t>
      </w:r>
      <w:hyperlink r:id="rId145">
        <w:r>
          <w:rPr>
            <w:rStyle w:val="Hyperlink"/>
          </w:rPr>
          <w:t xml:space="preserve">https://doi.org/10.1198/016214501753382129</w:t>
        </w:r>
      </w:hyperlink>
    </w:p>
    <w:bookmarkEnd w:id="146"/>
    <w:bookmarkStart w:id="148" w:name="ref-Gelman2014"/>
    <w:p>
      <w:pPr>
        <w:pStyle w:val="Bibliography"/>
      </w:pPr>
      <w:r>
        <w:t xml:space="preserve">Gelman, A., &amp; Carlin, J. (2014). Beyond power calculations: Assessing</w:t>
      </w:r>
      <w:r>
        <w:t xml:space="preserve"> </w:t>
      </w:r>
      <w:r>
        <w:t xml:space="preserve">Type S</w:t>
      </w:r>
      <w:r>
        <w:t xml:space="preserve"> </w:t>
      </w:r>
      <w:r>
        <w:t xml:space="preserve">(sign) and</w:t>
      </w:r>
      <w:r>
        <w:t xml:space="preserve"> </w:t>
      </w:r>
      <w:r>
        <w:t xml:space="preserve">Type M</w:t>
      </w:r>
      <w:r>
        <w:t xml:space="preserve"> </w:t>
      </w:r>
      <w:r>
        <w:t xml:space="preserve">(magnitude) errors.</w:t>
      </w:r>
      <w:r>
        <w:t xml:space="preserve"> </w:t>
      </w:r>
      <w:r>
        <w:rPr>
          <w:i/>
          <w:iCs/>
        </w:rPr>
        <w:t xml:space="preserve">Perspectives on Psychological Science</w:t>
      </w:r>
      <w:r>
        <w:t xml:space="preserve">,</w:t>
      </w:r>
      <w:r>
        <w:t xml:space="preserve"> </w:t>
      </w:r>
      <w:r>
        <w:rPr>
          <w:i/>
          <w:iCs/>
        </w:rPr>
        <w:t xml:space="preserve">9</w:t>
      </w:r>
      <w:r>
        <w:t xml:space="preserve">(6), 641–651.</w:t>
      </w:r>
      <w:r>
        <w:t xml:space="preserve"> </w:t>
      </w:r>
      <w:hyperlink r:id="rId147">
        <w:r>
          <w:rPr>
            <w:rStyle w:val="Hyperlink"/>
          </w:rPr>
          <w:t xml:space="preserve">https://doi.org/10.1177/1745691614551642</w:t>
        </w:r>
      </w:hyperlink>
    </w:p>
    <w:bookmarkEnd w:id="148"/>
    <w:bookmarkStart w:id="150" w:name="ref-GelmanBook"/>
    <w:p>
      <w:pPr>
        <w:pStyle w:val="Bibliography"/>
      </w:pPr>
      <w:r>
        <w:t xml:space="preserve">Gelman, A., Carlin, J. B., Stern, H. S., Dunson, D. B., Vehtari, A., &amp; Rubin, D. B. (2013).</w:t>
      </w:r>
      <w:r>
        <w:t xml:space="preserve"> </w:t>
      </w:r>
      <w:r>
        <w:rPr>
          <w:i/>
          <w:iCs/>
        </w:rPr>
        <w:t xml:space="preserve">Bayesian</w:t>
      </w:r>
      <w:r>
        <w:rPr>
          <w:i/>
          <w:iCs/>
        </w:rPr>
        <w:t xml:space="preserve"> </w:t>
      </w:r>
      <w:r>
        <w:rPr>
          <w:i/>
          <w:iCs/>
        </w:rPr>
        <w:t xml:space="preserve">data analysis</w:t>
      </w:r>
      <w:r>
        <w:t xml:space="preserve"> </w:t>
      </w:r>
      <w:r>
        <w:t xml:space="preserve">(3rd ed.).</w:t>
      </w:r>
      <w:r>
        <w:t xml:space="preserve"> </w:t>
      </w:r>
      <w:r>
        <w:t xml:space="preserve">Chapman &amp; Hall/CRC</w:t>
      </w:r>
      <w:r>
        <w:t xml:space="preserve">.</w:t>
      </w:r>
      <w:r>
        <w:t xml:space="preserve"> </w:t>
      </w:r>
      <w:hyperlink r:id="rId149">
        <w:r>
          <w:rPr>
            <w:rStyle w:val="Hyperlink"/>
          </w:rPr>
          <w:t xml:space="preserve">https://doi.org/10.1201/b16018</w:t>
        </w:r>
      </w:hyperlink>
    </w:p>
    <w:bookmarkEnd w:id="150"/>
    <w:bookmarkStart w:id="152" w:name="ref-Gelman2012"/>
    <w:p>
      <w:pPr>
        <w:pStyle w:val="Bibliography"/>
      </w:pPr>
      <w:r>
        <w:t xml:space="preserve">Gelman, A., Hill, J., &amp; Yajima, M. (2012). Why we (usually) don’t have to worry about multiple comparisons.</w:t>
      </w:r>
      <w:r>
        <w:t xml:space="preserve"> </w:t>
      </w:r>
      <w:r>
        <w:rPr>
          <w:i/>
          <w:iCs/>
        </w:rPr>
        <w:t xml:space="preserve">Journal of Research on Educational Effectiveness</w:t>
      </w:r>
      <w:r>
        <w:t xml:space="preserve">,</w:t>
      </w:r>
      <w:r>
        <w:t xml:space="preserve"> </w:t>
      </w:r>
      <w:r>
        <w:rPr>
          <w:i/>
          <w:iCs/>
        </w:rPr>
        <w:t xml:space="preserve">5</w:t>
      </w:r>
      <w:r>
        <w:t xml:space="preserve">(2), 189–211.</w:t>
      </w:r>
      <w:r>
        <w:t xml:space="preserve"> </w:t>
      </w:r>
      <w:hyperlink r:id="rId151">
        <w:r>
          <w:rPr>
            <w:rStyle w:val="Hyperlink"/>
          </w:rPr>
          <w:t xml:space="preserve">https://doi.org/10.1080/19345747.2011.618213</w:t>
        </w:r>
      </w:hyperlink>
    </w:p>
    <w:bookmarkEnd w:id="152"/>
    <w:bookmarkStart w:id="154" w:name="ref-Gelman2000"/>
    <w:p>
      <w:pPr>
        <w:pStyle w:val="Bibliography"/>
      </w:pPr>
      <w:r>
        <w:t xml:space="preserve">Gelman, A., &amp; Tuerlinckx, F. (2000).</w:t>
      </w:r>
      <w:r>
        <w:t xml:space="preserve"> </w:t>
      </w:r>
      <w:r>
        <w:t xml:space="preserve">Type S</w:t>
      </w:r>
      <w:r>
        <w:t xml:space="preserve"> </w:t>
      </w:r>
      <w:r>
        <w:t xml:space="preserve">error rates for classical and</w:t>
      </w:r>
      <w:r>
        <w:t xml:space="preserve"> </w:t>
      </w:r>
      <w:r>
        <w:t xml:space="preserve">Bayesian</w:t>
      </w:r>
      <w:r>
        <w:t xml:space="preserve"> </w:t>
      </w:r>
      <w:r>
        <w:t xml:space="preserve">single and multiple comparison procedures.</w:t>
      </w:r>
      <w:r>
        <w:t xml:space="preserve"> </w:t>
      </w:r>
      <w:r>
        <w:rPr>
          <w:i/>
          <w:iCs/>
        </w:rPr>
        <w:t xml:space="preserve">Computational Statistics</w:t>
      </w:r>
      <w:r>
        <w:t xml:space="preserve">,</w:t>
      </w:r>
      <w:r>
        <w:t xml:space="preserve"> </w:t>
      </w:r>
      <w:r>
        <w:rPr>
          <w:i/>
          <w:iCs/>
        </w:rPr>
        <w:t xml:space="preserve">15</w:t>
      </w:r>
      <w:r>
        <w:t xml:space="preserve">(3), 373–390.</w:t>
      </w:r>
      <w:r>
        <w:t xml:space="preserve"> </w:t>
      </w:r>
      <w:hyperlink r:id="rId153">
        <w:r>
          <w:rPr>
            <w:rStyle w:val="Hyperlink"/>
          </w:rPr>
          <w:t xml:space="preserve">https://doi.org/10.1007/s001800000040</w:t>
        </w:r>
      </w:hyperlink>
    </w:p>
    <w:bookmarkEnd w:id="154"/>
    <w:bookmarkStart w:id="156" w:name="ref-Gigerenzer2004"/>
    <w:p>
      <w:pPr>
        <w:pStyle w:val="Bibliography"/>
      </w:pPr>
      <w:r>
        <w:t xml:space="preserve">Gigerenzer, G. (2004). Mindless statistics.</w:t>
      </w:r>
      <w:r>
        <w:t xml:space="preserve"> </w:t>
      </w:r>
      <w:r>
        <w:rPr>
          <w:i/>
          <w:iCs/>
        </w:rPr>
        <w:t xml:space="preserve">The Journal of Socio-Economics</w:t>
      </w:r>
      <w:r>
        <w:t xml:space="preserve">,</w:t>
      </w:r>
      <w:r>
        <w:t xml:space="preserve"> </w:t>
      </w:r>
      <w:r>
        <w:rPr>
          <w:i/>
          <w:iCs/>
        </w:rPr>
        <w:t xml:space="preserve">33</w:t>
      </w:r>
      <w:r>
        <w:t xml:space="preserve">(5), 587–606.</w:t>
      </w:r>
      <w:r>
        <w:t xml:space="preserve"> </w:t>
      </w:r>
      <w:hyperlink r:id="rId155">
        <w:r>
          <w:rPr>
            <w:rStyle w:val="Hyperlink"/>
          </w:rPr>
          <w:t xml:space="preserve">https://doi.org/10.1016/j.socec.2004.09.033</w:t>
        </w:r>
      </w:hyperlink>
    </w:p>
    <w:bookmarkEnd w:id="156"/>
    <w:bookmarkStart w:id="158" w:name="ref-Guo2010"/>
    <w:p>
      <w:pPr>
        <w:pStyle w:val="Bibliography"/>
      </w:pPr>
      <w:r>
        <w:t xml:space="preserve">Guo, M., &amp; Heitjan, D. F. (2010). Multiplicity-calibrated</w:t>
      </w:r>
      <w:r>
        <w:t xml:space="preserve"> </w:t>
      </w:r>
      <w:r>
        <w:t xml:space="preserve">Bayesian</w:t>
      </w:r>
      <w:r>
        <w:t xml:space="preserve"> </w:t>
      </w:r>
      <w:r>
        <w:t xml:space="preserve">hypothesis tests.</w:t>
      </w:r>
      <w:r>
        <w:t xml:space="preserve"> </w:t>
      </w:r>
      <w:r>
        <w:rPr>
          <w:i/>
          <w:iCs/>
        </w:rPr>
        <w:t xml:space="preserve">Biostatistics</w:t>
      </w:r>
      <w:r>
        <w:t xml:space="preserve">,</w:t>
      </w:r>
      <w:r>
        <w:t xml:space="preserve"> </w:t>
      </w:r>
      <w:r>
        <w:rPr>
          <w:i/>
          <w:iCs/>
        </w:rPr>
        <w:t xml:space="preserve">11</w:t>
      </w:r>
      <w:r>
        <w:t xml:space="preserve">(3), 473–483.</w:t>
      </w:r>
      <w:r>
        <w:t xml:space="preserve"> </w:t>
      </w:r>
      <w:hyperlink r:id="rId157">
        <w:r>
          <w:rPr>
            <w:rStyle w:val="Hyperlink"/>
          </w:rPr>
          <w:t xml:space="preserve">https://doi.org/10.1093/biostatistics/kxq012</w:t>
        </w:r>
      </w:hyperlink>
    </w:p>
    <w:bookmarkEnd w:id="158"/>
    <w:bookmarkStart w:id="160" w:name="ref-Heck2023"/>
    <w:p>
      <w:pPr>
        <w:pStyle w:val="Bibliography"/>
      </w:pPr>
      <w:r>
        <w:t xml:space="preserve">Heck, D. W., Boehm, U., Böing-Messing, F., Bürkner, P.-C., Derks, K., Dienes, Z., Fu, Q., Gu, X., Karimova, D., Kiers, H. A., et al.</w:t>
      </w:r>
      <w:r>
        <w:t xml:space="preserve"> (2023). A review of applications of the</w:t>
      </w:r>
      <w:r>
        <w:t xml:space="preserve"> </w:t>
      </w:r>
      <w:r>
        <w:t xml:space="preserve">Bayes</w:t>
      </w:r>
      <w:r>
        <w:t xml:space="preserve"> </w:t>
      </w:r>
      <w:r>
        <w:t xml:space="preserve">factor in psychological research.</w:t>
      </w:r>
      <w:r>
        <w:t xml:space="preserve"> </w:t>
      </w:r>
      <w:r>
        <w:rPr>
          <w:i/>
          <w:iCs/>
        </w:rPr>
        <w:t xml:space="preserve">Psychological Methods</w:t>
      </w:r>
      <w:r>
        <w:t xml:space="preserve">,</w:t>
      </w:r>
      <w:r>
        <w:t xml:space="preserve"> </w:t>
      </w:r>
      <w:r>
        <w:rPr>
          <w:i/>
          <w:iCs/>
        </w:rPr>
        <w:t xml:space="preserve">28</w:t>
      </w:r>
      <w:r>
        <w:t xml:space="preserve">(3), 558–579.</w:t>
      </w:r>
      <w:r>
        <w:t xml:space="preserve"> </w:t>
      </w:r>
      <w:hyperlink r:id="rId159">
        <w:r>
          <w:rPr>
            <w:rStyle w:val="Hyperlink"/>
          </w:rPr>
          <w:t xml:space="preserve">https://doi.org/10.1037/met0000454</w:t>
        </w:r>
      </w:hyperlink>
    </w:p>
    <w:bookmarkEnd w:id="160"/>
    <w:bookmarkStart w:id="162" w:name="ref-Hochberg1987"/>
    <w:p>
      <w:pPr>
        <w:pStyle w:val="Bibliography"/>
      </w:pPr>
      <w:r>
        <w:t xml:space="preserve">Hochberg, Y., &amp; Tamhane, A. C. (1987).</w:t>
      </w:r>
      <w:r>
        <w:t xml:space="preserve"> </w:t>
      </w:r>
      <w:r>
        <w:rPr>
          <w:i/>
          <w:iCs/>
        </w:rPr>
        <w:t xml:space="preserve">Multiple comparison procedures</w:t>
      </w:r>
      <w:r>
        <w:t xml:space="preserve"> </w:t>
      </w:r>
      <w:r>
        <w:t xml:space="preserve">(1st ed.). Wiley.</w:t>
      </w:r>
      <w:r>
        <w:t xml:space="preserve"> </w:t>
      </w:r>
      <w:hyperlink r:id="rId161">
        <w:r>
          <w:rPr>
            <w:rStyle w:val="Hyperlink"/>
          </w:rPr>
          <w:t xml:space="preserve">https://doi.org/10.1002/9780470316672</w:t>
        </w:r>
      </w:hyperlink>
    </w:p>
    <w:bookmarkEnd w:id="162"/>
    <w:bookmarkStart w:id="164" w:name="ref-Hochman2025"/>
    <w:p>
      <w:pPr>
        <w:pStyle w:val="Bibliography"/>
      </w:pPr>
      <w:r>
        <w:t xml:space="preserve">Hochman, S., Havedanloo, R., Heysieattalab, S., &amp; Soltanlou, M. (2025). How does language modulate the association between number and space?</w:t>
      </w:r>
      <w:r>
        <w:t xml:space="preserve"> </w:t>
      </w:r>
      <w:r>
        <w:t xml:space="preserve">A</w:t>
      </w:r>
      <w:r>
        <w:t xml:space="preserve"> </w:t>
      </w:r>
      <w:r>
        <w:t xml:space="preserve">registered report of a cross-cultural study of the spatial–numerical association of response codes effect.</w:t>
      </w:r>
      <w:r>
        <w:t xml:space="preserve"> </w:t>
      </w:r>
      <w:r>
        <w:rPr>
          <w:i/>
          <w:iCs/>
        </w:rPr>
        <w:t xml:space="preserve">Journal of Experimental Psychology: General</w:t>
      </w:r>
      <w:r>
        <w:t xml:space="preserve">,</w:t>
      </w:r>
      <w:r>
        <w:t xml:space="preserve"> </w:t>
      </w:r>
      <w:r>
        <w:rPr>
          <w:i/>
          <w:iCs/>
        </w:rPr>
        <w:t xml:space="preserve">154</w:t>
      </w:r>
      <w:r>
        <w:t xml:space="preserve">(2), 305–324.</w:t>
      </w:r>
      <w:r>
        <w:t xml:space="preserve"> </w:t>
      </w:r>
      <w:hyperlink r:id="rId163">
        <w:r>
          <w:rPr>
            <w:rStyle w:val="Hyperlink"/>
          </w:rPr>
          <w:t xml:space="preserve">https://doi.org/10.1037/xge0001653</w:t>
        </w:r>
      </w:hyperlink>
    </w:p>
    <w:bookmarkEnd w:id="164"/>
    <w:bookmarkStart w:id="166" w:name="ref-Hoijtink2016"/>
    <w:p>
      <w:pPr>
        <w:pStyle w:val="Bibliography"/>
      </w:pPr>
      <w:r>
        <w:t xml:space="preserve">Hoijtink, H., van Kooten, P., &amp; Hulsker, K. (2016). Why</w:t>
      </w:r>
      <w:r>
        <w:t xml:space="preserve"> </w:t>
      </w:r>
      <w:r>
        <w:t xml:space="preserve">Bayesian</w:t>
      </w:r>
      <w:r>
        <w:t xml:space="preserve"> </w:t>
      </w:r>
      <w:r>
        <w:t xml:space="preserve">psychologists should change the way they use the</w:t>
      </w:r>
      <w:r>
        <w:t xml:space="preserve"> </w:t>
      </w:r>
      <w:r>
        <w:t xml:space="preserve">Bayes</w:t>
      </w:r>
      <w:r>
        <w:t xml:space="preserve"> </w:t>
      </w:r>
      <w:r>
        <w:t xml:space="preserve">factor.</w:t>
      </w:r>
      <w:r>
        <w:t xml:space="preserve"> </w:t>
      </w:r>
      <w:r>
        <w:rPr>
          <w:i/>
          <w:iCs/>
        </w:rPr>
        <w:t xml:space="preserve">Multivariate Behavioral Research</w:t>
      </w:r>
      <w:r>
        <w:t xml:space="preserve">,</w:t>
      </w:r>
      <w:r>
        <w:t xml:space="preserve"> </w:t>
      </w:r>
      <w:r>
        <w:rPr>
          <w:i/>
          <w:iCs/>
        </w:rPr>
        <w:t xml:space="preserve">51</w:t>
      </w:r>
      <w:r>
        <w:t xml:space="preserve">(1), 2–10.</w:t>
      </w:r>
      <w:r>
        <w:t xml:space="preserve"> </w:t>
      </w:r>
      <w:hyperlink r:id="rId165">
        <w:r>
          <w:rPr>
            <w:rStyle w:val="Hyperlink"/>
          </w:rPr>
          <w:t xml:space="preserve">https://doi.org/10.1080/00273171.2014.969364</w:t>
        </w:r>
      </w:hyperlink>
    </w:p>
    <w:bookmarkEnd w:id="166"/>
    <w:bookmarkStart w:id="168" w:name="ref-Grant2025"/>
    <w:p>
      <w:pPr>
        <w:pStyle w:val="Bibliography"/>
      </w:pPr>
      <w:r>
        <w:t xml:space="preserve">Izmirlian, G., Sirota, L. A., Berger, V. W., &amp; Kipnis, V. (2025). The fundamentals of multiplicity adjustment in biostatistics.</w:t>
      </w:r>
      <w:r>
        <w:t xml:space="preserve"> </w:t>
      </w:r>
      <w:r>
        <w:rPr>
          <w:i/>
          <w:iCs/>
        </w:rPr>
        <w:t xml:space="preserve">JNCI Monographs</w:t>
      </w:r>
      <w:r>
        <w:t xml:space="preserve">,</w:t>
      </w:r>
      <w:r>
        <w:t xml:space="preserve"> </w:t>
      </w:r>
      <w:r>
        <w:rPr>
          <w:i/>
          <w:iCs/>
        </w:rPr>
        <w:t xml:space="preserve">2025</w:t>
      </w:r>
      <w:r>
        <w:t xml:space="preserve">(68), 10–13.</w:t>
      </w:r>
      <w:r>
        <w:t xml:space="preserve"> </w:t>
      </w:r>
      <w:hyperlink r:id="rId167">
        <w:r>
          <w:rPr>
            <w:rStyle w:val="Hyperlink"/>
          </w:rPr>
          <w:t xml:space="preserve">https://doi.org/10.1093/jncimonographs/lgae050</w:t>
        </w:r>
      </w:hyperlink>
    </w:p>
    <w:bookmarkEnd w:id="168"/>
    <w:bookmarkStart w:id="170" w:name="ref-Jeffreys1938"/>
    <w:p>
      <w:pPr>
        <w:pStyle w:val="Bibliography"/>
      </w:pPr>
      <w:r>
        <w:t xml:space="preserve">Jeffreys, H. (1938). Significance tests when several degrees of freedom arise simultaneously.</w:t>
      </w:r>
      <w:r>
        <w:t xml:space="preserve"> </w:t>
      </w:r>
      <w:r>
        <w:rPr>
          <w:i/>
          <w:iCs/>
        </w:rPr>
        <w:t xml:space="preserve">Proceedings of the Royal Society of London. Series A. Mathematical and Physical Sciences</w:t>
      </w:r>
      <w:r>
        <w:t xml:space="preserve">,</w:t>
      </w:r>
      <w:r>
        <w:t xml:space="preserve"> </w:t>
      </w:r>
      <w:r>
        <w:rPr>
          <w:i/>
          <w:iCs/>
        </w:rPr>
        <w:t xml:space="preserve">165</w:t>
      </w:r>
      <w:r>
        <w:t xml:space="preserve">(921), 161–198.</w:t>
      </w:r>
      <w:r>
        <w:t xml:space="preserve"> </w:t>
      </w:r>
      <w:hyperlink r:id="rId169">
        <w:r>
          <w:rPr>
            <w:rStyle w:val="Hyperlink"/>
          </w:rPr>
          <w:t xml:space="preserve">https://doi.org/10.1098/rspa.1938.0052</w:t>
        </w:r>
      </w:hyperlink>
    </w:p>
    <w:bookmarkEnd w:id="170"/>
    <w:bookmarkStart w:id="172" w:name="ref-Jevremov2024"/>
    <w:p>
      <w:pPr>
        <w:pStyle w:val="Bibliography"/>
      </w:pPr>
      <w:r>
        <w:t xml:space="preserve">Jevremov, T., &amp; Pajić, D. (2024).</w:t>
      </w:r>
      <w:r>
        <w:t xml:space="preserve"> </w:t>
      </w:r>
      <w:r>
        <w:t xml:space="preserve">Bayesian</w:t>
      </w:r>
      <w:r>
        <w:t xml:space="preserve"> </w:t>
      </w:r>
      <w:r>
        <w:t xml:space="preserve">method in psychology: A bibliometric analysis.</w:t>
      </w:r>
      <w:r>
        <w:t xml:space="preserve"> </w:t>
      </w:r>
      <w:r>
        <w:rPr>
          <w:i/>
          <w:iCs/>
        </w:rPr>
        <w:t xml:space="preserve">Current Psychology</w:t>
      </w:r>
      <w:r>
        <w:t xml:space="preserve">,</w:t>
      </w:r>
      <w:r>
        <w:t xml:space="preserve"> </w:t>
      </w:r>
      <w:r>
        <w:rPr>
          <w:i/>
          <w:iCs/>
        </w:rPr>
        <w:t xml:space="preserve">43</w:t>
      </w:r>
      <w:r>
        <w:t xml:space="preserve">(10), 8644–8654.</w:t>
      </w:r>
      <w:r>
        <w:t xml:space="preserve"> </w:t>
      </w:r>
      <w:hyperlink r:id="rId171">
        <w:r>
          <w:rPr>
            <w:rStyle w:val="Hyperlink"/>
          </w:rPr>
          <w:t xml:space="preserve">https://doi.org/10.1007/s12144-023-05003-3</w:t>
        </w:r>
      </w:hyperlink>
    </w:p>
    <w:bookmarkEnd w:id="172"/>
    <w:bookmarkStart w:id="174" w:name="ref-Kelter2023"/>
    <w:p>
      <w:pPr>
        <w:pStyle w:val="Bibliography"/>
      </w:pPr>
      <w:r>
        <w:t xml:space="preserve">Kelter, R. (2023). How to choose between different</w:t>
      </w:r>
      <w:r>
        <w:t xml:space="preserve"> </w:t>
      </w:r>
      <w:r>
        <w:t xml:space="preserve">Bayesian</w:t>
      </w:r>
      <w:r>
        <w:t xml:space="preserve"> </w:t>
      </w:r>
      <w:r>
        <w:t xml:space="preserve">posterior indices for hypothesis testing in practice.</w:t>
      </w:r>
      <w:r>
        <w:t xml:space="preserve"> </w:t>
      </w:r>
      <w:r>
        <w:rPr>
          <w:i/>
          <w:iCs/>
        </w:rPr>
        <w:t xml:space="preserve">Multivariate Behavioral Research</w:t>
      </w:r>
      <w:r>
        <w:t xml:space="preserve">,</w:t>
      </w:r>
      <w:r>
        <w:t xml:space="preserve"> </w:t>
      </w:r>
      <w:r>
        <w:rPr>
          <w:i/>
          <w:iCs/>
        </w:rPr>
        <w:t xml:space="preserve">58</w:t>
      </w:r>
      <w:r>
        <w:t xml:space="preserve">(1), 160–188.</w:t>
      </w:r>
      <w:r>
        <w:t xml:space="preserve"> </w:t>
      </w:r>
      <w:hyperlink r:id="rId173">
        <w:r>
          <w:rPr>
            <w:rStyle w:val="Hyperlink"/>
          </w:rPr>
          <w:t xml:space="preserve">https://doi.org/10.1080/00273171.2021.1967716</w:t>
        </w:r>
      </w:hyperlink>
    </w:p>
    <w:bookmarkEnd w:id="174"/>
    <w:bookmarkStart w:id="176" w:name="ref-Kruschke2011"/>
    <w:p>
      <w:pPr>
        <w:pStyle w:val="Bibliography"/>
      </w:pPr>
      <w:r>
        <w:t xml:space="preserve">Kruschke, J. K. (2011).</w:t>
      </w:r>
      <w:r>
        <w:t xml:space="preserve"> </w:t>
      </w:r>
      <w:r>
        <w:t xml:space="preserve">Bayesian</w:t>
      </w:r>
      <w:r>
        <w:t xml:space="preserve"> </w:t>
      </w:r>
      <w:r>
        <w:t xml:space="preserve">assessment of null values via parameter estimation and model comparison.</w:t>
      </w:r>
      <w:r>
        <w:t xml:space="preserve"> </w:t>
      </w:r>
      <w:r>
        <w:rPr>
          <w:i/>
          <w:iCs/>
        </w:rPr>
        <w:t xml:space="preserve">Perspectives on Psychological Science</w:t>
      </w:r>
      <w:r>
        <w:t xml:space="preserve">,</w:t>
      </w:r>
      <w:r>
        <w:t xml:space="preserve"> </w:t>
      </w:r>
      <w:r>
        <w:rPr>
          <w:i/>
          <w:iCs/>
        </w:rPr>
        <w:t xml:space="preserve">6</w:t>
      </w:r>
      <w:r>
        <w:t xml:space="preserve">(3), 299–312.</w:t>
      </w:r>
      <w:r>
        <w:t xml:space="preserve"> </w:t>
      </w:r>
      <w:hyperlink r:id="rId175">
        <w:r>
          <w:rPr>
            <w:rStyle w:val="Hyperlink"/>
          </w:rPr>
          <w:t xml:space="preserve">https://doi.org/10.1177/1745691611406925</w:t>
        </w:r>
      </w:hyperlink>
    </w:p>
    <w:bookmarkEnd w:id="176"/>
    <w:bookmarkStart w:id="178" w:name="ref-Kruschke2018"/>
    <w:p>
      <w:pPr>
        <w:pStyle w:val="Bibliography"/>
      </w:pPr>
      <w:r>
        <w:t xml:space="preserve">Kruschke, J. K. (2018). Rejecting or accepting parameter values in</w:t>
      </w:r>
      <w:r>
        <w:t xml:space="preserve"> </w:t>
      </w:r>
      <w:r>
        <w:t xml:space="preserve">Bayesian</w:t>
      </w:r>
      <w:r>
        <w:t xml:space="preserve"> </w:t>
      </w:r>
      <w:r>
        <w:t xml:space="preserve">estimation.</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r>
        <w:t xml:space="preserve"> </w:t>
      </w:r>
      <w:hyperlink r:id="rId177">
        <w:r>
          <w:rPr>
            <w:rStyle w:val="Hyperlink"/>
          </w:rPr>
          <w:t xml:space="preserve">https://doi.org/10.1177/2515245918771304</w:t>
        </w:r>
      </w:hyperlink>
    </w:p>
    <w:bookmarkEnd w:id="178"/>
    <w:bookmarkStart w:id="180" w:name="ref-Lakens2018"/>
    <w:p>
      <w:pPr>
        <w:pStyle w:val="Bibliography"/>
      </w:pPr>
      <w:r>
        <w:t xml:space="preserve">Lakens, D., Scheel, A. M., &amp; Isager, P. M. (2018). Equivalence testing for psychological research:</w:t>
      </w:r>
      <w:r>
        <w:t xml:space="preserve"> </w:t>
      </w:r>
      <w:r>
        <w:t xml:space="preserve">A</w:t>
      </w:r>
      <w:r>
        <w:t xml:space="preserve"> </w:t>
      </w:r>
      <w:r>
        <w:t xml:space="preserve">tutorial.</w:t>
      </w:r>
      <w:r>
        <w:t xml:space="preserve"> </w:t>
      </w:r>
      <w:r>
        <w:rPr>
          <w:i/>
          <w:iCs/>
        </w:rPr>
        <w:t xml:space="preserve">Advances in Methods and Practices in Psychological Science</w:t>
      </w:r>
      <w:r>
        <w:t xml:space="preserve">,</w:t>
      </w:r>
      <w:r>
        <w:t xml:space="preserve"> </w:t>
      </w:r>
      <w:r>
        <w:rPr>
          <w:i/>
          <w:iCs/>
        </w:rPr>
        <w:t xml:space="preserve">1</w:t>
      </w:r>
      <w:r>
        <w:t xml:space="preserve">(2), 259–269.</w:t>
      </w:r>
      <w:r>
        <w:t xml:space="preserve"> </w:t>
      </w:r>
      <w:hyperlink r:id="rId179">
        <w:r>
          <w:rPr>
            <w:rStyle w:val="Hyperlink"/>
          </w:rPr>
          <w:t xml:space="preserve">https://doi.org/10.1177/2515245918770963</w:t>
        </w:r>
      </w:hyperlink>
    </w:p>
    <w:bookmarkEnd w:id="180"/>
    <w:bookmarkStart w:id="182" w:name="ref-Lin2020"/>
    <w:p>
      <w:pPr>
        <w:pStyle w:val="Bibliography"/>
      </w:pPr>
      <w:r>
        <w:t xml:space="preserve">Lin, H., Saunders, B., Friese, M., Evans, N. J., &amp; Inzlicht, M. (2020). Strong effort manipulations reduce response caution: A preregistered reinvention of the ego-depletion paradigm.</w:t>
      </w:r>
      <w:r>
        <w:t xml:space="preserve"> </w:t>
      </w:r>
      <w:r>
        <w:rPr>
          <w:i/>
          <w:iCs/>
        </w:rPr>
        <w:t xml:space="preserve">Psychological Science</w:t>
      </w:r>
      <w:r>
        <w:t xml:space="preserve">,</w:t>
      </w:r>
      <w:r>
        <w:t xml:space="preserve"> </w:t>
      </w:r>
      <w:r>
        <w:rPr>
          <w:i/>
          <w:iCs/>
        </w:rPr>
        <w:t xml:space="preserve">31</w:t>
      </w:r>
      <w:r>
        <w:t xml:space="preserve">(5), 531–547.</w:t>
      </w:r>
      <w:r>
        <w:t xml:space="preserve"> </w:t>
      </w:r>
      <w:hyperlink r:id="rId181">
        <w:r>
          <w:rPr>
            <w:rStyle w:val="Hyperlink"/>
          </w:rPr>
          <w:t xml:space="preserve">https://doi.org/10.1177/0956797620904990</w:t>
        </w:r>
      </w:hyperlink>
    </w:p>
    <w:bookmarkEnd w:id="182"/>
    <w:bookmarkStart w:id="184" w:name="ref-Ly2016"/>
    <w:p>
      <w:pPr>
        <w:pStyle w:val="Bibliography"/>
      </w:pPr>
      <w:r>
        <w:t xml:space="preserve">Ly, A., Verhagen, J., &amp; Wagenmakers, E.-J. (2016). Harold</w:t>
      </w:r>
      <w:r>
        <w:t xml:space="preserve"> </w:t>
      </w:r>
      <w:r>
        <w:t xml:space="preserve">Jeffreys</w:t>
      </w:r>
      <w:r>
        <w:t xml:space="preserve">’s default</w:t>
      </w:r>
      <w:r>
        <w:t xml:space="preserve"> </w:t>
      </w:r>
      <w:r>
        <w:t xml:space="preserve">Bayes</w:t>
      </w:r>
      <w:r>
        <w:t xml:space="preserve"> </w:t>
      </w:r>
      <w:r>
        <w:t xml:space="preserve">factor hypothesis tests: Explanation, extension, and application in psychology.</w:t>
      </w:r>
      <w:r>
        <w:t xml:space="preserve"> </w:t>
      </w:r>
      <w:r>
        <w:rPr>
          <w:i/>
          <w:iCs/>
        </w:rPr>
        <w:t xml:space="preserve">Journal of Mathematical Psychology</w:t>
      </w:r>
      <w:r>
        <w:t xml:space="preserve">,</w:t>
      </w:r>
      <w:r>
        <w:t xml:space="preserve"> </w:t>
      </w:r>
      <w:r>
        <w:rPr>
          <w:i/>
          <w:iCs/>
        </w:rPr>
        <w:t xml:space="preserve">72</w:t>
      </w:r>
      <w:r>
        <w:t xml:space="preserve">, 19–32.</w:t>
      </w:r>
      <w:r>
        <w:t xml:space="preserve"> </w:t>
      </w:r>
      <w:hyperlink r:id="rId183">
        <w:r>
          <w:rPr>
            <w:rStyle w:val="Hyperlink"/>
          </w:rPr>
          <w:t xml:space="preserve">https://doi.org/10.1016/j.jmp.2015.06.004</w:t>
        </w:r>
      </w:hyperlink>
    </w:p>
    <w:bookmarkEnd w:id="184"/>
    <w:bookmarkStart w:id="186" w:name="ref-Makowski2019"/>
    <w:p>
      <w:pPr>
        <w:pStyle w:val="Bibliography"/>
      </w:pPr>
      <w:r>
        <w:t xml:space="preserve">Makowski, D., Ben-Shachar, M. S., Chen, S. H. A., &amp; Lüdecke, D. (2019). Indices of effect existence and significance in the</w:t>
      </w:r>
      <w:r>
        <w:t xml:space="preserve"> </w:t>
      </w:r>
      <w:r>
        <w:t xml:space="preserve">Bayesian</w:t>
      </w:r>
      <w:r>
        <w:t xml:space="preserve"> </w:t>
      </w:r>
      <w:r>
        <w:t xml:space="preserve">framework.</w:t>
      </w:r>
      <w:r>
        <w:t xml:space="preserve"> </w:t>
      </w:r>
      <w:r>
        <w:rPr>
          <w:i/>
          <w:iCs/>
        </w:rPr>
        <w:t xml:space="preserve">Frontiers in Psychology</w:t>
      </w:r>
      <w:r>
        <w:t xml:space="preserve">,</w:t>
      </w:r>
      <w:r>
        <w:t xml:space="preserve"> </w:t>
      </w:r>
      <w:r>
        <w:rPr>
          <w:i/>
          <w:iCs/>
        </w:rPr>
        <w:t xml:space="preserve">10</w:t>
      </w:r>
      <w:r>
        <w:t xml:space="preserve">, 2767.</w:t>
      </w:r>
      <w:r>
        <w:t xml:space="preserve"> </w:t>
      </w:r>
      <w:hyperlink r:id="rId185">
        <w:r>
          <w:rPr>
            <w:rStyle w:val="Hyperlink"/>
          </w:rPr>
          <w:t xml:space="preserve">https://doi.org/10.3389/fpsyg.2019.02767</w:t>
        </w:r>
      </w:hyperlink>
    </w:p>
    <w:bookmarkEnd w:id="186"/>
    <w:bookmarkStart w:id="188" w:name="ref-Makowski2020"/>
    <w:p>
      <w:pPr>
        <w:pStyle w:val="Bibliography"/>
      </w:pPr>
      <w:r>
        <w:t xml:space="preserve">Makowski, D., Sperduti, M., Blondé, P., Nicolas, S., &amp; Piolino, P. (2020). The heart of cognitive control: Cardiac phase modulates processing speed and inhibition.</w:t>
      </w:r>
      <w:r>
        <w:t xml:space="preserve"> </w:t>
      </w:r>
      <w:r>
        <w:rPr>
          <w:i/>
          <w:iCs/>
        </w:rPr>
        <w:t xml:space="preserve">Psychophysiology</w:t>
      </w:r>
      <w:r>
        <w:t xml:space="preserve">,</w:t>
      </w:r>
      <w:r>
        <w:t xml:space="preserve"> </w:t>
      </w:r>
      <w:r>
        <w:rPr>
          <w:i/>
          <w:iCs/>
        </w:rPr>
        <w:t xml:space="preserve">57</w:t>
      </w:r>
      <w:r>
        <w:t xml:space="preserve">(3), e13490.</w:t>
      </w:r>
      <w:r>
        <w:t xml:space="preserve"> </w:t>
      </w:r>
      <w:hyperlink r:id="rId187">
        <w:r>
          <w:rPr>
            <w:rStyle w:val="Hyperlink"/>
          </w:rPr>
          <w:t xml:space="preserve">https://doi.org/10.1111/psyp.13490</w:t>
        </w:r>
      </w:hyperlink>
    </w:p>
    <w:bookmarkEnd w:id="188"/>
    <w:bookmarkStart w:id="190" w:name="ref-Marsman2017"/>
    <w:p>
      <w:pPr>
        <w:pStyle w:val="Bibliography"/>
      </w:pPr>
      <w:r>
        <w:t xml:space="preserve">Marsman, M., &amp; Wagenmakers, E.-J. (2017). Three insights from a</w:t>
      </w:r>
      <w:r>
        <w:t xml:space="preserve"> </w:t>
      </w:r>
      <w:r>
        <w:t xml:space="preserve">Bayesian</w:t>
      </w:r>
      <w:r>
        <w:t xml:space="preserve"> </w:t>
      </w:r>
      <w:r>
        <w:t xml:space="preserve">interpretation of the one-sided p value.</w:t>
      </w:r>
      <w:r>
        <w:t xml:space="preserve"> </w:t>
      </w:r>
      <w:r>
        <w:rPr>
          <w:i/>
          <w:iCs/>
        </w:rPr>
        <w:t xml:space="preserve">Educational and Psychological Measurement</w:t>
      </w:r>
      <w:r>
        <w:t xml:space="preserve">,</w:t>
      </w:r>
      <w:r>
        <w:t xml:space="preserve"> </w:t>
      </w:r>
      <w:r>
        <w:rPr>
          <w:i/>
          <w:iCs/>
        </w:rPr>
        <w:t xml:space="preserve">77</w:t>
      </w:r>
      <w:r>
        <w:t xml:space="preserve">(3), 529–539.</w:t>
      </w:r>
      <w:r>
        <w:t xml:space="preserve"> </w:t>
      </w:r>
      <w:hyperlink r:id="rId189">
        <w:r>
          <w:rPr>
            <w:rStyle w:val="Hyperlink"/>
          </w:rPr>
          <w:t xml:space="preserve">https://doi.org/10.1177/0013164416669201</w:t>
        </w:r>
      </w:hyperlink>
    </w:p>
    <w:bookmarkEnd w:id="190"/>
    <w:bookmarkStart w:id="192" w:name="ref-Morey2011"/>
    <w:p>
      <w:pPr>
        <w:pStyle w:val="Bibliography"/>
      </w:pPr>
      <w:r>
        <w:t xml:space="preserve">Morey, R. D., &amp; Rouder, J. N. (2011).</w:t>
      </w:r>
      <w:r>
        <w:t xml:space="preserve"> </w:t>
      </w:r>
      <w:r>
        <w:t xml:space="preserve">Bayes</w:t>
      </w:r>
      <w:r>
        <w:t xml:space="preserve"> </w:t>
      </w:r>
      <w:r>
        <w:t xml:space="preserve">factor approaches for testing interval null hypotheses.</w:t>
      </w:r>
      <w:r>
        <w:t xml:space="preserve"> </w:t>
      </w:r>
      <w:r>
        <w:rPr>
          <w:i/>
          <w:iCs/>
        </w:rPr>
        <w:t xml:space="preserve">Psychological Methods</w:t>
      </w:r>
      <w:r>
        <w:t xml:space="preserve">,</w:t>
      </w:r>
      <w:r>
        <w:t xml:space="preserve"> </w:t>
      </w:r>
      <w:r>
        <w:rPr>
          <w:i/>
          <w:iCs/>
        </w:rPr>
        <w:t xml:space="preserve">16</w:t>
      </w:r>
      <w:r>
        <w:t xml:space="preserve">(4), 406–419.</w:t>
      </w:r>
      <w:r>
        <w:t xml:space="preserve"> </w:t>
      </w:r>
      <w:hyperlink r:id="rId191">
        <w:r>
          <w:rPr>
            <w:rStyle w:val="Hyperlink"/>
          </w:rPr>
          <w:t xml:space="preserve">https://doi.org/10.1037/a0024377</w:t>
        </w:r>
      </w:hyperlink>
    </w:p>
    <w:bookmarkEnd w:id="192"/>
    <w:bookmarkStart w:id="194" w:name="ref-Müller2004"/>
    <w:p>
      <w:pPr>
        <w:pStyle w:val="Bibliography"/>
      </w:pPr>
      <w:r>
        <w:t xml:space="preserve">Müller, P., Parmigiani, G., Robert, C., &amp; Rousseau, J. (2004). Optimal sample size for multiple testing.</w:t>
      </w:r>
      <w:r>
        <w:t xml:space="preserve"> </w:t>
      </w:r>
      <w:r>
        <w:rPr>
          <w:i/>
          <w:iCs/>
        </w:rPr>
        <w:t xml:space="preserve">Journal of the American Statistical Association</w:t>
      </w:r>
      <w:r>
        <w:t xml:space="preserve">,</w:t>
      </w:r>
      <w:r>
        <w:t xml:space="preserve"> </w:t>
      </w:r>
      <w:r>
        <w:rPr>
          <w:i/>
          <w:iCs/>
        </w:rPr>
        <w:t xml:space="preserve">99</w:t>
      </w:r>
      <w:r>
        <w:t xml:space="preserve">(468), 990–1001.</w:t>
      </w:r>
      <w:r>
        <w:t xml:space="preserve"> </w:t>
      </w:r>
      <w:hyperlink r:id="rId193">
        <w:r>
          <w:rPr>
            <w:rStyle w:val="Hyperlink"/>
          </w:rPr>
          <w:t xml:space="preserve">https://doi.org/10.1198/016214504000001646</w:t>
        </w:r>
      </w:hyperlink>
    </w:p>
    <w:bookmarkEnd w:id="194"/>
    <w:bookmarkStart w:id="196" w:name="ref-Hagan2019"/>
    <w:p>
      <w:pPr>
        <w:pStyle w:val="Bibliography"/>
      </w:pPr>
      <w:r>
        <w:t xml:space="preserve">O’Hagan, A. (2019). Expert knowledge elicitation: Subjective but scientific.</w:t>
      </w:r>
      <w:r>
        <w:t xml:space="preserve"> </w:t>
      </w:r>
      <w:r>
        <w:rPr>
          <w:i/>
          <w:iCs/>
        </w:rPr>
        <w:t xml:space="preserve">The American Statistician</w:t>
      </w:r>
      <w:r>
        <w:t xml:space="preserve">,</w:t>
      </w:r>
      <w:r>
        <w:t xml:space="preserve"> </w:t>
      </w:r>
      <w:r>
        <w:rPr>
          <w:i/>
          <w:iCs/>
        </w:rPr>
        <w:t xml:space="preserve">73</w:t>
      </w:r>
      <w:r>
        <w:t xml:space="preserve">(sup1), 69–81.</w:t>
      </w:r>
      <w:r>
        <w:t xml:space="preserve"> </w:t>
      </w:r>
      <w:hyperlink r:id="rId195">
        <w:r>
          <w:rPr>
            <w:rStyle w:val="Hyperlink"/>
          </w:rPr>
          <w:t xml:space="preserve">https://doi.org/10.1080/00031305.2018.1518265</w:t>
        </w:r>
      </w:hyperlink>
    </w:p>
    <w:bookmarkEnd w:id="196"/>
    <w:bookmarkStart w:id="198" w:name="ref-Oberauer2022"/>
    <w:p>
      <w:pPr>
        <w:pStyle w:val="Bibliography"/>
      </w:pPr>
      <w:r>
        <w:t xml:space="preserve">Oberauer, K. (2022). The importance of random slopes in mixed models for</w:t>
      </w:r>
      <w:r>
        <w:t xml:space="preserve"> </w:t>
      </w:r>
      <w:r>
        <w:t xml:space="preserve">Bayesian</w:t>
      </w:r>
      <w:r>
        <w:t xml:space="preserve"> </w:t>
      </w:r>
      <w:r>
        <w:t xml:space="preserve">hypothesis testing.</w:t>
      </w:r>
      <w:r>
        <w:t xml:space="preserve"> </w:t>
      </w:r>
      <w:r>
        <w:rPr>
          <w:i/>
          <w:iCs/>
        </w:rPr>
        <w:t xml:space="preserve">Psychological Science</w:t>
      </w:r>
      <w:r>
        <w:t xml:space="preserve">,</w:t>
      </w:r>
      <w:r>
        <w:t xml:space="preserve"> </w:t>
      </w:r>
      <w:r>
        <w:rPr>
          <w:i/>
          <w:iCs/>
        </w:rPr>
        <w:t xml:space="preserve">33</w:t>
      </w:r>
      <w:r>
        <w:t xml:space="preserve">(4), 648–665.</w:t>
      </w:r>
      <w:r>
        <w:t xml:space="preserve"> </w:t>
      </w:r>
      <w:hyperlink r:id="rId197">
        <w:r>
          <w:rPr>
            <w:rStyle w:val="Hyperlink"/>
          </w:rPr>
          <w:t xml:space="preserve">https://doi.org/10.1177/09567976211046884</w:t>
        </w:r>
      </w:hyperlink>
    </w:p>
    <w:bookmarkEnd w:id="198"/>
    <w:bookmarkStart w:id="200" w:name="ref-Pfadt2025"/>
    <w:p>
      <w:pPr>
        <w:pStyle w:val="Bibliography"/>
      </w:pPr>
      <w:r>
        <w:t xml:space="preserve">Pfadt, J. M., Bartoš, F., Godmann, H. R., Waaijers, M., Groot, L., Heo, I., et al.</w:t>
      </w:r>
      <w:r>
        <w:t xml:space="preserve"> (2025, October 30).</w:t>
      </w:r>
      <w:r>
        <w:t xml:space="preserve"> </w:t>
      </w:r>
      <w:r>
        <w:rPr>
          <w:i/>
          <w:iCs/>
        </w:rPr>
        <w:t xml:space="preserve">A methodological metamorphosis: The rapid rise of</w:t>
      </w:r>
      <w:r>
        <w:rPr>
          <w:i/>
          <w:iCs/>
        </w:rPr>
        <w:t xml:space="preserve"> </w:t>
      </w:r>
      <w:r>
        <w:rPr>
          <w:i/>
          <w:iCs/>
        </w:rPr>
        <w:t xml:space="preserve">Bayesian</w:t>
      </w:r>
      <w:r>
        <w:rPr>
          <w:i/>
          <w:iCs/>
        </w:rPr>
        <w:t xml:space="preserve"> </w:t>
      </w:r>
      <w:r>
        <w:rPr>
          <w:i/>
          <w:iCs/>
        </w:rPr>
        <w:t xml:space="preserve">inference and open science practices in psychology</w:t>
      </w:r>
      <w:r>
        <w:t xml:space="preserve">. OSF Preprints.</w:t>
      </w:r>
      <w:r>
        <w:t xml:space="preserve"> </w:t>
      </w:r>
      <w:hyperlink r:id="rId199">
        <w:r>
          <w:rPr>
            <w:rStyle w:val="Hyperlink"/>
          </w:rPr>
          <w:t xml:space="preserve">https://doi.org/10.31234/osf.io/ck3js_v1</w:t>
        </w:r>
      </w:hyperlink>
    </w:p>
    <w:bookmarkEnd w:id="200"/>
    <w:bookmarkStart w:id="201" w:name="ref-Pruzek2016"/>
    <w:p>
      <w:pPr>
        <w:pStyle w:val="Bibliography"/>
      </w:pPr>
      <w:r>
        <w:t xml:space="preserve">Pruzek, R. M. (2016).</w:t>
      </w:r>
      <w:r>
        <w:t xml:space="preserve"> </w:t>
      </w:r>
      <w:r>
        <w:rPr>
          <w:i/>
          <w:iCs/>
        </w:rPr>
        <w:t xml:space="preserve">An introduction to</w:t>
      </w:r>
      <w:r>
        <w:rPr>
          <w:i/>
          <w:iCs/>
        </w:rPr>
        <w:t xml:space="preserve"> </w:t>
      </w:r>
      <w:r>
        <w:rPr>
          <w:i/>
          <w:iCs/>
        </w:rPr>
        <w:t xml:space="preserve">Bayesian</w:t>
      </w:r>
      <w:r>
        <w:rPr>
          <w:i/>
          <w:iCs/>
        </w:rPr>
        <w:t xml:space="preserve"> </w:t>
      </w:r>
      <w:r>
        <w:rPr>
          <w:i/>
          <w:iCs/>
        </w:rPr>
        <w:t xml:space="preserve">inference and its applications</w:t>
      </w:r>
      <w:r>
        <w:t xml:space="preserve"> </w:t>
      </w:r>
      <w:r>
        <w:t xml:space="preserve">(pp. 305–334). Routledge.</w:t>
      </w:r>
    </w:p>
    <w:bookmarkEnd w:id="201"/>
    <w:bookmarkStart w:id="203" w:name="ref-Rubin1984"/>
    <w:p>
      <w:pPr>
        <w:pStyle w:val="Bibliography"/>
      </w:pPr>
      <w:r>
        <w:t xml:space="preserve">Rubin, D. B. (1984). Bayesianly justifiable and relevant frequency calculations for the applied statistician.</w:t>
      </w:r>
      <w:r>
        <w:t xml:space="preserve"> </w:t>
      </w:r>
      <w:r>
        <w:rPr>
          <w:i/>
          <w:iCs/>
        </w:rPr>
        <w:t xml:space="preserve">The Annals of Statistics</w:t>
      </w:r>
      <w:r>
        <w:t xml:space="preserve">,</w:t>
      </w:r>
      <w:r>
        <w:t xml:space="preserve"> </w:t>
      </w:r>
      <w:r>
        <w:rPr>
          <w:i/>
          <w:iCs/>
        </w:rPr>
        <w:t xml:space="preserve">12</w:t>
      </w:r>
      <w:r>
        <w:t xml:space="preserve">(4), 1151–1172.</w:t>
      </w:r>
      <w:r>
        <w:t xml:space="preserve"> </w:t>
      </w:r>
      <w:hyperlink r:id="rId202">
        <w:r>
          <w:rPr>
            <w:rStyle w:val="Hyperlink"/>
          </w:rPr>
          <w:t xml:space="preserve">https://doi.org/10.1214/aos/1176346785</w:t>
        </w:r>
      </w:hyperlink>
    </w:p>
    <w:bookmarkEnd w:id="203"/>
    <w:bookmarkStart w:id="205" w:name="ref-Schad2023"/>
    <w:p>
      <w:pPr>
        <w:pStyle w:val="Bibliography"/>
      </w:pPr>
      <w:r>
        <w:t xml:space="preserve">Schad, D. J., Nicenboim, B., Bürkner, P.-C., Betancourt, M., &amp; Vasishth, S. (2023). Workflow techniques for the robust use of</w:t>
      </w:r>
      <w:r>
        <w:t xml:space="preserve"> </w:t>
      </w:r>
      <w:r>
        <w:t xml:space="preserve">Bayes</w:t>
      </w:r>
      <w:r>
        <w:t xml:space="preserve"> </w:t>
      </w:r>
      <w:r>
        <w:t xml:space="preserve">factors.</w:t>
      </w:r>
      <w:r>
        <w:t xml:space="preserve"> </w:t>
      </w:r>
      <w:r>
        <w:rPr>
          <w:i/>
          <w:iCs/>
        </w:rPr>
        <w:t xml:space="preserve">Psychological Methods</w:t>
      </w:r>
      <w:r>
        <w:t xml:space="preserve">,</w:t>
      </w:r>
      <w:r>
        <w:t xml:space="preserve"> </w:t>
      </w:r>
      <w:r>
        <w:rPr>
          <w:i/>
          <w:iCs/>
        </w:rPr>
        <w:t xml:space="preserve">28</w:t>
      </w:r>
      <w:r>
        <w:t xml:space="preserve">(6), 1404–1426.</w:t>
      </w:r>
      <w:r>
        <w:t xml:space="preserve"> </w:t>
      </w:r>
      <w:hyperlink r:id="rId204">
        <w:r>
          <w:rPr>
            <w:rStyle w:val="Hyperlink"/>
          </w:rPr>
          <w:t xml:space="preserve">https://doi.org/10.1037/met0000472</w:t>
        </w:r>
      </w:hyperlink>
    </w:p>
    <w:bookmarkEnd w:id="205"/>
    <w:bookmarkStart w:id="207" w:name="ref-Schnell2020"/>
    <w:p>
      <w:pPr>
        <w:pStyle w:val="Bibliography"/>
      </w:pPr>
      <w:r>
        <w:t xml:space="preserve">Schnell, P. M., Fiecas, M., &amp; Carlin, B. P. (2020).</w:t>
      </w:r>
      <w:r>
        <w:t xml:space="preserve"> </w:t>
      </w:r>
      <w:r>
        <w:t xml:space="preserve">credsubs</w:t>
      </w:r>
      <w:r>
        <w:t xml:space="preserve">: Multiplicity-adjusted subset identification.</w:t>
      </w:r>
      <w:r>
        <w:t xml:space="preserve"> </w:t>
      </w:r>
      <w:r>
        <w:rPr>
          <w:i/>
          <w:iCs/>
        </w:rPr>
        <w:t xml:space="preserve">Journal of Statistical Software</w:t>
      </w:r>
      <w:r>
        <w:t xml:space="preserve">,</w:t>
      </w:r>
      <w:r>
        <w:t xml:space="preserve"> </w:t>
      </w:r>
      <w:r>
        <w:rPr>
          <w:i/>
          <w:iCs/>
        </w:rPr>
        <w:t xml:space="preserve">94</w:t>
      </w:r>
      <w:r>
        <w:t xml:space="preserve">(7).</w:t>
      </w:r>
      <w:r>
        <w:t xml:space="preserve"> </w:t>
      </w:r>
      <w:hyperlink r:id="rId206">
        <w:r>
          <w:rPr>
            <w:rStyle w:val="Hyperlink"/>
          </w:rPr>
          <w:t xml:space="preserve">https://doi.org/10.18637/jss.v094.i07</w:t>
        </w:r>
      </w:hyperlink>
    </w:p>
    <w:bookmarkEnd w:id="207"/>
    <w:bookmarkStart w:id="209" w:name="ref-Schnell2016"/>
    <w:p>
      <w:pPr>
        <w:pStyle w:val="Bibliography"/>
      </w:pPr>
      <w:r>
        <w:t xml:space="preserve">Schnell, P. M., Tang, Q., Offen, W. W., &amp; Carlin, B. P. (2016). A</w:t>
      </w:r>
      <w:r>
        <w:t xml:space="preserve"> </w:t>
      </w:r>
      <w:r>
        <w:t xml:space="preserve">Bayesian</w:t>
      </w:r>
      <w:r>
        <w:t xml:space="preserve"> </w:t>
      </w:r>
      <w:r>
        <w:t xml:space="preserve">credible subgroups approach to identifying patient subgroups with positive treatment effects.</w:t>
      </w:r>
      <w:r>
        <w:t xml:space="preserve"> </w:t>
      </w:r>
      <w:r>
        <w:rPr>
          <w:i/>
          <w:iCs/>
        </w:rPr>
        <w:t xml:space="preserve">Biometrics</w:t>
      </w:r>
      <w:r>
        <w:t xml:space="preserve">,</w:t>
      </w:r>
      <w:r>
        <w:t xml:space="preserve"> </w:t>
      </w:r>
      <w:r>
        <w:rPr>
          <w:i/>
          <w:iCs/>
        </w:rPr>
        <w:t xml:space="preserve">72</w:t>
      </w:r>
      <w:r>
        <w:t xml:space="preserve">(4), 1026–1036.</w:t>
      </w:r>
      <w:r>
        <w:t xml:space="preserve"> </w:t>
      </w:r>
      <w:hyperlink r:id="rId208">
        <w:r>
          <w:rPr>
            <w:rStyle w:val="Hyperlink"/>
          </w:rPr>
          <w:t xml:space="preserve">https://doi.org/10.1111/biom.12522</w:t>
        </w:r>
      </w:hyperlink>
    </w:p>
    <w:bookmarkEnd w:id="209"/>
    <w:bookmarkStart w:id="211" w:name="ref-Schurr2024"/>
    <w:p>
      <w:pPr>
        <w:pStyle w:val="Bibliography"/>
      </w:pPr>
      <w:r>
        <w:t xml:space="preserve">Schurr, R., Reznik, D., Hillman, H., Bhui, R., &amp; Gershman, S. J. (2024). Dynamic computational phenotyping of human cognition.</w:t>
      </w:r>
      <w:r>
        <w:t xml:space="preserve"> </w:t>
      </w:r>
      <w:r>
        <w:rPr>
          <w:i/>
          <w:iCs/>
        </w:rPr>
        <w:t xml:space="preserve">Nature Human Behaviour</w:t>
      </w:r>
      <w:r>
        <w:t xml:space="preserve">,</w:t>
      </w:r>
      <w:r>
        <w:t xml:space="preserve"> </w:t>
      </w:r>
      <w:r>
        <w:rPr>
          <w:i/>
          <w:iCs/>
        </w:rPr>
        <w:t xml:space="preserve">8</w:t>
      </w:r>
      <w:r>
        <w:t xml:space="preserve">(5), 917–931.</w:t>
      </w:r>
      <w:r>
        <w:t xml:space="preserve"> </w:t>
      </w:r>
      <w:hyperlink r:id="rId210">
        <w:r>
          <w:rPr>
            <w:rStyle w:val="Hyperlink"/>
          </w:rPr>
          <w:t xml:space="preserve">https://doi.org/10.1038/s41562-024-01814-x</w:t>
        </w:r>
      </w:hyperlink>
    </w:p>
    <w:bookmarkEnd w:id="211"/>
    <w:bookmarkStart w:id="213" w:name="ref-Scott2006"/>
    <w:p>
      <w:pPr>
        <w:pStyle w:val="Bibliography"/>
      </w:pPr>
      <w:r>
        <w:t xml:space="preserve">Scott, J. G., &amp; Berger, J. O. (2006). An exploration of aspects of</w:t>
      </w:r>
      <w:r>
        <w:t xml:space="preserve"> </w:t>
      </w:r>
      <w:r>
        <w:t xml:space="preserve">Bayesian</w:t>
      </w:r>
      <w:r>
        <w:t xml:space="preserve"> </w:t>
      </w:r>
      <w:r>
        <w:t xml:space="preserve">multiple testing.</w:t>
      </w:r>
      <w:r>
        <w:t xml:space="preserve"> </w:t>
      </w:r>
      <w:r>
        <w:rPr>
          <w:i/>
          <w:iCs/>
        </w:rPr>
        <w:t xml:space="preserve">Journal of Statistical Planning and Inference</w:t>
      </w:r>
      <w:r>
        <w:t xml:space="preserve">,</w:t>
      </w:r>
      <w:r>
        <w:t xml:space="preserve"> </w:t>
      </w:r>
      <w:r>
        <w:rPr>
          <w:i/>
          <w:iCs/>
        </w:rPr>
        <w:t xml:space="preserve">136</w:t>
      </w:r>
      <w:r>
        <w:t xml:space="preserve">(7), 2144–2162.</w:t>
      </w:r>
      <w:r>
        <w:t xml:space="preserve"> </w:t>
      </w:r>
      <w:hyperlink r:id="rId212">
        <w:r>
          <w:rPr>
            <w:rStyle w:val="Hyperlink"/>
          </w:rPr>
          <w:t xml:space="preserve">https://doi.org/10.1016/j.jspi.2005.08.031</w:t>
        </w:r>
      </w:hyperlink>
    </w:p>
    <w:bookmarkEnd w:id="213"/>
    <w:bookmarkStart w:id="215" w:name="ref-Scott2010"/>
    <w:p>
      <w:pPr>
        <w:pStyle w:val="Bibliography"/>
      </w:pPr>
      <w:r>
        <w:t xml:space="preserve">Scott, J. G., &amp; Berger, J. O. (2010).</w:t>
      </w:r>
      <w:r>
        <w:t xml:space="preserve"> </w:t>
      </w:r>
      <w:r>
        <w:t xml:space="preserve">Bayes and empirical-Bayes multiplicity adjustment in the variable-selection problem</w:t>
      </w:r>
      <w:r>
        <w:t xml:space="preserve">.</w:t>
      </w:r>
      <w:r>
        <w:t xml:space="preserve"> </w:t>
      </w:r>
      <w:r>
        <w:rPr>
          <w:i/>
          <w:iCs/>
        </w:rPr>
        <w:t xml:space="preserve">The Annals of Statistics</w:t>
      </w:r>
      <w:r>
        <w:t xml:space="preserve">,</w:t>
      </w:r>
      <w:r>
        <w:t xml:space="preserve"> </w:t>
      </w:r>
      <w:r>
        <w:rPr>
          <w:i/>
          <w:iCs/>
        </w:rPr>
        <w:t xml:space="preserve">38</w:t>
      </w:r>
      <w:r>
        <w:t xml:space="preserve">(5), 2587–2619.</w:t>
      </w:r>
      <w:r>
        <w:t xml:space="preserve"> </w:t>
      </w:r>
      <w:hyperlink r:id="rId214">
        <w:r>
          <w:rPr>
            <w:rStyle w:val="Hyperlink"/>
          </w:rPr>
          <w:t xml:space="preserve">https://doi.org/10.1214/10-AOS792</w:t>
        </w:r>
      </w:hyperlink>
    </w:p>
    <w:bookmarkEnd w:id="215"/>
    <w:bookmarkStart w:id="217" w:name="ref-Shaffer1995"/>
    <w:p>
      <w:pPr>
        <w:pStyle w:val="Bibliography"/>
      </w:pPr>
      <w:r>
        <w:t xml:space="preserve">Shaffer, J. P. (1995). Multiple hypothesis testing.</w:t>
      </w:r>
      <w:r>
        <w:t xml:space="preserve"> </w:t>
      </w:r>
      <w:r>
        <w:rPr>
          <w:i/>
          <w:iCs/>
        </w:rPr>
        <w:t xml:space="preserve">Annual Review of Psychology</w:t>
      </w:r>
      <w:r>
        <w:t xml:space="preserve">,</w:t>
      </w:r>
      <w:r>
        <w:t xml:space="preserve"> </w:t>
      </w:r>
      <w:r>
        <w:rPr>
          <w:i/>
          <w:iCs/>
        </w:rPr>
        <w:t xml:space="preserve">46</w:t>
      </w:r>
      <w:r>
        <w:t xml:space="preserve">, 561–584.</w:t>
      </w:r>
      <w:r>
        <w:t xml:space="preserve"> </w:t>
      </w:r>
      <w:hyperlink r:id="rId216">
        <w:r>
          <w:rPr>
            <w:rStyle w:val="Hyperlink"/>
          </w:rPr>
          <w:t xml:space="preserve">https://doi.org/10.1146/annurev.ps.46.020195.003021</w:t>
        </w:r>
      </w:hyperlink>
    </w:p>
    <w:bookmarkEnd w:id="217"/>
    <w:bookmarkStart w:id="219" w:name="ref-Shi2021"/>
    <w:p>
      <w:pPr>
        <w:pStyle w:val="Bibliography"/>
      </w:pPr>
      <w:r>
        <w:t xml:space="preserve">Shi, H., &amp; Yin, G. (2021). Reconnecting p-value and posterior probability under one- and two-sided tests.</w:t>
      </w:r>
      <w:r>
        <w:t xml:space="preserve"> </w:t>
      </w:r>
      <w:r>
        <w:rPr>
          <w:i/>
          <w:iCs/>
        </w:rPr>
        <w:t xml:space="preserve">The American Statistician</w:t>
      </w:r>
      <w:r>
        <w:t xml:space="preserve">,</w:t>
      </w:r>
      <w:r>
        <w:t xml:space="preserve"> </w:t>
      </w:r>
      <w:r>
        <w:rPr>
          <w:i/>
          <w:iCs/>
        </w:rPr>
        <w:t xml:space="preserve">75</w:t>
      </w:r>
      <w:r>
        <w:t xml:space="preserve">(3), 265–275.</w:t>
      </w:r>
      <w:r>
        <w:t xml:space="preserve"> </w:t>
      </w:r>
      <w:hyperlink r:id="rId218">
        <w:r>
          <w:rPr>
            <w:rStyle w:val="Hyperlink"/>
          </w:rPr>
          <w:t xml:space="preserve">https://doi.org/10.1080/00031305.2020.1717621</w:t>
        </w:r>
      </w:hyperlink>
    </w:p>
    <w:bookmarkEnd w:id="219"/>
    <w:bookmarkStart w:id="221" w:name="ref-Singmann2016"/>
    <w:p>
      <w:pPr>
        <w:pStyle w:val="Bibliography"/>
      </w:pPr>
      <w:r>
        <w:t xml:space="preserve">Singmann, H., Bolker, B., Westfall, J., &amp; Aust, F. (2016).</w:t>
      </w:r>
      <w:r>
        <w:t xml:space="preserve"> </w:t>
      </w:r>
      <w:r>
        <w:rPr>
          <w:i/>
          <w:iCs/>
        </w:rPr>
        <w:t xml:space="preserve">afex</w:t>
      </w:r>
      <w:r>
        <w:rPr>
          <w:i/>
          <w:iCs/>
        </w:rPr>
        <w:t xml:space="preserve">: Analysis of factorial experiments</w:t>
      </w:r>
      <w:r>
        <w:t xml:space="preserve">.</w:t>
      </w:r>
      <w:r>
        <w:t xml:space="preserve"> </w:t>
      </w:r>
      <w:hyperlink r:id="rId220">
        <w:r>
          <w:rPr>
            <w:rStyle w:val="Hyperlink"/>
          </w:rPr>
          <w:t xml:space="preserve">https://CRAN.R-project.org/package=afex</w:t>
        </w:r>
      </w:hyperlink>
    </w:p>
    <w:bookmarkEnd w:id="221"/>
    <w:bookmarkStart w:id="223" w:name="ref-Stephens2017"/>
    <w:p>
      <w:pPr>
        <w:pStyle w:val="Bibliography"/>
      </w:pPr>
      <w:r>
        <w:t xml:space="preserve">Stephens, M. (2017). False discovery rates: A new deal.</w:t>
      </w:r>
      <w:r>
        <w:t xml:space="preserve"> </w:t>
      </w:r>
      <w:r>
        <w:rPr>
          <w:i/>
          <w:iCs/>
        </w:rPr>
        <w:t xml:space="preserve">Biostatistics</w:t>
      </w:r>
      <w:r>
        <w:t xml:space="preserve">,</w:t>
      </w:r>
      <w:r>
        <w:t xml:space="preserve"> </w:t>
      </w:r>
      <w:r>
        <w:rPr>
          <w:i/>
          <w:iCs/>
        </w:rPr>
        <w:t xml:space="preserve">18</w:t>
      </w:r>
      <w:r>
        <w:t xml:space="preserve">(2), 275–294.</w:t>
      </w:r>
      <w:r>
        <w:t xml:space="preserve"> </w:t>
      </w:r>
      <w:hyperlink r:id="rId222">
        <w:r>
          <w:rPr>
            <w:rStyle w:val="Hyperlink"/>
          </w:rPr>
          <w:t xml:space="preserve">https://doi.org/10.1093/biostatistics/kxw041</w:t>
        </w:r>
      </w:hyperlink>
    </w:p>
    <w:bookmarkEnd w:id="223"/>
    <w:bookmarkStart w:id="225" w:name="ref-Stone2024"/>
    <w:p>
      <w:pPr>
        <w:pStyle w:val="Bibliography"/>
      </w:pPr>
      <w:r>
        <w:t xml:space="preserve">Stone-Sabali, S., Uanhoro, J. O., McClain, S., Bernard, D., Makari, S., &amp; Chapman-Hilliard, C. (2024). Impostorism and psychological distress among college students of color: A moderation analysis of shame-proneness, race, gender, and race-gender interactions.</w:t>
      </w:r>
      <w:r>
        <w:t xml:space="preserve"> </w:t>
      </w:r>
      <w:r>
        <w:rPr>
          <w:i/>
          <w:iCs/>
        </w:rPr>
        <w:t xml:space="preserve">Current Psychology</w:t>
      </w:r>
      <w:r>
        <w:t xml:space="preserve">,</w:t>
      </w:r>
      <w:r>
        <w:t xml:space="preserve"> </w:t>
      </w:r>
      <w:r>
        <w:rPr>
          <w:i/>
          <w:iCs/>
        </w:rPr>
        <w:t xml:space="preserve">43</w:t>
      </w:r>
      <w:r>
        <w:t xml:space="preserve">(4), 3632–3648.</w:t>
      </w:r>
      <w:r>
        <w:t xml:space="preserve"> </w:t>
      </w:r>
      <w:hyperlink r:id="rId224">
        <w:r>
          <w:rPr>
            <w:rStyle w:val="Hyperlink"/>
          </w:rPr>
          <w:t xml:space="preserve">https://doi.org/10.1007/s12144-023-04579-0</w:t>
        </w:r>
      </w:hyperlink>
    </w:p>
    <w:bookmarkEnd w:id="225"/>
    <w:bookmarkStart w:id="227" w:name="ref-Storey2002"/>
    <w:p>
      <w:pPr>
        <w:pStyle w:val="Bibliography"/>
      </w:pPr>
      <w:r>
        <w:t xml:space="preserve">Storey, J. D. (2002). A direct approach to false discovery rates.</w:t>
      </w:r>
      <w:r>
        <w:t xml:space="preserve"> </w:t>
      </w:r>
      <w:r>
        <w:rPr>
          <w:i/>
          <w:iCs/>
        </w:rPr>
        <w:t xml:space="preserve">Journal of the Royal Statistical Society: Series B (Statistical Methodology)</w:t>
      </w:r>
      <w:r>
        <w:t xml:space="preserve">,</w:t>
      </w:r>
      <w:r>
        <w:t xml:space="preserve"> </w:t>
      </w:r>
      <w:r>
        <w:rPr>
          <w:i/>
          <w:iCs/>
        </w:rPr>
        <w:t xml:space="preserve">64</w:t>
      </w:r>
      <w:r>
        <w:t xml:space="preserve">(3), 479–498.</w:t>
      </w:r>
      <w:r>
        <w:t xml:space="preserve"> </w:t>
      </w:r>
      <w:hyperlink r:id="rId226">
        <w:r>
          <w:rPr>
            <w:rStyle w:val="Hyperlink"/>
          </w:rPr>
          <w:t xml:space="preserve">https://doi.org/10.1111/1467-9868.00346</w:t>
        </w:r>
      </w:hyperlink>
    </w:p>
    <w:bookmarkEnd w:id="227"/>
    <w:bookmarkStart w:id="229" w:name="ref-Storey2003"/>
    <w:p>
      <w:pPr>
        <w:pStyle w:val="Bibliography"/>
      </w:pPr>
      <w:r>
        <w:t xml:space="preserve">Storey, J. D. (2003). The positive false discovery rate: A</w:t>
      </w:r>
      <w:r>
        <w:t xml:space="preserve"> </w:t>
      </w:r>
      <w:r>
        <w:t xml:space="preserve">Bayesian</w:t>
      </w:r>
      <w:r>
        <w:t xml:space="preserve"> </w:t>
      </w:r>
      <w:r>
        <w:t xml:space="preserve">interpretation and the q-value.</w:t>
      </w:r>
      <w:r>
        <w:t xml:space="preserve"> </w:t>
      </w:r>
      <w:r>
        <w:rPr>
          <w:i/>
          <w:iCs/>
        </w:rPr>
        <w:t xml:space="preserve">The Annals of Statistics</w:t>
      </w:r>
      <w:r>
        <w:t xml:space="preserve">,</w:t>
      </w:r>
      <w:r>
        <w:t xml:space="preserve"> </w:t>
      </w:r>
      <w:r>
        <w:rPr>
          <w:i/>
          <w:iCs/>
        </w:rPr>
        <w:t xml:space="preserve">31</w:t>
      </w:r>
      <w:r>
        <w:t xml:space="preserve">(6), 2013–2035.</w:t>
      </w:r>
      <w:r>
        <w:t xml:space="preserve"> </w:t>
      </w:r>
      <w:hyperlink r:id="rId228">
        <w:r>
          <w:rPr>
            <w:rStyle w:val="Hyperlink"/>
          </w:rPr>
          <w:t xml:space="preserve">https://doi.org/10.1214/aos/1074290335</w:t>
        </w:r>
      </w:hyperlink>
    </w:p>
    <w:bookmarkEnd w:id="229"/>
    <w:bookmarkStart w:id="231" w:name="ref-Tendeiro2019"/>
    <w:p>
      <w:pPr>
        <w:pStyle w:val="Bibliography"/>
      </w:pPr>
      <w:r>
        <w:t xml:space="preserve">Tendeiro, J. N., &amp; Kiers, H. A. (2019). A review of issues about null hypothesis</w:t>
      </w:r>
      <w:r>
        <w:t xml:space="preserve"> </w:t>
      </w:r>
      <w:r>
        <w:t xml:space="preserve">Bayesian</w:t>
      </w:r>
      <w:r>
        <w:t xml:space="preserve"> </w:t>
      </w:r>
      <w:r>
        <w:t xml:space="preserve">testing.</w:t>
      </w:r>
      <w:r>
        <w:t xml:space="preserve"> </w:t>
      </w:r>
      <w:r>
        <w:rPr>
          <w:i/>
          <w:iCs/>
        </w:rPr>
        <w:t xml:space="preserve">Psychological Methods</w:t>
      </w:r>
      <w:r>
        <w:t xml:space="preserve">,</w:t>
      </w:r>
      <w:r>
        <w:t xml:space="preserve"> </w:t>
      </w:r>
      <w:r>
        <w:rPr>
          <w:i/>
          <w:iCs/>
        </w:rPr>
        <w:t xml:space="preserve">24</w:t>
      </w:r>
      <w:r>
        <w:t xml:space="preserve">(6), 774–795.</w:t>
      </w:r>
      <w:r>
        <w:t xml:space="preserve"> </w:t>
      </w:r>
      <w:hyperlink r:id="rId230">
        <w:r>
          <w:rPr>
            <w:rStyle w:val="Hyperlink"/>
          </w:rPr>
          <w:t xml:space="preserve">https://doi.org/10.1037/met0000221</w:t>
        </w:r>
      </w:hyperlink>
    </w:p>
    <w:bookmarkEnd w:id="231"/>
    <w:bookmarkStart w:id="233" w:name="ref-Tendeiro2024"/>
    <w:p>
      <w:pPr>
        <w:pStyle w:val="Bibliography"/>
      </w:pPr>
      <w:r>
        <w:t xml:space="preserve">Tendeiro, J. N., Kiers, H. A., Hoekstra, R., Wong, T. K., &amp; Morey, R. D. (2024). Diagnosing the misuse of the</w:t>
      </w:r>
      <w:r>
        <w:t xml:space="preserve"> </w:t>
      </w:r>
      <w:r>
        <w:t xml:space="preserve">Bayes</w:t>
      </w:r>
      <w:r>
        <w:t xml:space="preserve"> </w:t>
      </w:r>
      <w:r>
        <w:t xml:space="preserve">factor in applied research.</w:t>
      </w:r>
      <w:r>
        <w:t xml:space="preserve"> </w:t>
      </w:r>
      <w:r>
        <w:rPr>
          <w:i/>
          <w:iCs/>
        </w:rPr>
        <w:t xml:space="preserve">Advances in Methods and Practices in Psychological Science</w:t>
      </w:r>
      <w:r>
        <w:t xml:space="preserve">,</w:t>
      </w:r>
      <w:r>
        <w:t xml:space="preserve"> </w:t>
      </w:r>
      <w:r>
        <w:rPr>
          <w:i/>
          <w:iCs/>
        </w:rPr>
        <w:t xml:space="preserve">7</w:t>
      </w:r>
      <w:r>
        <w:t xml:space="preserve">(1), 25152459231213371.</w:t>
      </w:r>
      <w:r>
        <w:t xml:space="preserve"> </w:t>
      </w:r>
      <w:hyperlink r:id="rId232">
        <w:r>
          <w:rPr>
            <w:rStyle w:val="Hyperlink"/>
          </w:rPr>
          <w:t xml:space="preserve">https://doi.org/10.1177/25152459231213371</w:t>
        </w:r>
      </w:hyperlink>
    </w:p>
    <w:bookmarkEnd w:id="233"/>
    <w:bookmarkStart w:id="235" w:name="ref-Van2017"/>
    <w:p>
      <w:pPr>
        <w:pStyle w:val="Bibliography"/>
      </w:pPr>
      <w:r>
        <w:t xml:space="preserve">van de Schoot, R., Winter, S. D., Ryan, O., Zondervan-Zwijnenburg, M., &amp; Depaoli, S. (2017). A systematic review of</w:t>
      </w:r>
      <w:r>
        <w:t xml:space="preserve"> </w:t>
      </w:r>
      <w:r>
        <w:t xml:space="preserve">Bayesian</w:t>
      </w:r>
      <w:r>
        <w:t xml:space="preserve"> </w:t>
      </w:r>
      <w:r>
        <w:t xml:space="preserve">articles in psychology: The last 25 years.</w:t>
      </w:r>
      <w:r>
        <w:t xml:space="preserve"> </w:t>
      </w:r>
      <w:r>
        <w:rPr>
          <w:i/>
          <w:iCs/>
        </w:rPr>
        <w:t xml:space="preserve">Psychological Methods</w:t>
      </w:r>
      <w:r>
        <w:t xml:space="preserve">,</w:t>
      </w:r>
      <w:r>
        <w:t xml:space="preserve"> </w:t>
      </w:r>
      <w:r>
        <w:rPr>
          <w:i/>
          <w:iCs/>
        </w:rPr>
        <w:t xml:space="preserve">22</w:t>
      </w:r>
      <w:r>
        <w:t xml:space="preserve">(2), 217–239.</w:t>
      </w:r>
      <w:r>
        <w:t xml:space="preserve"> </w:t>
      </w:r>
      <w:hyperlink r:id="rId234">
        <w:r>
          <w:rPr>
            <w:rStyle w:val="Hyperlink"/>
          </w:rPr>
          <w:t xml:space="preserve">https://doi.org/10.1037/met0000100</w:t>
        </w:r>
      </w:hyperlink>
    </w:p>
    <w:bookmarkEnd w:id="235"/>
    <w:bookmarkStart w:id="237" w:name="ref-Bergh2020"/>
    <w:p>
      <w:pPr>
        <w:pStyle w:val="Bibliography"/>
      </w:pPr>
      <w:r>
        <w:t xml:space="preserve">van den Bergh, D., van Doorn, J., Marsman, M., Draws, T., van Kesteren, E.-J., Derks, K., Dablander, F., Gronau, Q. F., Kucharský, Š., Gupta, A. R. K. N., Sarafoglou, A., Voelkel, J. G., Stefan, A., Ly, A., Hinne, M., Matzke, D., &amp; Wagenmakers, E.-J. (2020). A tutorial on conducting and interpreting a</w:t>
      </w:r>
      <w:r>
        <w:t xml:space="preserve"> </w:t>
      </w:r>
      <w:r>
        <w:t xml:space="preserve">Bayesian ANOVA</w:t>
      </w:r>
      <w:r>
        <w:t xml:space="preserve"> </w:t>
      </w:r>
      <w:r>
        <w:t xml:space="preserve">in</w:t>
      </w:r>
      <w:r>
        <w:t xml:space="preserve"> </w:t>
      </w:r>
      <w:r>
        <w:t xml:space="preserve">JASP</w:t>
      </w:r>
      <w:r>
        <w:t xml:space="preserve">.</w:t>
      </w:r>
      <w:r>
        <w:t xml:space="preserve"> </w:t>
      </w:r>
      <w:r>
        <w:rPr>
          <w:i/>
          <w:iCs/>
        </w:rPr>
        <w:t xml:space="preserve">L’Année Psychologique</w:t>
      </w:r>
      <w:r>
        <w:t xml:space="preserve">,</w:t>
      </w:r>
      <w:r>
        <w:t xml:space="preserve"> </w:t>
      </w:r>
      <w:r>
        <w:rPr>
          <w:i/>
          <w:iCs/>
        </w:rPr>
        <w:t xml:space="preserve">120</w:t>
      </w:r>
      <w:r>
        <w:t xml:space="preserve">(1), 73–96.</w:t>
      </w:r>
      <w:r>
        <w:t xml:space="preserve"> </w:t>
      </w:r>
      <w:hyperlink r:id="rId236">
        <w:r>
          <w:rPr>
            <w:rStyle w:val="Hyperlink"/>
          </w:rPr>
          <w:t xml:space="preserve">https://doi.org/10.3917/anpsy1.201.0073</w:t>
        </w:r>
      </w:hyperlink>
    </w:p>
    <w:bookmarkEnd w:id="237"/>
    <w:bookmarkStart w:id="239" w:name="ref-Zwet2021"/>
    <w:p>
      <w:pPr>
        <w:pStyle w:val="Bibliography"/>
      </w:pPr>
      <w:r>
        <w:t xml:space="preserve">van Zwet, E., &amp; Cator, E. A. (2021). The significance filter, the winner’s curse and the need to shrink.</w:t>
      </w:r>
      <w:r>
        <w:t xml:space="preserve"> </w:t>
      </w:r>
      <w:r>
        <w:rPr>
          <w:i/>
          <w:iCs/>
        </w:rPr>
        <w:t xml:space="preserve">Statistica Neerlandica</w:t>
      </w:r>
      <w:r>
        <w:t xml:space="preserve">,</w:t>
      </w:r>
      <w:r>
        <w:t xml:space="preserve"> </w:t>
      </w:r>
      <w:r>
        <w:rPr>
          <w:i/>
          <w:iCs/>
        </w:rPr>
        <w:t xml:space="preserve">75</w:t>
      </w:r>
      <w:r>
        <w:t xml:space="preserve">(4), 437–452.</w:t>
      </w:r>
      <w:r>
        <w:t xml:space="preserve"> </w:t>
      </w:r>
      <w:hyperlink r:id="rId238">
        <w:r>
          <w:rPr>
            <w:rStyle w:val="Hyperlink"/>
          </w:rPr>
          <w:t xml:space="preserve">https://doi.org/10.1111/stan.12241</w:t>
        </w:r>
      </w:hyperlink>
    </w:p>
    <w:bookmarkEnd w:id="239"/>
    <w:bookmarkStart w:id="241" w:name="ref-Zwet2022"/>
    <w:p>
      <w:pPr>
        <w:pStyle w:val="Bibliography"/>
      </w:pPr>
      <w:r>
        <w:t xml:space="preserve">van Zwet, E., &amp; Gelman, A. (2022). A proposal for informative default priors scaled by the standard error of estimates.</w:t>
      </w:r>
      <w:r>
        <w:t xml:space="preserve"> </w:t>
      </w:r>
      <w:r>
        <w:rPr>
          <w:i/>
          <w:iCs/>
        </w:rPr>
        <w:t xml:space="preserve">The American Statistician</w:t>
      </w:r>
      <w:r>
        <w:t xml:space="preserve">,</w:t>
      </w:r>
      <w:r>
        <w:t xml:space="preserve"> </w:t>
      </w:r>
      <w:r>
        <w:rPr>
          <w:i/>
          <w:iCs/>
        </w:rPr>
        <w:t xml:space="preserve">76</w:t>
      </w:r>
      <w:r>
        <w:t xml:space="preserve">(1), 1–9.</w:t>
      </w:r>
      <w:r>
        <w:t xml:space="preserve"> </w:t>
      </w:r>
      <w:hyperlink r:id="rId240">
        <w:r>
          <w:rPr>
            <w:rStyle w:val="Hyperlink"/>
          </w:rPr>
          <w:t xml:space="preserve">https://doi.org/10.1080/00031305.2021.1938225</w:t>
        </w:r>
      </w:hyperlink>
    </w:p>
    <w:bookmarkEnd w:id="241"/>
    <w:bookmarkStart w:id="243" w:name="ref-Ventz2015"/>
    <w:p>
      <w:pPr>
        <w:pStyle w:val="Bibliography"/>
      </w:pPr>
      <w:r>
        <w:t xml:space="preserve">Ventz, S., &amp; Trippa, L. (2015).</w:t>
      </w:r>
      <w:r>
        <w:t xml:space="preserve"> </w:t>
      </w:r>
      <w:r>
        <w:t xml:space="preserve">Bayesian</w:t>
      </w:r>
      <w:r>
        <w:t xml:space="preserve"> </w:t>
      </w:r>
      <w:r>
        <w:t xml:space="preserve">designs and the control of frequentist characteristics: A practical solution.</w:t>
      </w:r>
      <w:r>
        <w:t xml:space="preserve"> </w:t>
      </w:r>
      <w:r>
        <w:rPr>
          <w:i/>
          <w:iCs/>
        </w:rPr>
        <w:t xml:space="preserve">Biometrics</w:t>
      </w:r>
      <w:r>
        <w:t xml:space="preserve">,</w:t>
      </w:r>
      <w:r>
        <w:t xml:space="preserve"> </w:t>
      </w:r>
      <w:r>
        <w:rPr>
          <w:i/>
          <w:iCs/>
        </w:rPr>
        <w:t xml:space="preserve">71</w:t>
      </w:r>
      <w:r>
        <w:t xml:space="preserve">(1), 218–226.</w:t>
      </w:r>
      <w:r>
        <w:t xml:space="preserve"> </w:t>
      </w:r>
      <w:hyperlink r:id="rId242">
        <w:r>
          <w:rPr>
            <w:rStyle w:val="Hyperlink"/>
          </w:rPr>
          <w:t xml:space="preserve">https://doi.org/10.1111/biom.12226</w:t>
        </w:r>
      </w:hyperlink>
    </w:p>
    <w:bookmarkEnd w:id="243"/>
    <w:bookmarkStart w:id="245" w:name="ref-Westfall1997"/>
    <w:p>
      <w:pPr>
        <w:pStyle w:val="Bibliography"/>
      </w:pPr>
      <w:r>
        <w:t xml:space="preserve">Westfall, P. H., Johnson, W. O., &amp; Utts, J. M. (1997). A</w:t>
      </w:r>
      <w:r>
        <w:t xml:space="preserve"> </w:t>
      </w:r>
      <w:r>
        <w:t xml:space="preserve">Bayesian</w:t>
      </w:r>
      <w:r>
        <w:t xml:space="preserve"> </w:t>
      </w:r>
      <w:r>
        <w:t xml:space="preserve">perspective on the</w:t>
      </w:r>
      <w:r>
        <w:t xml:space="preserve"> </w:t>
      </w:r>
      <w:r>
        <w:t xml:space="preserve">Bonferroni</w:t>
      </w:r>
      <w:r>
        <w:t xml:space="preserve"> </w:t>
      </w:r>
      <w:r>
        <w:t xml:space="preserve">adjustment.</w:t>
      </w:r>
      <w:r>
        <w:t xml:space="preserve"> </w:t>
      </w:r>
      <w:r>
        <w:rPr>
          <w:i/>
          <w:iCs/>
        </w:rPr>
        <w:t xml:space="preserve">Biometrika</w:t>
      </w:r>
      <w:r>
        <w:t xml:space="preserve">,</w:t>
      </w:r>
      <w:r>
        <w:t xml:space="preserve"> </w:t>
      </w:r>
      <w:r>
        <w:rPr>
          <w:i/>
          <w:iCs/>
        </w:rPr>
        <w:t xml:space="preserve">84</w:t>
      </w:r>
      <w:r>
        <w:t xml:space="preserve">(2), 419–427.</w:t>
      </w:r>
      <w:r>
        <w:t xml:space="preserve"> </w:t>
      </w:r>
      <w:hyperlink r:id="rId244">
        <w:r>
          <w:rPr>
            <w:rStyle w:val="Hyperlink"/>
          </w:rPr>
          <w:t xml:space="preserve">https://doi.org/10.1093/biomet/84.2.419</w:t>
        </w:r>
      </w:hyperlink>
    </w:p>
    <w:bookmarkEnd w:id="245"/>
    <w:bookmarkStart w:id="246" w:name="ref-Westfall2011"/>
    <w:p>
      <w:pPr>
        <w:pStyle w:val="Bibliography"/>
      </w:pPr>
      <w:r>
        <w:t xml:space="preserve">Westfall, P. H., Tobias, R. D., &amp; Wolfinger, R. D. (2011).</w:t>
      </w:r>
      <w:r>
        <w:t xml:space="preserve"> </w:t>
      </w:r>
      <w:r>
        <w:rPr>
          <w:i/>
          <w:iCs/>
        </w:rPr>
        <w:t xml:space="preserve">Multiple comparisons and multiple tests using</w:t>
      </w:r>
      <w:r>
        <w:rPr>
          <w:i/>
          <w:iCs/>
        </w:rPr>
        <w:t xml:space="preserve"> </w:t>
      </w:r>
      <w:r>
        <w:rPr>
          <w:i/>
          <w:iCs/>
        </w:rPr>
        <w:t xml:space="preserve">SAS</w:t>
      </w:r>
      <w:r>
        <w:t xml:space="preserve"> </w:t>
      </w:r>
      <w:r>
        <w:t xml:space="preserve">(2nd ed.). SAS Institute.</w:t>
      </w:r>
    </w:p>
    <w:bookmarkEnd w:id="246"/>
    <w:bookmarkStart w:id="247" w:name="ref-Westfall1993"/>
    <w:p>
      <w:pPr>
        <w:pStyle w:val="Bibliography"/>
      </w:pPr>
      <w:r>
        <w:t xml:space="preserve">Westfall, P. H., &amp; Young, S. S. (1993).</w:t>
      </w:r>
      <w:r>
        <w:t xml:space="preserve"> </w:t>
      </w:r>
      <w:r>
        <w:rPr>
          <w:i/>
          <w:iCs/>
        </w:rPr>
        <w:t xml:space="preserve">Resampling-based multiple testing: Examples and methods for p-value adjustment</w:t>
      </w:r>
      <w:r>
        <w:t xml:space="preserve">. Wiley.</w:t>
      </w:r>
    </w:p>
    <w:bookmarkEnd w:id="247"/>
    <w:bookmarkStart w:id="249" w:name="ref-Zhang2019"/>
    <w:p>
      <w:pPr>
        <w:pStyle w:val="Bibliography"/>
      </w:pPr>
      <w:r>
        <w:t xml:space="preserve">Zhang, Y., Trippa, L., &amp; Parmigiani, G. (2019). Frequentist operating characteristics of</w:t>
      </w:r>
      <w:r>
        <w:t xml:space="preserve"> </w:t>
      </w:r>
      <w:r>
        <w:t xml:space="preserve">Bayesian</w:t>
      </w:r>
      <w:r>
        <w:t xml:space="preserve"> </w:t>
      </w:r>
      <w:r>
        <w:t xml:space="preserve">optimal designs via simulation.</w:t>
      </w:r>
      <w:r>
        <w:t xml:space="preserve"> </w:t>
      </w:r>
      <w:r>
        <w:rPr>
          <w:i/>
          <w:iCs/>
        </w:rPr>
        <w:t xml:space="preserve">Statistics in Medicine</w:t>
      </w:r>
      <w:r>
        <w:t xml:space="preserve">,</w:t>
      </w:r>
      <w:r>
        <w:t xml:space="preserve"> </w:t>
      </w:r>
      <w:r>
        <w:rPr>
          <w:i/>
          <w:iCs/>
        </w:rPr>
        <w:t xml:space="preserve">38</w:t>
      </w:r>
      <w:r>
        <w:t xml:space="preserve">(21), 4026–4039.</w:t>
      </w:r>
      <w:r>
        <w:t xml:space="preserve"> </w:t>
      </w:r>
      <w:hyperlink r:id="rId248">
        <w:r>
          <w:rPr>
            <w:rStyle w:val="Hyperlink"/>
          </w:rPr>
          <w:t xml:space="preserve">https://doi.org/10.1002/sim.8279</w:t>
        </w:r>
      </w:hyperlink>
    </w:p>
    <w:bookmarkEnd w:id="249"/>
    <w:bookmarkEnd w:id="250"/>
    <w:bookmarkEnd w:id="25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
    <w:p>
      <w:pPr>
        <w:pStyle w:val="FootnoteText"/>
      </w:pPr>
      <w:r>
        <w:rPr>
          <w:rStyle w:val="FootnoteReference"/>
        </w:rPr>
        <w:footnoteRef/>
      </w:r>
      <w:r>
        <w:t xml:space="preserve"> </w:t>
      </w:r>
      <w:r>
        <w:t xml:space="preserve">Although frequentist and Bayesian frameworks rest on different foundations, examining the frequentist operating characteristics of a Bayesian procedure (how it behaves over repeated use) is a well-established practice</w:t>
      </w:r>
      <w:r>
        <w:t xml:space="preserve"> </w:t>
      </w:r>
      <w:r>
        <w:t xml:space="preserve">(</w:t>
      </w:r>
      <w:hyperlink w:anchor="ref-Müller2004">
        <w:r>
          <w:rPr>
            <w:rStyle w:val="Hyperlink"/>
          </w:rPr>
          <w:t xml:space="preserve">Müller et al., 2004</w:t>
        </w:r>
      </w:hyperlink>
      <w:r>
        <w:t xml:space="preserve">;</w:t>
      </w:r>
      <w:r>
        <w:t xml:space="preserve"> </w:t>
      </w:r>
      <w:hyperlink w:anchor="ref-Ventz2015">
        <w:r>
          <w:rPr>
            <w:rStyle w:val="Hyperlink"/>
          </w:rPr>
          <w:t xml:space="preserve">Ventz &amp; Trippa, 2015</w:t>
        </w:r>
      </w:hyperlink>
      <w:r>
        <w:t xml:space="preserve">;</w:t>
      </w:r>
      <w:r>
        <w:t xml:space="preserve"> </w:t>
      </w:r>
      <w:hyperlink w:anchor="ref-Zhang2019">
        <w:r>
          <w:rPr>
            <w:rStyle w:val="Hyperlink"/>
          </w:rPr>
          <w:t xml:space="preserve">Zhang et al., 2019</w:t>
        </w:r>
      </w:hyperlink>
      <w:r>
        <w:t xml:space="preserve">)</w:t>
      </w:r>
      <w:r>
        <w:t xml:space="preserve">. This perspective treats long-run performance as a useful diagnostic for Bayesian inference</w:t>
      </w:r>
      <w:r>
        <w:t xml:space="preserve"> </w:t>
      </w:r>
      <w:r>
        <w:t xml:space="preserve">(</w:t>
      </w:r>
      <w:hyperlink w:anchor="ref-GelmanBook">
        <w:r>
          <w:rPr>
            <w:rStyle w:val="Hyperlink"/>
          </w:rPr>
          <w:t xml:space="preserve">Gelman et al., 2013</w:t>
        </w:r>
      </w:hyperlink>
      <w:r>
        <w:t xml:space="preserve">;</w:t>
      </w:r>
      <w:r>
        <w:t xml:space="preserve"> </w:t>
      </w:r>
      <w:hyperlink w:anchor="ref-Rubin1984">
        <w:r>
          <w:rPr>
            <w:rStyle w:val="Hyperlink"/>
          </w:rPr>
          <w:t xml:space="preserve">Rubin, 1984</w:t>
        </w:r>
      </w:hyperlink>
      <w:r>
        <w:t xml:space="preserve">)</w:t>
      </w:r>
      <w:r>
        <w:t xml:space="preserve">.</w:t>
      </w:r>
    </w:p>
  </w:footnote>
  <w:footnote w:id="59">
    <w:p>
      <w:pPr>
        <w:pStyle w:val="FootnoteText"/>
      </w:pPr>
      <w:r>
        <w:rPr>
          <w:rStyle w:val="FootnoteReference"/>
        </w:rPr>
        <w:footnoteRef/>
      </w:r>
      <w:r>
        <w:t xml:space="preserve"> </w:t>
      </w:r>
      <w:r>
        <w:t xml:space="preserve">Under a continuous prior or posterior, the probability of any single value (e.g.,</w:t>
      </w:r>
      <w:r>
        <w:t xml:space="preserve"> </w:t>
      </w:r>
      <m:oMath>
        <m:r>
          <m:rPr>
            <m:sty m:val="p"/>
          </m:rPr>
          <m:t>Pr</m:t>
        </m:r>
        <m:r>
          <m:rPr>
            <m:sty m:val="p"/>
          </m:rPr>
          <m:t>(</m:t>
        </m:r>
        <m:r>
          <m:t>θ</m:t>
        </m:r>
        <m:r>
          <m:rPr>
            <m:sty m:val="p"/>
          </m:rPr>
          <m:t>=</m:t>
        </m:r>
        <m:r>
          <m:t>0</m:t>
        </m:r>
        <m:r>
          <m:rPr>
            <m:sty m:val="p"/>
          </m:rPr>
          <m:t>∣</m:t>
        </m:r>
        <m:r>
          <m:t>y</m:t>
        </m:r>
        <m:r>
          <m:rPr>
            <m:sty m:val="p"/>
          </m:rPr>
          <m:t>)</m:t>
        </m:r>
      </m:oMath>
      <w:r>
        <w:t xml:space="preserve">) is 0; however, we retain the notation</w:t>
      </w:r>
      <w:r>
        <w:t xml:space="preserve"> </w:t>
      </w:r>
      <m:oMath>
        <m:sSub>
          <m:e>
            <m:r>
              <m:t>H</m:t>
            </m:r>
          </m:e>
          <m:sub>
            <m:r>
              <m:rPr>
                <m:sty m:val="p"/>
              </m:rPr>
              <m:t>−</m:t>
            </m:r>
            <m:r>
              <m:t>0</m:t>
            </m:r>
          </m:sub>
        </m:sSub>
      </m:oMath>
      <w:r>
        <w:t xml:space="preserve"> </w:t>
      </w:r>
      <w:r>
        <w:t xml:space="preserve">to explicitly indicate that the hypothesis includes the point null value of zero.</w:t>
      </w:r>
    </w:p>
  </w:footnote>
  <w:footnote w:id="79">
    <w:p>
      <w:pPr>
        <w:pStyle w:val="FootnoteText"/>
      </w:pPr>
      <w:r>
        <w:rPr>
          <w:rStyle w:val="FootnoteReference"/>
        </w:rPr>
        <w:footnoteRef/>
      </w:r>
      <w:r>
        <w:t xml:space="preserve"> </w:t>
      </w:r>
      <w:r>
        <w:t xml:space="preserve">The largest simulated value,</w:t>
      </w:r>
      <w:r>
        <w:t xml:space="preserve"> </w:t>
      </w:r>
      <m:oMath>
        <m:r>
          <m:t>.055</m:t>
        </m:r>
      </m:oMath>
      <w:r>
        <w:t xml:space="preserve"> </w:t>
      </w:r>
      <w:r>
        <w:t xml:space="preserve">(all effects null,</w:t>
      </w:r>
      <w:r>
        <w:t xml:space="preserve"> </w:t>
      </w:r>
      <m:oMath>
        <m:r>
          <m:t>m</m:t>
        </m:r>
        <m:r>
          <m:rPr>
            <m:sty m:val="p"/>
          </m:rPr>
          <m:t>=</m:t>
        </m:r>
        <m:r>
          <m:t>8</m:t>
        </m:r>
      </m:oMath>
      <w:r>
        <w:t xml:space="preserve">), exceeds</w:t>
      </w:r>
      <w:r>
        <w:t xml:space="preserve"> </w:t>
      </w:r>
      <m:oMath>
        <m:r>
          <m:t>.05</m:t>
        </m:r>
      </m:oMath>
      <w:r>
        <w:t xml:space="preserve"> </w:t>
      </w:r>
      <w:r>
        <w:t xml:space="preserve">because the band is estimated from 4,000 posterior draws, which makes it slightly narrower than the exact band; with exact posterior quantiles, the FWER in that condition is</w:t>
      </w:r>
      <w:r>
        <w:t xml:space="preserve"> </w:t>
      </w:r>
      <m:oMath>
        <m:r>
          <m:t>.049</m:t>
        </m:r>
      </m:oMath>
      <w:r>
        <w:t xml:space="preserve">. With many parameters, simultaneous bands should therefore be computed from a large number of draws.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image" Id="rId60" Target="media/rId60.png" /><Relationship Type="http://schemas.openxmlformats.org/officeDocument/2006/relationships/image" Id="rId80" Target="media/rId80.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49" Target="media/rId49.png" /><Relationship Type="http://schemas.openxmlformats.org/officeDocument/2006/relationships/image" Id="rId65" Target="media/rId65.png" /><Relationship Type="http://schemas.openxmlformats.org/officeDocument/2006/relationships/image" Id="rId54" Target="media/rId54.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hyperlink" Id="rId220" Target="https://CRAN.R-project.org/package=afex" TargetMode="External" /><Relationship Type="http://schemas.openxmlformats.org/officeDocument/2006/relationships/hyperlink" Id="rId102" Target="https://credit.niso.org/" TargetMode="External" /><Relationship Type="http://schemas.openxmlformats.org/officeDocument/2006/relationships/hyperlink" Id="rId161" Target="https://doi.org/10.1002/9780470316672" TargetMode="External" /><Relationship Type="http://schemas.openxmlformats.org/officeDocument/2006/relationships/hyperlink" Id="rId123" Target="https://doi.org/10.1002/9781118033197" TargetMode="External" /><Relationship Type="http://schemas.openxmlformats.org/officeDocument/2006/relationships/hyperlink" Id="rId129" Target="https://doi.org/10.1002/mds.29659" TargetMode="External" /><Relationship Type="http://schemas.openxmlformats.org/officeDocument/2006/relationships/hyperlink" Id="rId248" Target="https://doi.org/10.1002/sim.8279" TargetMode="External" /><Relationship Type="http://schemas.openxmlformats.org/officeDocument/2006/relationships/hyperlink" Id="rId115" Target="https://doi.org/10.1007/BF02562676" TargetMode="External" /><Relationship Type="http://schemas.openxmlformats.org/officeDocument/2006/relationships/hyperlink" Id="rId153" Target="https://doi.org/10.1007/s001800000040" TargetMode="External" /><Relationship Type="http://schemas.openxmlformats.org/officeDocument/2006/relationships/hyperlink" Id="rId121" Target="https://doi.org/10.1007/s00426-020-01358-5" TargetMode="External" /><Relationship Type="http://schemas.openxmlformats.org/officeDocument/2006/relationships/hyperlink" Id="rId224" Target="https://doi.org/10.1007/s12144-023-04579-0" TargetMode="External" /><Relationship Type="http://schemas.openxmlformats.org/officeDocument/2006/relationships/hyperlink" Id="rId171" Target="https://doi.org/10.1007/s12144-023-05003-3" TargetMode="External" /><Relationship Type="http://schemas.openxmlformats.org/officeDocument/2006/relationships/hyperlink" Id="rId119" Target="https://doi.org/10.1016/S0378-3758(99)00044-0" TargetMode="External" /><Relationship Type="http://schemas.openxmlformats.org/officeDocument/2006/relationships/hyperlink" Id="rId136" Target="https://doi.org/10.1016/j.cognition.2025.106409" TargetMode="External" /><Relationship Type="http://schemas.openxmlformats.org/officeDocument/2006/relationships/hyperlink" Id="rId183" Target="https://doi.org/10.1016/j.jmp.2015.06.004" TargetMode="External" /><Relationship Type="http://schemas.openxmlformats.org/officeDocument/2006/relationships/hyperlink" Id="rId143" Target="https://doi.org/10.1016/j.jmp.2015.10.003" TargetMode="External" /><Relationship Type="http://schemas.openxmlformats.org/officeDocument/2006/relationships/hyperlink" Id="rId212" Target="https://doi.org/10.1016/j.jspi.2005.08.031" TargetMode="External" /><Relationship Type="http://schemas.openxmlformats.org/officeDocument/2006/relationships/hyperlink" Id="rId155" Target="https://doi.org/10.1016/j.socec.2004.09.033" TargetMode="External" /><Relationship Type="http://schemas.openxmlformats.org/officeDocument/2006/relationships/hyperlink" Id="rId138" Target="https://doi.org/10.1037/0003-066X.49.12.997" TargetMode="External" /><Relationship Type="http://schemas.openxmlformats.org/officeDocument/2006/relationships/hyperlink" Id="rId191" Target="https://doi.org/10.1037/a0024377" TargetMode="External" /><Relationship Type="http://schemas.openxmlformats.org/officeDocument/2006/relationships/hyperlink" Id="rId125" Target="https://doi.org/10.1037/dev0001435" TargetMode="External" /><Relationship Type="http://schemas.openxmlformats.org/officeDocument/2006/relationships/hyperlink" Id="rId234" Target="https://doi.org/10.1037/met0000100" TargetMode="External" /><Relationship Type="http://schemas.openxmlformats.org/officeDocument/2006/relationships/hyperlink" Id="rId230" Target="https://doi.org/10.1037/met0000221" TargetMode="External" /><Relationship Type="http://schemas.openxmlformats.org/officeDocument/2006/relationships/hyperlink" Id="rId159" Target="https://doi.org/10.1037/met0000454" TargetMode="External" /><Relationship Type="http://schemas.openxmlformats.org/officeDocument/2006/relationships/hyperlink" Id="rId204" Target="https://doi.org/10.1037/met0000472" TargetMode="External" /><Relationship Type="http://schemas.openxmlformats.org/officeDocument/2006/relationships/hyperlink" Id="rId127" Target="https://doi.org/10.1037/xge0001370" TargetMode="External" /><Relationship Type="http://schemas.openxmlformats.org/officeDocument/2006/relationships/hyperlink" Id="rId163" Target="https://doi.org/10.1037/xge0001653" TargetMode="External" /><Relationship Type="http://schemas.openxmlformats.org/officeDocument/2006/relationships/hyperlink" Id="rId111" Target="https://doi.org/10.1038/s41562-017-0189-z" TargetMode="External" /><Relationship Type="http://schemas.openxmlformats.org/officeDocument/2006/relationships/hyperlink" Id="rId210" Target="https://doi.org/10.1038/s41562-024-01814-x" TargetMode="External" /><Relationship Type="http://schemas.openxmlformats.org/officeDocument/2006/relationships/hyperlink" Id="rId109" Target="https://doi.org/10.1038/s41598-022-21832-x" TargetMode="External" /><Relationship Type="http://schemas.openxmlformats.org/officeDocument/2006/relationships/hyperlink" Id="rId195" Target="https://doi.org/10.1080/00031305.2018.1518265" TargetMode="External" /><Relationship Type="http://schemas.openxmlformats.org/officeDocument/2006/relationships/hyperlink" Id="rId218" Target="https://doi.org/10.1080/00031305.2020.1717621" TargetMode="External" /><Relationship Type="http://schemas.openxmlformats.org/officeDocument/2006/relationships/hyperlink" Id="rId240" Target="https://doi.org/10.1080/00031305.2021.1938225" TargetMode="External" /><Relationship Type="http://schemas.openxmlformats.org/officeDocument/2006/relationships/hyperlink" Id="rId165" Target="https://doi.org/10.1080/00273171.2014.969364" TargetMode="External" /><Relationship Type="http://schemas.openxmlformats.org/officeDocument/2006/relationships/hyperlink" Id="rId173" Target="https://doi.org/10.1080/00273171.2021.1967716" TargetMode="External" /><Relationship Type="http://schemas.openxmlformats.org/officeDocument/2006/relationships/hyperlink" Id="rId134" Target="https://doi.org/10.1080/01621459.1987.10478396" TargetMode="External" /><Relationship Type="http://schemas.openxmlformats.org/officeDocument/2006/relationships/hyperlink" Id="rId151" Target="https://doi.org/10.1080/19345747.2011.618213" TargetMode="External" /><Relationship Type="http://schemas.openxmlformats.org/officeDocument/2006/relationships/hyperlink" Id="rId244" Target="https://doi.org/10.1093/biomet/84.2.419" TargetMode="External" /><Relationship Type="http://schemas.openxmlformats.org/officeDocument/2006/relationships/hyperlink" Id="rId157" Target="https://doi.org/10.1093/biostatistics/kxq012" TargetMode="External" /><Relationship Type="http://schemas.openxmlformats.org/officeDocument/2006/relationships/hyperlink" Id="rId222" Target="https://doi.org/10.1093/biostatistics/kxw041" TargetMode="External" /><Relationship Type="http://schemas.openxmlformats.org/officeDocument/2006/relationships/hyperlink" Id="rId167" Target="https://doi.org/10.1093/jncimonographs/lgae050" TargetMode="External" /><Relationship Type="http://schemas.openxmlformats.org/officeDocument/2006/relationships/hyperlink" Id="rId169" Target="https://doi.org/10.1098/rspa.1938.0052" TargetMode="External" /><Relationship Type="http://schemas.openxmlformats.org/officeDocument/2006/relationships/hyperlink" Id="rId226" Target="https://doi.org/10.1111/1467-9868.00346" TargetMode="External" /><Relationship Type="http://schemas.openxmlformats.org/officeDocument/2006/relationships/hyperlink" Id="rId242" Target="https://doi.org/10.1111/biom.12226" TargetMode="External" /><Relationship Type="http://schemas.openxmlformats.org/officeDocument/2006/relationships/hyperlink" Id="rId208" Target="https://doi.org/10.1111/biom.12522" TargetMode="External" /><Relationship Type="http://schemas.openxmlformats.org/officeDocument/2006/relationships/hyperlink" Id="rId113" Target="https://doi.org/10.1111/j.2517-6161.1995.tb02031.x" TargetMode="External" /><Relationship Type="http://schemas.openxmlformats.org/officeDocument/2006/relationships/hyperlink" Id="rId187" Target="https://doi.org/10.1111/psyp.13490" TargetMode="External" /><Relationship Type="http://schemas.openxmlformats.org/officeDocument/2006/relationships/hyperlink" Id="rId238" Target="https://doi.org/10.1111/stan.12241" TargetMode="External" /><Relationship Type="http://schemas.openxmlformats.org/officeDocument/2006/relationships/hyperlink" Id="rId216" Target="https://doi.org/10.1146/annurev.ps.46.020195.003021" TargetMode="External" /><Relationship Type="http://schemas.openxmlformats.org/officeDocument/2006/relationships/hyperlink" Id="rId189" Target="https://doi.org/10.1177/0013164416669201" TargetMode="External" /><Relationship Type="http://schemas.openxmlformats.org/officeDocument/2006/relationships/hyperlink" Id="rId181" Target="https://doi.org/10.1177/0956797620904990" TargetMode="External" /><Relationship Type="http://schemas.openxmlformats.org/officeDocument/2006/relationships/hyperlink" Id="rId197" Target="https://doi.org/10.1177/09567976211046884" TargetMode="External" /><Relationship Type="http://schemas.openxmlformats.org/officeDocument/2006/relationships/hyperlink" Id="rId175" Target="https://doi.org/10.1177/1745691611406925" TargetMode="External" /><Relationship Type="http://schemas.openxmlformats.org/officeDocument/2006/relationships/hyperlink" Id="rId147" Target="https://doi.org/10.1177/1745691614551642" TargetMode="External" /><Relationship Type="http://schemas.openxmlformats.org/officeDocument/2006/relationships/hyperlink" Id="rId179" Target="https://doi.org/10.1177/2515245918770963" TargetMode="External" /><Relationship Type="http://schemas.openxmlformats.org/officeDocument/2006/relationships/hyperlink" Id="rId177" Target="https://doi.org/10.1177/2515245918771304" TargetMode="External" /><Relationship Type="http://schemas.openxmlformats.org/officeDocument/2006/relationships/hyperlink" Id="rId232" Target="https://doi.org/10.1177/25152459231213371" TargetMode="External" /><Relationship Type="http://schemas.openxmlformats.org/officeDocument/2006/relationships/hyperlink" Id="rId145" Target="https://doi.org/10.1198/016214501753382129" TargetMode="External" /><Relationship Type="http://schemas.openxmlformats.org/officeDocument/2006/relationships/hyperlink" Id="rId193" Target="https://doi.org/10.1198/016214504000001646" TargetMode="External" /><Relationship Type="http://schemas.openxmlformats.org/officeDocument/2006/relationships/hyperlink" Id="rId149" Target="https://doi.org/10.1201/b16018" TargetMode="External" /><Relationship Type="http://schemas.openxmlformats.org/officeDocument/2006/relationships/hyperlink" Id="rId214" Target="https://doi.org/10.1214/10-AOS792" TargetMode="External" /><Relationship Type="http://schemas.openxmlformats.org/officeDocument/2006/relationships/hyperlink" Id="rId105" Target="https://doi.org/10.1214/22-EJS1979" TargetMode="External" /><Relationship Type="http://schemas.openxmlformats.org/officeDocument/2006/relationships/hyperlink" Id="rId228" Target="https://doi.org/10.1214/aos/1074290335" TargetMode="External" /><Relationship Type="http://schemas.openxmlformats.org/officeDocument/2006/relationships/hyperlink" Id="rId202" Target="https://doi.org/10.1214/aos/1176346785" TargetMode="External" /><Relationship Type="http://schemas.openxmlformats.org/officeDocument/2006/relationships/hyperlink" Id="rId131" Target="https://doi.org/10.18637/jss.v080.i01" TargetMode="External" /><Relationship Type="http://schemas.openxmlformats.org/officeDocument/2006/relationships/hyperlink" Id="rId206" Target="https://doi.org/10.18637/jss.v094.i07" TargetMode="External" /><Relationship Type="http://schemas.openxmlformats.org/officeDocument/2006/relationships/hyperlink" Id="rId199" Target="https://doi.org/10.31234/osf.io/ck3js_v1" TargetMode="External" /><Relationship Type="http://schemas.openxmlformats.org/officeDocument/2006/relationships/hyperlink" Id="rId141" Target="https://doi.org/10.31234/osf.io/s56mk" TargetMode="External" /><Relationship Type="http://schemas.openxmlformats.org/officeDocument/2006/relationships/hyperlink" Id="rId185" Target="https://doi.org/10.3389/fpsyg.2019.02767" TargetMode="External" /><Relationship Type="http://schemas.openxmlformats.org/officeDocument/2006/relationships/hyperlink" Id="rId107" Target="https://doi.org/10.3389/fpsyg.2019.02893" TargetMode="External" /><Relationship Type="http://schemas.openxmlformats.org/officeDocument/2006/relationships/hyperlink" Id="rId236" Target="https://doi.org/10.3917/anpsy1.201.0073" TargetMode="External" /><Relationship Type="http://schemas.openxmlformats.org/officeDocument/2006/relationships/hyperlink" Id="rId117" Target="https://doi.org/10.51387/22-NEJSDS4" TargetMode="External" /><Relationship Type="http://schemas.openxmlformats.org/officeDocument/2006/relationships/hyperlink" Id="rId92" Target="https://github.com/mar-cald/multibayes" TargetMode="External" /><Relationship Type="http://schemas.openxmlformats.org/officeDocument/2006/relationships/hyperlink" Id="rId33" Target="https://orcid.org/0000-0002-6666-1747" TargetMode="External" /><Relationship Type="http://schemas.openxmlformats.org/officeDocument/2006/relationships/hyperlink" Id="rId43" Target="https://orcid.org/0000-0003-1154-9528" TargetMode="External" /><Relationship Type="http://schemas.openxmlformats.org/officeDocument/2006/relationships/hyperlink" Id="rId38" Target="https://orcid.org/0000-0003-3181-8078" TargetMode="External" /><Relationship Type="http://schemas.openxmlformats.org/officeDocument/2006/relationships/hyperlink" Id="rId28" Target="https://orcid.org/0009-0005-5668-5162" TargetMode="External" /><Relationship Type="http://schemas.openxmlformats.org/officeDocument/2006/relationships/hyperlink" Id="rId44" Target="https://osf.io/preprints/psyarxiv/8zwx2_v2" TargetMode="External" /><Relationship Type="http://schemas.openxmlformats.org/officeDocument/2006/relationships/hyperlink" Id="rId93" Target="https://osf.io/q294m" TargetMode="External" /><Relationship Type="http://schemas.openxmlformats.org/officeDocument/2006/relationships/hyperlink" Id="rId45" Target="mailto:margherita.calderan@unipd.it" TargetMode="External" /></Relationships>
</file>

<file path=word/_rels/footnotes.xml.rels><?xml version="1.0" encoding="UTF-8"?><Relationships xmlns="http://schemas.openxmlformats.org/package/2006/relationships"><Relationship Type="http://schemas.openxmlformats.org/officeDocument/2006/relationships/hyperlink" Id="rId220" Target="https://CRAN.R-project.org/package=afex" TargetMode="External" /><Relationship Type="http://schemas.openxmlformats.org/officeDocument/2006/relationships/hyperlink" Id="rId102" Target="https://credit.niso.org/" TargetMode="External" /><Relationship Type="http://schemas.openxmlformats.org/officeDocument/2006/relationships/hyperlink" Id="rId161" Target="https://doi.org/10.1002/9780470316672" TargetMode="External" /><Relationship Type="http://schemas.openxmlformats.org/officeDocument/2006/relationships/hyperlink" Id="rId123" Target="https://doi.org/10.1002/9781118033197" TargetMode="External" /><Relationship Type="http://schemas.openxmlformats.org/officeDocument/2006/relationships/hyperlink" Id="rId129" Target="https://doi.org/10.1002/mds.29659" TargetMode="External" /><Relationship Type="http://schemas.openxmlformats.org/officeDocument/2006/relationships/hyperlink" Id="rId248" Target="https://doi.org/10.1002/sim.8279" TargetMode="External" /><Relationship Type="http://schemas.openxmlformats.org/officeDocument/2006/relationships/hyperlink" Id="rId115" Target="https://doi.org/10.1007/BF02562676" TargetMode="External" /><Relationship Type="http://schemas.openxmlformats.org/officeDocument/2006/relationships/hyperlink" Id="rId153" Target="https://doi.org/10.1007/s001800000040" TargetMode="External" /><Relationship Type="http://schemas.openxmlformats.org/officeDocument/2006/relationships/hyperlink" Id="rId121" Target="https://doi.org/10.1007/s00426-020-01358-5" TargetMode="External" /><Relationship Type="http://schemas.openxmlformats.org/officeDocument/2006/relationships/hyperlink" Id="rId224" Target="https://doi.org/10.1007/s12144-023-04579-0" TargetMode="External" /><Relationship Type="http://schemas.openxmlformats.org/officeDocument/2006/relationships/hyperlink" Id="rId171" Target="https://doi.org/10.1007/s12144-023-05003-3" TargetMode="External" /><Relationship Type="http://schemas.openxmlformats.org/officeDocument/2006/relationships/hyperlink" Id="rId119" Target="https://doi.org/10.1016/S0378-3758(99)00044-0" TargetMode="External" /><Relationship Type="http://schemas.openxmlformats.org/officeDocument/2006/relationships/hyperlink" Id="rId136" Target="https://doi.org/10.1016/j.cognition.2025.106409" TargetMode="External" /><Relationship Type="http://schemas.openxmlformats.org/officeDocument/2006/relationships/hyperlink" Id="rId183" Target="https://doi.org/10.1016/j.jmp.2015.06.004" TargetMode="External" /><Relationship Type="http://schemas.openxmlformats.org/officeDocument/2006/relationships/hyperlink" Id="rId143" Target="https://doi.org/10.1016/j.jmp.2015.10.003" TargetMode="External" /><Relationship Type="http://schemas.openxmlformats.org/officeDocument/2006/relationships/hyperlink" Id="rId212" Target="https://doi.org/10.1016/j.jspi.2005.08.031" TargetMode="External" /><Relationship Type="http://schemas.openxmlformats.org/officeDocument/2006/relationships/hyperlink" Id="rId155" Target="https://doi.org/10.1016/j.socec.2004.09.033" TargetMode="External" /><Relationship Type="http://schemas.openxmlformats.org/officeDocument/2006/relationships/hyperlink" Id="rId138" Target="https://doi.org/10.1037/0003-066X.49.12.997" TargetMode="External" /><Relationship Type="http://schemas.openxmlformats.org/officeDocument/2006/relationships/hyperlink" Id="rId191" Target="https://doi.org/10.1037/a0024377" TargetMode="External" /><Relationship Type="http://schemas.openxmlformats.org/officeDocument/2006/relationships/hyperlink" Id="rId125" Target="https://doi.org/10.1037/dev0001435" TargetMode="External" /><Relationship Type="http://schemas.openxmlformats.org/officeDocument/2006/relationships/hyperlink" Id="rId234" Target="https://doi.org/10.1037/met0000100" TargetMode="External" /><Relationship Type="http://schemas.openxmlformats.org/officeDocument/2006/relationships/hyperlink" Id="rId230" Target="https://doi.org/10.1037/met0000221" TargetMode="External" /><Relationship Type="http://schemas.openxmlformats.org/officeDocument/2006/relationships/hyperlink" Id="rId159" Target="https://doi.org/10.1037/met0000454" TargetMode="External" /><Relationship Type="http://schemas.openxmlformats.org/officeDocument/2006/relationships/hyperlink" Id="rId204" Target="https://doi.org/10.1037/met0000472" TargetMode="External" /><Relationship Type="http://schemas.openxmlformats.org/officeDocument/2006/relationships/hyperlink" Id="rId127" Target="https://doi.org/10.1037/xge0001370" TargetMode="External" /><Relationship Type="http://schemas.openxmlformats.org/officeDocument/2006/relationships/hyperlink" Id="rId163" Target="https://doi.org/10.1037/xge0001653" TargetMode="External" /><Relationship Type="http://schemas.openxmlformats.org/officeDocument/2006/relationships/hyperlink" Id="rId111" Target="https://doi.org/10.1038/s41562-017-0189-z" TargetMode="External" /><Relationship Type="http://schemas.openxmlformats.org/officeDocument/2006/relationships/hyperlink" Id="rId210" Target="https://doi.org/10.1038/s41562-024-01814-x" TargetMode="External" /><Relationship Type="http://schemas.openxmlformats.org/officeDocument/2006/relationships/hyperlink" Id="rId109" Target="https://doi.org/10.1038/s41598-022-21832-x" TargetMode="External" /><Relationship Type="http://schemas.openxmlformats.org/officeDocument/2006/relationships/hyperlink" Id="rId195" Target="https://doi.org/10.1080/00031305.2018.1518265" TargetMode="External" /><Relationship Type="http://schemas.openxmlformats.org/officeDocument/2006/relationships/hyperlink" Id="rId218" Target="https://doi.org/10.1080/00031305.2020.1717621" TargetMode="External" /><Relationship Type="http://schemas.openxmlformats.org/officeDocument/2006/relationships/hyperlink" Id="rId240" Target="https://doi.org/10.1080/00031305.2021.1938225" TargetMode="External" /><Relationship Type="http://schemas.openxmlformats.org/officeDocument/2006/relationships/hyperlink" Id="rId165" Target="https://doi.org/10.1080/00273171.2014.969364" TargetMode="External" /><Relationship Type="http://schemas.openxmlformats.org/officeDocument/2006/relationships/hyperlink" Id="rId173" Target="https://doi.org/10.1080/00273171.2021.1967716" TargetMode="External" /><Relationship Type="http://schemas.openxmlformats.org/officeDocument/2006/relationships/hyperlink" Id="rId134" Target="https://doi.org/10.1080/01621459.1987.10478396" TargetMode="External" /><Relationship Type="http://schemas.openxmlformats.org/officeDocument/2006/relationships/hyperlink" Id="rId151" Target="https://doi.org/10.1080/19345747.2011.618213" TargetMode="External" /><Relationship Type="http://schemas.openxmlformats.org/officeDocument/2006/relationships/hyperlink" Id="rId244" Target="https://doi.org/10.1093/biomet/84.2.419" TargetMode="External" /><Relationship Type="http://schemas.openxmlformats.org/officeDocument/2006/relationships/hyperlink" Id="rId157" Target="https://doi.org/10.1093/biostatistics/kxq012" TargetMode="External" /><Relationship Type="http://schemas.openxmlformats.org/officeDocument/2006/relationships/hyperlink" Id="rId222" Target="https://doi.org/10.1093/biostatistics/kxw041" TargetMode="External" /><Relationship Type="http://schemas.openxmlformats.org/officeDocument/2006/relationships/hyperlink" Id="rId167" Target="https://doi.org/10.1093/jncimonographs/lgae050" TargetMode="External" /><Relationship Type="http://schemas.openxmlformats.org/officeDocument/2006/relationships/hyperlink" Id="rId169" Target="https://doi.org/10.1098/rspa.1938.0052" TargetMode="External" /><Relationship Type="http://schemas.openxmlformats.org/officeDocument/2006/relationships/hyperlink" Id="rId226" Target="https://doi.org/10.1111/1467-9868.00346" TargetMode="External" /><Relationship Type="http://schemas.openxmlformats.org/officeDocument/2006/relationships/hyperlink" Id="rId242" Target="https://doi.org/10.1111/biom.12226" TargetMode="External" /><Relationship Type="http://schemas.openxmlformats.org/officeDocument/2006/relationships/hyperlink" Id="rId208" Target="https://doi.org/10.1111/biom.12522" TargetMode="External" /><Relationship Type="http://schemas.openxmlformats.org/officeDocument/2006/relationships/hyperlink" Id="rId113" Target="https://doi.org/10.1111/j.2517-6161.1995.tb02031.x" TargetMode="External" /><Relationship Type="http://schemas.openxmlformats.org/officeDocument/2006/relationships/hyperlink" Id="rId187" Target="https://doi.org/10.1111/psyp.13490" TargetMode="External" /><Relationship Type="http://schemas.openxmlformats.org/officeDocument/2006/relationships/hyperlink" Id="rId238" Target="https://doi.org/10.1111/stan.12241" TargetMode="External" /><Relationship Type="http://schemas.openxmlformats.org/officeDocument/2006/relationships/hyperlink" Id="rId216" Target="https://doi.org/10.1146/annurev.ps.46.020195.003021" TargetMode="External" /><Relationship Type="http://schemas.openxmlformats.org/officeDocument/2006/relationships/hyperlink" Id="rId189" Target="https://doi.org/10.1177/0013164416669201" TargetMode="External" /><Relationship Type="http://schemas.openxmlformats.org/officeDocument/2006/relationships/hyperlink" Id="rId181" Target="https://doi.org/10.1177/0956797620904990" TargetMode="External" /><Relationship Type="http://schemas.openxmlformats.org/officeDocument/2006/relationships/hyperlink" Id="rId197" Target="https://doi.org/10.1177/09567976211046884" TargetMode="External" /><Relationship Type="http://schemas.openxmlformats.org/officeDocument/2006/relationships/hyperlink" Id="rId175" Target="https://doi.org/10.1177/1745691611406925" TargetMode="External" /><Relationship Type="http://schemas.openxmlformats.org/officeDocument/2006/relationships/hyperlink" Id="rId147" Target="https://doi.org/10.1177/1745691614551642" TargetMode="External" /><Relationship Type="http://schemas.openxmlformats.org/officeDocument/2006/relationships/hyperlink" Id="rId179" Target="https://doi.org/10.1177/2515245918770963" TargetMode="External" /><Relationship Type="http://schemas.openxmlformats.org/officeDocument/2006/relationships/hyperlink" Id="rId177" Target="https://doi.org/10.1177/2515245918771304" TargetMode="External" /><Relationship Type="http://schemas.openxmlformats.org/officeDocument/2006/relationships/hyperlink" Id="rId232" Target="https://doi.org/10.1177/25152459231213371" TargetMode="External" /><Relationship Type="http://schemas.openxmlformats.org/officeDocument/2006/relationships/hyperlink" Id="rId145" Target="https://doi.org/10.1198/016214501753382129" TargetMode="External" /><Relationship Type="http://schemas.openxmlformats.org/officeDocument/2006/relationships/hyperlink" Id="rId193" Target="https://doi.org/10.1198/016214504000001646" TargetMode="External" /><Relationship Type="http://schemas.openxmlformats.org/officeDocument/2006/relationships/hyperlink" Id="rId149" Target="https://doi.org/10.1201/b16018" TargetMode="External" /><Relationship Type="http://schemas.openxmlformats.org/officeDocument/2006/relationships/hyperlink" Id="rId214" Target="https://doi.org/10.1214/10-AOS792" TargetMode="External" /><Relationship Type="http://schemas.openxmlformats.org/officeDocument/2006/relationships/hyperlink" Id="rId105" Target="https://doi.org/10.1214/22-EJS1979" TargetMode="External" /><Relationship Type="http://schemas.openxmlformats.org/officeDocument/2006/relationships/hyperlink" Id="rId228" Target="https://doi.org/10.1214/aos/1074290335" TargetMode="External" /><Relationship Type="http://schemas.openxmlformats.org/officeDocument/2006/relationships/hyperlink" Id="rId202" Target="https://doi.org/10.1214/aos/1176346785" TargetMode="External" /><Relationship Type="http://schemas.openxmlformats.org/officeDocument/2006/relationships/hyperlink" Id="rId131" Target="https://doi.org/10.18637/jss.v080.i01" TargetMode="External" /><Relationship Type="http://schemas.openxmlformats.org/officeDocument/2006/relationships/hyperlink" Id="rId206" Target="https://doi.org/10.18637/jss.v094.i07" TargetMode="External" /><Relationship Type="http://schemas.openxmlformats.org/officeDocument/2006/relationships/hyperlink" Id="rId199" Target="https://doi.org/10.31234/osf.io/ck3js_v1" TargetMode="External" /><Relationship Type="http://schemas.openxmlformats.org/officeDocument/2006/relationships/hyperlink" Id="rId141" Target="https://doi.org/10.31234/osf.io/s56mk" TargetMode="External" /><Relationship Type="http://schemas.openxmlformats.org/officeDocument/2006/relationships/hyperlink" Id="rId185" Target="https://doi.org/10.3389/fpsyg.2019.02767" TargetMode="External" /><Relationship Type="http://schemas.openxmlformats.org/officeDocument/2006/relationships/hyperlink" Id="rId107" Target="https://doi.org/10.3389/fpsyg.2019.02893" TargetMode="External" /><Relationship Type="http://schemas.openxmlformats.org/officeDocument/2006/relationships/hyperlink" Id="rId236" Target="https://doi.org/10.3917/anpsy1.201.0073" TargetMode="External" /><Relationship Type="http://schemas.openxmlformats.org/officeDocument/2006/relationships/hyperlink" Id="rId117" Target="https://doi.org/10.51387/22-NEJSDS4" TargetMode="External" /><Relationship Type="http://schemas.openxmlformats.org/officeDocument/2006/relationships/hyperlink" Id="rId92" Target="https://github.com/mar-cald/multibayes" TargetMode="External" /><Relationship Type="http://schemas.openxmlformats.org/officeDocument/2006/relationships/hyperlink" Id="rId33" Target="https://orcid.org/0000-0002-6666-1747" TargetMode="External" /><Relationship Type="http://schemas.openxmlformats.org/officeDocument/2006/relationships/hyperlink" Id="rId43" Target="https://orcid.org/0000-0003-1154-9528" TargetMode="External" /><Relationship Type="http://schemas.openxmlformats.org/officeDocument/2006/relationships/hyperlink" Id="rId38" Target="https://orcid.org/0000-0003-3181-8078" TargetMode="External" /><Relationship Type="http://schemas.openxmlformats.org/officeDocument/2006/relationships/hyperlink" Id="rId28" Target="https://orcid.org/0009-0005-5668-5162" TargetMode="External" /><Relationship Type="http://schemas.openxmlformats.org/officeDocument/2006/relationships/hyperlink" Id="rId44" Target="https://osf.io/preprints/psyarxiv/8zwx2_v2" TargetMode="External" /><Relationship Type="http://schemas.openxmlformats.org/officeDocument/2006/relationships/hyperlink" Id="rId93" Target="https://osf.io/q294m" TargetMode="External" /><Relationship Type="http://schemas.openxmlformats.org/officeDocument/2006/relationships/hyperlink" Id="rId45" Target="mailto:margherita.calderan@unip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PROBABILITY OF DIRECTION AND MULTIPLICITY</dc:description>
  <cp:keywords>probability of direction, multiple testing, prior odds, robust Bayesian analysis, FDR</cp:keywords>
  <dcterms:created xsi:type="dcterms:W3CDTF">2026-10-12T14:48:07Z</dcterms:created>
  <dcterms:modified xsi:type="dcterms:W3CDTF">2026-10-12T14:48:07Z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probability of direction (pd) is increasingly used in psychological research to summarize how strongly the posterior favors one direction of a parameter. Researchers often use pd in a decision rule with a fixed threshold, such as .975, and when this rule is applied across many parameters, the probability of at least one wrong directional claim grows with the number of claims made. We apply to pd the classical Bayesian response to multiplicity, a penalty on the prior odds of each claim that depends on the number of tests. Because the direction of a claim is known only after the data are seen, a claim is made only if it still holds when the prior odds of the claimed direction are lowered. This raises the threshold that pd must exceed by an amount determined by an upper bound, set by the researcher, on the prior probability of the sign opposite to the claimed one. When the same bound applies to every parameter, it is also an upper bound on the expected proportion of parameters in the family that are not on the claimed side, null effects included. We evaluate the error rates and power of the rule in simulations that vary the sample size, the number of tests, and the bound, set below, at, or above the actual proportion of null effects. We also compare the rule with two other Bayesian multiple-comparison procedures: joint directional statements and simultaneous credible intervals. All three procedures are implemented in an accompanying R package.</vt:lpwstr>
  </property>
  <property fmtid="{D5CDD505-2E9C-101B-9397-08002B2CF9AE}" pid="5" name="apaauthor">
    <vt:lpwstr/>
  </property>
  <property fmtid="{D5CDD505-2E9C-101B-9397-08002B2CF9AE}" pid="6" name="apatitle">
    <vt:lpwstr>A Prior-Odds Adjustment for the Probability of Direction in Multiple Testing</vt:lpwstr>
  </property>
  <property fmtid="{D5CDD505-2E9C-101B-9397-08002B2CF9AE}" pid="7" name="apatitledisplay">
    <vt:lpwstr>A Prior-Odds Adjustment for the Probability of Direction in Multiple Testing</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reference-section-title">
    <vt:lpwstr>References</vt:lpwstr>
  </property>
  <property fmtid="{D5CDD505-2E9C-101B-9397-08002B2CF9AE}" pid="33" name="references">
    <vt:lpwstr/>
  </property>
  <property fmtid="{D5CDD505-2E9C-101B-9397-08002B2CF9AE}" pid="34" name="revealjs-plugins">
    <vt:lpwstr/>
  </property>
  <property fmtid="{D5CDD505-2E9C-101B-9397-08002B2CF9AE}" pid="35" name="shorttitle">
    <vt:lpwstr>PROBABILITY OF DIRECTION AND MULTIPLICITY</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countr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True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count">
    <vt:lpwstr>True</vt:lpwstr>
  </property>
  <property fmtid="{D5CDD505-2E9C-101B-9397-08002B2CF9AE}" pid="64" name="wordn">
    <vt:lpwstr>8117</vt:lpwstr>
  </property>
  <property fmtid="{D5CDD505-2E9C-101B-9397-08002B2CF9AE}" pid="65" name="zerocitations">
    <vt:lpwstr>False</vt:lpwstr>
  </property>
</Properties>
</file>