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RAPPORT RÉVISÉ DE CLASSIFICATION D’IMAGES RADIOGRAPHIQUES COVID-19 PAR DEEP LEARNING</w:t>
      </w:r>
    </w:p>
    <w:p>
      <w:pPr>
        <w:jc w:val="center"/>
      </w:pPr>
      <w:r>
        <w:rPr>
          <w:rFonts w:ascii="Arial" w:hAnsi="Arial"/>
          <w:i/>
          <w:sz w:val="22"/>
        </w:rPr>
        <w:t>Synthèse analytique des notebooks fournis – CNN custom, DenseNet121, EfficientNetB0, ResNet50 et VGG16</w:t>
      </w:r>
    </w:p>
    <w:p>
      <w:pPr>
        <w:jc w:val="center"/>
      </w:pPr>
      <w:r>
        <w:rPr>
          <w:sz w:val="22"/>
        </w:rPr>
        <w:t>Version révisée intégrant les nouveaux notebooks VGG16 fine-tunés et un tableau comparatif consolidé.</w:t>
      </w:r>
    </w:p>
    <w:p/>
    <w:p>
      <w:pPr>
        <w:pStyle w:val="Heading1"/>
      </w:pPr>
      <w:r>
        <w:t>Résumé exécutif</w:t>
      </w:r>
    </w:p>
    <w:p>
      <w:pPr>
        <w:pStyle w:val="ListBullet"/>
      </w:pPr>
      <w:r>
        <w:t>Le protocole expérimental est homogène sur 10 exécutions : mêmes fixed splits, même pipeline général de prétraitement, même logique d’entraînement en deux phases pour les modèles pré-entraînés, et même jeu de test final (3 175 images).</w:t>
      </w:r>
    </w:p>
    <w:p>
      <w:pPr>
        <w:pStyle w:val="ListBullet"/>
      </w:pPr>
      <w:r>
        <w:t>Le meilleur compromis global est obtenu par VGG16 sans CLAHE ni data augmentation : accuracy 0,886 ; Macro-F1 0,880 ; F1-weighted 0,885.</w:t>
      </w:r>
    </w:p>
    <w:p>
      <w:pPr>
        <w:pStyle w:val="ListBullet"/>
      </w:pPr>
      <w:r>
        <w:t>Si la priorité devient la sensibilité à la classe COVID, la variante VGG16 avec CLAHE et data augmentation est légèrement plus intéressante : recall COVID 0,825 contre 0,810 pour la variante sans prétraitements additionnels.</w:t>
      </w:r>
    </w:p>
    <w:p>
      <w:pPr>
        <w:pStyle w:val="ListBullet"/>
      </w:pPr>
      <w:r>
        <w:t>Contrairement à l’intuition initiale, CLAHE + augmentation n’améliorent pas systématiquement les performances globales. Sur 4 architectures sur 5, la variante sans ces traitements obtient le meilleur Macro-F1.</w:t>
      </w:r>
    </w:p>
    <w:p>
      <w:pPr>
        <w:pStyle w:val="ListBullet"/>
      </w:pPr>
      <w:r>
        <w:t>Les confusions les plus persistantes concernent surtout COVID et Lung_Opacity. Les classes Normal et Viral Pneumonia sont généralement mieux reconnues.</w:t>
      </w:r>
    </w:p>
    <w:p>
      <w:pPr>
        <w:pStyle w:val="Heading1"/>
      </w:pPr>
      <w:r>
        <w:t>1. Périmètre de cette révision</w:t>
      </w:r>
    </w:p>
    <w:p>
      <w:r>
        <w:t>Cette version du rapport consolide uniquement les notebooks de deep learning fournis pour cette itération : CNN custom, DenseNet121, EfficientNetB0, ResNet50 et VGG16, chacun testé en deux variantes (sans CLAHE / sans augmentation, puis avec CLAHE / avec augmentation). Elle remplace la version précédente en intégrant correctement les nouveaux résultats VGG16 fine-tunés. Les modèles de machine learning classiques et les notebooks des étapes antérieures ne sont pas recomptés ici ; ils devront être fusionnés séparément dans le document final global.</w:t>
      </w:r>
    </w:p>
    <w:p>
      <w:pPr>
        <w:pStyle w:val="Heading1"/>
      </w:pPr>
      <w:r>
        <w:t>2. Données, split et protocole d’évaluation</w:t>
      </w:r>
    </w:p>
    <w:p>
      <w:r>
        <w:t>Tous les notebooks exploitent les mêmes fichiers CSV de split. Cela garantit une comparaison stricte entre architectures : aucune différence de performance ne peut être attribuée à un tirage aléatoire différent du jeu de test.</w:t>
      </w:r>
    </w:p>
    <w:p>
      <w:pPr>
        <w:pStyle w:val="Heading2"/>
      </w:pPr>
      <w:r>
        <w:t>2.1 Répartition des données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r>
              <w:rPr>
                <w:rFonts w:ascii="Arial" w:hAnsi="Arial"/>
                <w:b/>
                <w:sz w:val="17"/>
              </w:rPr>
              <w:t>Split</w:t>
            </w:r>
          </w:p>
        </w:tc>
        <w:tc>
          <w:tcPr>
            <w:tcW w:type="dxa" w:w="1662"/>
            <w:vAlign w:val="center"/>
            <w:shd w:fill="D9EAF7"/>
          </w:tcPr>
          <w:p>
            <w:r>
              <w:rPr>
                <w:rFonts w:ascii="Arial" w:hAnsi="Arial"/>
                <w:b/>
                <w:sz w:val="17"/>
              </w:rPr>
              <w:t>COVID</w:t>
            </w:r>
          </w:p>
        </w:tc>
        <w:tc>
          <w:tcPr>
            <w:tcW w:type="dxa" w:w="1662"/>
            <w:vAlign w:val="center"/>
            <w:shd w:fill="D9EAF7"/>
          </w:tcPr>
          <w:p>
            <w:r>
              <w:rPr>
                <w:rFonts w:ascii="Arial" w:hAnsi="Arial"/>
                <w:b/>
                <w:sz w:val="17"/>
              </w:rPr>
              <w:t>Normal</w:t>
            </w:r>
          </w:p>
        </w:tc>
        <w:tc>
          <w:tcPr>
            <w:tcW w:type="dxa" w:w="1662"/>
            <w:vAlign w:val="center"/>
            <w:shd w:fill="D9EAF7"/>
          </w:tcPr>
          <w:p>
            <w:r>
              <w:rPr>
                <w:rFonts w:ascii="Arial" w:hAnsi="Arial"/>
                <w:b/>
                <w:sz w:val="17"/>
              </w:rPr>
              <w:t>Lung_Opacity</w:t>
            </w:r>
          </w:p>
        </w:tc>
        <w:tc>
          <w:tcPr>
            <w:tcW w:type="dxa" w:w="1662"/>
            <w:vAlign w:val="center"/>
            <w:shd w:fill="D9EAF7"/>
          </w:tcPr>
          <w:p>
            <w:r>
              <w:rPr>
                <w:rFonts w:ascii="Arial" w:hAnsi="Arial"/>
                <w:b/>
                <w:sz w:val="17"/>
              </w:rPr>
              <w:t>Viral_Pneumonia</w:t>
            </w:r>
          </w:p>
        </w:tc>
        <w:tc>
          <w:tcPr>
            <w:tcW w:type="dxa" w:w="1662"/>
            <w:vAlign w:val="center"/>
            <w:shd w:fill="D9EAF7"/>
          </w:tcPr>
          <w:p>
            <w:r>
              <w:rPr>
                <w:rFonts w:ascii="Arial" w:hAnsi="Arial"/>
                <w:b/>
                <w:sz w:val="17"/>
              </w:rPr>
              <w:t>Total</w:t>
            </w:r>
          </w:p>
        </w:tc>
      </w:tr>
      <w:tr>
        <w:tc>
          <w:tcPr>
            <w:tcW w:type="dxa" w:w="1662"/>
            <w:vAlign w:val="center"/>
          </w:tcPr>
          <w:p>
            <w:r>
              <w:rPr>
                <w:rFonts w:ascii="Arial" w:hAnsi="Arial"/>
                <w:b w:val="0"/>
                <w:sz w:val="17"/>
              </w:rPr>
              <w:t>Train</w:t>
            </w:r>
          </w:p>
        </w:tc>
        <w:tc>
          <w:tcPr>
            <w:tcW w:type="dxa" w:w="1662"/>
            <w:vAlign w:val="center"/>
          </w:tcPr>
          <w:p>
            <w:r>
              <w:rPr>
                <w:rFonts w:ascii="Arial" w:hAnsi="Arial"/>
                <w:b w:val="0"/>
                <w:sz w:val="17"/>
              </w:rPr>
              <w:t>2531</w:t>
            </w:r>
          </w:p>
        </w:tc>
        <w:tc>
          <w:tcPr>
            <w:tcW w:type="dxa" w:w="1662"/>
            <w:vAlign w:val="center"/>
          </w:tcPr>
          <w:p>
            <w:r>
              <w:rPr>
                <w:rFonts w:ascii="Arial" w:hAnsi="Arial"/>
                <w:b w:val="0"/>
                <w:sz w:val="17"/>
              </w:rPr>
              <w:t>7134</w:t>
            </w:r>
          </w:p>
        </w:tc>
        <w:tc>
          <w:tcPr>
            <w:tcW w:type="dxa" w:w="1662"/>
            <w:vAlign w:val="center"/>
          </w:tcPr>
          <w:p>
            <w:r>
              <w:rPr>
                <w:rFonts w:ascii="Arial" w:hAnsi="Arial"/>
                <w:b w:val="0"/>
                <w:sz w:val="17"/>
              </w:rPr>
              <w:t>4208</w:t>
            </w:r>
          </w:p>
        </w:tc>
        <w:tc>
          <w:tcPr>
            <w:tcW w:type="dxa" w:w="1662"/>
            <w:vAlign w:val="center"/>
          </w:tcPr>
          <w:p>
            <w:r>
              <w:rPr>
                <w:rFonts w:ascii="Arial" w:hAnsi="Arial"/>
                <w:b w:val="0"/>
                <w:sz w:val="17"/>
              </w:rPr>
              <w:t>942</w:t>
            </w:r>
          </w:p>
        </w:tc>
        <w:tc>
          <w:tcPr>
            <w:tcW w:type="dxa" w:w="1662"/>
            <w:vAlign w:val="center"/>
          </w:tcPr>
          <w:p>
            <w:r>
              <w:rPr>
                <w:rFonts w:ascii="Arial" w:hAnsi="Arial"/>
                <w:b w:val="0"/>
                <w:sz w:val="17"/>
              </w:rPr>
              <w:t>14815</w:t>
            </w:r>
          </w:p>
        </w:tc>
      </w:tr>
      <w:tr>
        <w:tc>
          <w:tcPr>
            <w:tcW w:type="dxa" w:w="1662"/>
            <w:vAlign w:val="center"/>
          </w:tcPr>
          <w:p>
            <w:r>
              <w:rPr>
                <w:rFonts w:ascii="Arial" w:hAnsi="Arial"/>
                <w:b w:val="0"/>
                <w:sz w:val="17"/>
              </w:rPr>
              <w:t>Validation</w:t>
            </w:r>
          </w:p>
        </w:tc>
        <w:tc>
          <w:tcPr>
            <w:tcW w:type="dxa" w:w="1662"/>
            <w:vAlign w:val="center"/>
          </w:tcPr>
          <w:p>
            <w:r>
              <w:rPr>
                <w:rFonts w:ascii="Arial" w:hAnsi="Arial"/>
                <w:b w:val="0"/>
                <w:sz w:val="17"/>
              </w:rPr>
              <w:t>543</w:t>
            </w:r>
          </w:p>
        </w:tc>
        <w:tc>
          <w:tcPr>
            <w:tcW w:type="dxa" w:w="1662"/>
            <w:vAlign w:val="center"/>
          </w:tcPr>
          <w:p>
            <w:r>
              <w:rPr>
                <w:rFonts w:ascii="Arial" w:hAnsi="Arial"/>
                <w:b w:val="0"/>
                <w:sz w:val="17"/>
              </w:rPr>
              <w:t>1529</w:t>
            </w:r>
          </w:p>
        </w:tc>
        <w:tc>
          <w:tcPr>
            <w:tcW w:type="dxa" w:w="1662"/>
            <w:vAlign w:val="center"/>
          </w:tcPr>
          <w:p>
            <w:r>
              <w:rPr>
                <w:rFonts w:ascii="Arial" w:hAnsi="Arial"/>
                <w:b w:val="0"/>
                <w:sz w:val="17"/>
              </w:rPr>
              <w:t>902</w:t>
            </w:r>
          </w:p>
        </w:tc>
        <w:tc>
          <w:tcPr>
            <w:tcW w:type="dxa" w:w="1662"/>
            <w:vAlign w:val="center"/>
          </w:tcPr>
          <w:p>
            <w:r>
              <w:rPr>
                <w:rFonts w:ascii="Arial" w:hAnsi="Arial"/>
                <w:b w:val="0"/>
                <w:sz w:val="17"/>
              </w:rPr>
              <w:t>201</w:t>
            </w:r>
          </w:p>
        </w:tc>
        <w:tc>
          <w:tcPr>
            <w:tcW w:type="dxa" w:w="1662"/>
            <w:vAlign w:val="center"/>
          </w:tcPr>
          <w:p>
            <w:r>
              <w:rPr>
                <w:rFonts w:ascii="Arial" w:hAnsi="Arial"/>
                <w:b w:val="0"/>
                <w:sz w:val="17"/>
              </w:rPr>
              <w:t>3175</w:t>
            </w:r>
          </w:p>
        </w:tc>
      </w:tr>
      <w:tr>
        <w:tc>
          <w:tcPr>
            <w:tcW w:type="dxa" w:w="1662"/>
            <w:vAlign w:val="center"/>
          </w:tcPr>
          <w:p>
            <w:r>
              <w:rPr>
                <w:rFonts w:ascii="Arial" w:hAnsi="Arial"/>
                <w:b w:val="0"/>
                <w:sz w:val="17"/>
              </w:rPr>
              <w:t>Test</w:t>
            </w:r>
          </w:p>
        </w:tc>
        <w:tc>
          <w:tcPr>
            <w:tcW w:type="dxa" w:w="1662"/>
            <w:vAlign w:val="center"/>
          </w:tcPr>
          <w:p>
            <w:r>
              <w:rPr>
                <w:rFonts w:ascii="Arial" w:hAnsi="Arial"/>
                <w:b w:val="0"/>
                <w:sz w:val="17"/>
              </w:rPr>
              <w:t>542</w:t>
            </w:r>
          </w:p>
        </w:tc>
        <w:tc>
          <w:tcPr>
            <w:tcW w:type="dxa" w:w="1662"/>
            <w:vAlign w:val="center"/>
          </w:tcPr>
          <w:p>
            <w:r>
              <w:rPr>
                <w:rFonts w:ascii="Arial" w:hAnsi="Arial"/>
                <w:b w:val="0"/>
                <w:sz w:val="17"/>
              </w:rPr>
              <w:t>1529</w:t>
            </w:r>
          </w:p>
        </w:tc>
        <w:tc>
          <w:tcPr>
            <w:tcW w:type="dxa" w:w="1662"/>
            <w:vAlign w:val="center"/>
          </w:tcPr>
          <w:p>
            <w:r>
              <w:rPr>
                <w:rFonts w:ascii="Arial" w:hAnsi="Arial"/>
                <w:b w:val="0"/>
                <w:sz w:val="17"/>
              </w:rPr>
              <w:t>902</w:t>
            </w:r>
          </w:p>
        </w:tc>
        <w:tc>
          <w:tcPr>
            <w:tcW w:type="dxa" w:w="1662"/>
            <w:vAlign w:val="center"/>
          </w:tcPr>
          <w:p>
            <w:r>
              <w:rPr>
                <w:rFonts w:ascii="Arial" w:hAnsi="Arial"/>
                <w:b w:val="0"/>
                <w:sz w:val="17"/>
              </w:rPr>
              <w:t>202</w:t>
            </w:r>
          </w:p>
        </w:tc>
        <w:tc>
          <w:tcPr>
            <w:tcW w:type="dxa" w:w="1662"/>
            <w:vAlign w:val="center"/>
          </w:tcPr>
          <w:p>
            <w:r>
              <w:rPr>
                <w:rFonts w:ascii="Arial" w:hAnsi="Arial"/>
                <w:b w:val="0"/>
                <w:sz w:val="17"/>
              </w:rPr>
              <w:t>3175</w:t>
            </w:r>
          </w:p>
        </w:tc>
      </w:tr>
      <w:tr>
        <w:tc>
          <w:tcPr>
            <w:tcW w:type="dxa" w:w="1662"/>
            <w:vAlign w:val="center"/>
          </w:tcPr>
          <w:p>
            <w:r>
              <w:rPr>
                <w:rFonts w:ascii="Arial" w:hAnsi="Arial"/>
                <w:b w:val="0"/>
                <w:sz w:val="17"/>
              </w:rPr>
              <w:t>Total</w:t>
            </w:r>
          </w:p>
        </w:tc>
        <w:tc>
          <w:tcPr>
            <w:tcW w:type="dxa" w:w="1662"/>
            <w:vAlign w:val="center"/>
          </w:tcPr>
          <w:p>
            <w:r>
              <w:rPr>
                <w:rFonts w:ascii="Arial" w:hAnsi="Arial"/>
                <w:b w:val="0"/>
                <w:sz w:val="17"/>
              </w:rPr>
              <w:t>3616</w:t>
            </w:r>
          </w:p>
        </w:tc>
        <w:tc>
          <w:tcPr>
            <w:tcW w:type="dxa" w:w="1662"/>
            <w:vAlign w:val="center"/>
          </w:tcPr>
          <w:p>
            <w:r>
              <w:rPr>
                <w:rFonts w:ascii="Arial" w:hAnsi="Arial"/>
                <w:b w:val="0"/>
                <w:sz w:val="17"/>
              </w:rPr>
              <w:t>10192</w:t>
            </w:r>
          </w:p>
        </w:tc>
        <w:tc>
          <w:tcPr>
            <w:tcW w:type="dxa" w:w="1662"/>
            <w:vAlign w:val="center"/>
          </w:tcPr>
          <w:p>
            <w:r>
              <w:rPr>
                <w:rFonts w:ascii="Arial" w:hAnsi="Arial"/>
                <w:b w:val="0"/>
                <w:sz w:val="17"/>
              </w:rPr>
              <w:t>6012</w:t>
            </w:r>
          </w:p>
        </w:tc>
        <w:tc>
          <w:tcPr>
            <w:tcW w:type="dxa" w:w="1662"/>
            <w:vAlign w:val="center"/>
          </w:tcPr>
          <w:p>
            <w:r>
              <w:rPr>
                <w:rFonts w:ascii="Arial" w:hAnsi="Arial"/>
                <w:b w:val="0"/>
                <w:sz w:val="17"/>
              </w:rPr>
              <w:t>1345</w:t>
            </w:r>
          </w:p>
        </w:tc>
        <w:tc>
          <w:tcPr>
            <w:tcW w:type="dxa" w:w="1662"/>
            <w:vAlign w:val="center"/>
          </w:tcPr>
          <w:p>
            <w:r>
              <w:rPr>
                <w:rFonts w:ascii="Arial" w:hAnsi="Arial"/>
                <w:b w:val="0"/>
                <w:sz w:val="17"/>
              </w:rPr>
              <w:t>21165</w:t>
            </w:r>
          </w:p>
        </w:tc>
      </w:tr>
    </w:tbl>
    <w:p>
      <w:pPr>
        <w:pStyle w:val="Heading2"/>
      </w:pPr>
      <w:r>
        <w:t>2.2 Pipeline commun</w:t>
      </w:r>
    </w:p>
    <w:p>
      <w:pPr>
        <w:pStyle w:val="ListBullet"/>
      </w:pPr>
      <w:r>
        <w:t>conversion en niveaux de gris ;</w:t>
      </w:r>
    </w:p>
    <w:p>
      <w:pPr>
        <w:pStyle w:val="ListBullet"/>
      </w:pPr>
      <w:r>
        <w:t>application du masque pulmonaire ;</w:t>
      </w:r>
    </w:p>
    <w:p>
      <w:pPr>
        <w:pStyle w:val="ListBullet"/>
      </w:pPr>
      <w:r>
        <w:t>redimensionnement à 128 × 128 ;</w:t>
      </w:r>
    </w:p>
    <w:p>
      <w:pPr>
        <w:pStyle w:val="ListBullet"/>
      </w:pPr>
      <w:r>
        <w:t>normalisation et pipeline tf.data identiques ;</w:t>
      </w:r>
    </w:p>
    <w:p>
      <w:pPr>
        <w:pStyle w:val="ListBullet"/>
      </w:pPr>
      <w:r>
        <w:t>mêmes callbacks principaux ;</w:t>
      </w:r>
    </w:p>
    <w:p>
      <w:pPr>
        <w:pStyle w:val="ListBullet"/>
      </w:pPr>
      <w:r>
        <w:t>même stratégie d’évaluation sur le jeu de test.</w:t>
      </w:r>
    </w:p>
    <w:p>
      <w:r>
        <w:t>Deux variantes ont ensuite été comparées par architecture : (i) CLAHE désactivé et data augmentation désactivée ; (ii) CLAHE activé et data augmentation activée.</w:t>
      </w:r>
    </w:p>
    <w:p>
      <w:pPr>
        <w:pStyle w:val="Heading2"/>
      </w:pPr>
      <w:r>
        <w:t>2.3 Métrique principale</w:t>
      </w:r>
    </w:p>
    <w:p>
      <w:r>
        <w:t>Le critère principal retenu dans ce rapport est le Macro-F1. Ce choix est cohérent avec le contexte médical et le déséquilibre des classes : il pondère toutes les classes de la même manière et évite que la classe majoritaire Normal ne masque une faiblesse sur COVID ou Viral Pneumonia. L’accuracy, le F1-weighted et les rappels par classe restent cependant utiles pour compléter l’analyse.</w:t>
      </w:r>
    </w:p>
    <w:p>
      <w:pPr>
        <w:pStyle w:val="Heading1"/>
      </w:pPr>
      <w:r>
        <w:t>3. Résultats globaux</w:t>
      </w:r>
    </w:p>
    <w:p>
      <w:r>
        <w:t>Le tableau suivant synthétise les résultats de test. Pour rester lisible, il met l’accent sur les métriques les plus discriminantes : accuracy, Macro-F1, recall COVID et F1 COVID.</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shd w:fill="D9EAF7"/>
          </w:tcPr>
          <w:p>
            <w:r>
              <w:rPr>
                <w:rFonts w:ascii="Arial" w:hAnsi="Arial"/>
                <w:b/>
                <w:sz w:val="16"/>
              </w:rPr>
              <w:t>Modèle</w:t>
            </w:r>
          </w:p>
        </w:tc>
        <w:tc>
          <w:tcPr>
            <w:tcW w:type="dxa" w:w="1246"/>
            <w:vAlign w:val="center"/>
            <w:shd w:fill="D9EAF7"/>
          </w:tcPr>
          <w:p>
            <w:r>
              <w:rPr>
                <w:rFonts w:ascii="Arial" w:hAnsi="Arial"/>
                <w:b/>
                <w:sz w:val="16"/>
              </w:rPr>
              <w:t>CLAHE</w:t>
            </w:r>
          </w:p>
        </w:tc>
        <w:tc>
          <w:tcPr>
            <w:tcW w:type="dxa" w:w="1246"/>
            <w:vAlign w:val="center"/>
            <w:shd w:fill="D9EAF7"/>
          </w:tcPr>
          <w:p>
            <w:r>
              <w:rPr>
                <w:rFonts w:ascii="Arial" w:hAnsi="Arial"/>
                <w:b/>
                <w:sz w:val="16"/>
              </w:rPr>
              <w:t>Augmentation</w:t>
            </w:r>
          </w:p>
        </w:tc>
        <w:tc>
          <w:tcPr>
            <w:tcW w:type="dxa" w:w="1246"/>
            <w:vAlign w:val="center"/>
            <w:shd w:fill="D9EAF7"/>
          </w:tcPr>
          <w:p>
            <w:r>
              <w:rPr>
                <w:rFonts w:ascii="Arial" w:hAnsi="Arial"/>
                <w:b/>
                <w:sz w:val="16"/>
              </w:rPr>
              <w:t>Accuracy</w:t>
            </w:r>
          </w:p>
        </w:tc>
        <w:tc>
          <w:tcPr>
            <w:tcW w:type="dxa" w:w="1246"/>
            <w:vAlign w:val="center"/>
            <w:shd w:fill="D9EAF7"/>
          </w:tcPr>
          <w:p>
            <w:r>
              <w:rPr>
                <w:rFonts w:ascii="Arial" w:hAnsi="Arial"/>
                <w:b/>
                <w:sz w:val="16"/>
              </w:rPr>
              <w:t>Macro-F1</w:t>
            </w:r>
          </w:p>
        </w:tc>
        <w:tc>
          <w:tcPr>
            <w:tcW w:type="dxa" w:w="1246"/>
            <w:vAlign w:val="center"/>
            <w:shd w:fill="D9EAF7"/>
          </w:tcPr>
          <w:p>
            <w:r>
              <w:rPr>
                <w:rFonts w:ascii="Arial" w:hAnsi="Arial"/>
                <w:b/>
                <w:sz w:val="16"/>
              </w:rPr>
              <w:t>F1-weighted</w:t>
            </w:r>
          </w:p>
        </w:tc>
        <w:tc>
          <w:tcPr>
            <w:tcW w:type="dxa" w:w="1246"/>
            <w:vAlign w:val="center"/>
            <w:shd w:fill="D9EAF7"/>
          </w:tcPr>
          <w:p>
            <w:r>
              <w:rPr>
                <w:rFonts w:ascii="Arial" w:hAnsi="Arial"/>
                <w:b/>
                <w:sz w:val="16"/>
              </w:rPr>
              <w:t>Recall COVID</w:t>
            </w:r>
          </w:p>
        </w:tc>
        <w:tc>
          <w:tcPr>
            <w:tcW w:type="dxa" w:w="1246"/>
            <w:vAlign w:val="center"/>
            <w:shd w:fill="D9EAF7"/>
          </w:tcPr>
          <w:p>
            <w:r>
              <w:rPr>
                <w:rFonts w:ascii="Arial" w:hAnsi="Arial"/>
                <w:b/>
                <w:sz w:val="16"/>
              </w:rPr>
              <w:t>F1 COVID</w:t>
            </w:r>
          </w:p>
        </w:tc>
      </w:tr>
      <w:tr>
        <w:tc>
          <w:tcPr>
            <w:tcW w:type="dxa" w:w="1246"/>
            <w:vAlign w:val="center"/>
          </w:tcPr>
          <w:p>
            <w:r>
              <w:rPr>
                <w:rFonts w:ascii="Arial" w:hAnsi="Arial"/>
                <w:b w:val="0"/>
                <w:sz w:val="16"/>
              </w:rPr>
              <w:t>VGG16</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0.886</w:t>
            </w:r>
          </w:p>
        </w:tc>
        <w:tc>
          <w:tcPr>
            <w:tcW w:type="dxa" w:w="1246"/>
            <w:vAlign w:val="center"/>
          </w:tcPr>
          <w:p>
            <w:r>
              <w:rPr>
                <w:rFonts w:ascii="Arial" w:hAnsi="Arial"/>
                <w:b w:val="0"/>
                <w:sz w:val="16"/>
              </w:rPr>
              <w:t>0.880</w:t>
            </w:r>
          </w:p>
        </w:tc>
        <w:tc>
          <w:tcPr>
            <w:tcW w:type="dxa" w:w="1246"/>
            <w:vAlign w:val="center"/>
          </w:tcPr>
          <w:p>
            <w:r>
              <w:rPr>
                <w:rFonts w:ascii="Arial" w:hAnsi="Arial"/>
                <w:b w:val="0"/>
                <w:sz w:val="16"/>
              </w:rPr>
              <w:t>0.885</w:t>
            </w:r>
          </w:p>
        </w:tc>
        <w:tc>
          <w:tcPr>
            <w:tcW w:type="dxa" w:w="1246"/>
            <w:vAlign w:val="center"/>
          </w:tcPr>
          <w:p>
            <w:r>
              <w:rPr>
                <w:rFonts w:ascii="Arial" w:hAnsi="Arial"/>
                <w:b w:val="0"/>
                <w:sz w:val="16"/>
              </w:rPr>
              <w:t>0.810</w:t>
            </w:r>
          </w:p>
        </w:tc>
        <w:tc>
          <w:tcPr>
            <w:tcW w:type="dxa" w:w="1246"/>
            <w:vAlign w:val="center"/>
          </w:tcPr>
          <w:p>
            <w:r>
              <w:rPr>
                <w:rFonts w:ascii="Arial" w:hAnsi="Arial"/>
                <w:b w:val="0"/>
                <w:sz w:val="16"/>
              </w:rPr>
              <w:t>0.814</w:t>
            </w:r>
          </w:p>
        </w:tc>
      </w:tr>
      <w:tr>
        <w:tc>
          <w:tcPr>
            <w:tcW w:type="dxa" w:w="1246"/>
            <w:vAlign w:val="center"/>
          </w:tcPr>
          <w:p>
            <w:r>
              <w:rPr>
                <w:rFonts w:ascii="Arial" w:hAnsi="Arial"/>
                <w:b w:val="0"/>
                <w:sz w:val="16"/>
              </w:rPr>
              <w:t>VGG16</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0.877</w:t>
            </w:r>
          </w:p>
        </w:tc>
        <w:tc>
          <w:tcPr>
            <w:tcW w:type="dxa" w:w="1246"/>
            <w:vAlign w:val="center"/>
          </w:tcPr>
          <w:p>
            <w:r>
              <w:rPr>
                <w:rFonts w:ascii="Arial" w:hAnsi="Arial"/>
                <w:b w:val="0"/>
                <w:sz w:val="16"/>
              </w:rPr>
              <w:t>0.875</w:t>
            </w:r>
          </w:p>
        </w:tc>
        <w:tc>
          <w:tcPr>
            <w:tcW w:type="dxa" w:w="1246"/>
            <w:vAlign w:val="center"/>
          </w:tcPr>
          <w:p>
            <w:r>
              <w:rPr>
                <w:rFonts w:ascii="Arial" w:hAnsi="Arial"/>
                <w:b w:val="0"/>
                <w:sz w:val="16"/>
              </w:rPr>
              <w:t>0.877</w:t>
            </w:r>
          </w:p>
        </w:tc>
        <w:tc>
          <w:tcPr>
            <w:tcW w:type="dxa" w:w="1246"/>
            <w:vAlign w:val="center"/>
          </w:tcPr>
          <w:p>
            <w:r>
              <w:rPr>
                <w:rFonts w:ascii="Arial" w:hAnsi="Arial"/>
                <w:b w:val="0"/>
                <w:sz w:val="16"/>
              </w:rPr>
              <w:t>0.825</w:t>
            </w:r>
          </w:p>
        </w:tc>
        <w:tc>
          <w:tcPr>
            <w:tcW w:type="dxa" w:w="1246"/>
            <w:vAlign w:val="center"/>
          </w:tcPr>
          <w:p>
            <w:r>
              <w:rPr>
                <w:rFonts w:ascii="Arial" w:hAnsi="Arial"/>
                <w:b w:val="0"/>
                <w:sz w:val="16"/>
              </w:rPr>
              <w:t>0.802</w:t>
            </w:r>
          </w:p>
        </w:tc>
      </w:tr>
      <w:tr>
        <w:tc>
          <w:tcPr>
            <w:tcW w:type="dxa" w:w="1246"/>
            <w:vAlign w:val="center"/>
          </w:tcPr>
          <w:p>
            <w:r>
              <w:rPr>
                <w:rFonts w:ascii="Arial" w:hAnsi="Arial"/>
                <w:b w:val="0"/>
                <w:sz w:val="16"/>
              </w:rPr>
              <w:t>CNN custom</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0.878</w:t>
            </w:r>
          </w:p>
        </w:tc>
        <w:tc>
          <w:tcPr>
            <w:tcW w:type="dxa" w:w="1246"/>
            <w:vAlign w:val="center"/>
          </w:tcPr>
          <w:p>
            <w:r>
              <w:rPr>
                <w:rFonts w:ascii="Arial" w:hAnsi="Arial"/>
                <w:b w:val="0"/>
                <w:sz w:val="16"/>
              </w:rPr>
              <w:t>0.873</w:t>
            </w:r>
          </w:p>
        </w:tc>
        <w:tc>
          <w:tcPr>
            <w:tcW w:type="dxa" w:w="1246"/>
            <w:vAlign w:val="center"/>
          </w:tcPr>
          <w:p>
            <w:r>
              <w:rPr>
                <w:rFonts w:ascii="Arial" w:hAnsi="Arial"/>
                <w:b w:val="0"/>
                <w:sz w:val="16"/>
              </w:rPr>
              <w:t>0.877</w:t>
            </w:r>
          </w:p>
        </w:tc>
        <w:tc>
          <w:tcPr>
            <w:tcW w:type="dxa" w:w="1246"/>
            <w:vAlign w:val="center"/>
          </w:tcPr>
          <w:p>
            <w:r>
              <w:rPr>
                <w:rFonts w:ascii="Arial" w:hAnsi="Arial"/>
                <w:b w:val="0"/>
                <w:sz w:val="16"/>
              </w:rPr>
              <w:t>0.699</w:t>
            </w:r>
          </w:p>
        </w:tc>
        <w:tc>
          <w:tcPr>
            <w:tcW w:type="dxa" w:w="1246"/>
            <w:vAlign w:val="center"/>
          </w:tcPr>
          <w:p>
            <w:r>
              <w:rPr>
                <w:rFonts w:ascii="Arial" w:hAnsi="Arial"/>
                <w:b w:val="0"/>
                <w:sz w:val="16"/>
              </w:rPr>
              <w:t>0.790</w:t>
            </w:r>
          </w:p>
        </w:tc>
      </w:tr>
      <w:tr>
        <w:tc>
          <w:tcPr>
            <w:tcW w:type="dxa" w:w="1246"/>
            <w:vAlign w:val="center"/>
          </w:tcPr>
          <w:p>
            <w:r>
              <w:rPr>
                <w:rFonts w:ascii="Arial" w:hAnsi="Arial"/>
                <w:b w:val="0"/>
                <w:sz w:val="16"/>
              </w:rPr>
              <w:t>CNN custom</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0.875</w:t>
            </w:r>
          </w:p>
        </w:tc>
        <w:tc>
          <w:tcPr>
            <w:tcW w:type="dxa" w:w="1246"/>
            <w:vAlign w:val="center"/>
          </w:tcPr>
          <w:p>
            <w:r>
              <w:rPr>
                <w:rFonts w:ascii="Arial" w:hAnsi="Arial"/>
                <w:b w:val="0"/>
                <w:sz w:val="16"/>
              </w:rPr>
              <w:t>0.872</w:t>
            </w:r>
          </w:p>
        </w:tc>
        <w:tc>
          <w:tcPr>
            <w:tcW w:type="dxa" w:w="1246"/>
            <w:vAlign w:val="center"/>
          </w:tcPr>
          <w:p>
            <w:r>
              <w:rPr>
                <w:rFonts w:ascii="Arial" w:hAnsi="Arial"/>
                <w:b w:val="0"/>
                <w:sz w:val="16"/>
              </w:rPr>
              <w:t>0.875</w:t>
            </w:r>
          </w:p>
        </w:tc>
        <w:tc>
          <w:tcPr>
            <w:tcW w:type="dxa" w:w="1246"/>
            <w:vAlign w:val="center"/>
          </w:tcPr>
          <w:p>
            <w:r>
              <w:rPr>
                <w:rFonts w:ascii="Arial" w:hAnsi="Arial"/>
                <w:b w:val="0"/>
                <w:sz w:val="16"/>
              </w:rPr>
              <w:t>0.792</w:t>
            </w:r>
          </w:p>
        </w:tc>
        <w:tc>
          <w:tcPr>
            <w:tcW w:type="dxa" w:w="1246"/>
            <w:vAlign w:val="center"/>
          </w:tcPr>
          <w:p>
            <w:r>
              <w:rPr>
                <w:rFonts w:ascii="Arial" w:hAnsi="Arial"/>
                <w:b w:val="0"/>
                <w:sz w:val="16"/>
              </w:rPr>
              <w:t>0.794</w:t>
            </w:r>
          </w:p>
        </w:tc>
      </w:tr>
      <w:tr>
        <w:tc>
          <w:tcPr>
            <w:tcW w:type="dxa" w:w="1246"/>
            <w:vAlign w:val="center"/>
          </w:tcPr>
          <w:p>
            <w:r>
              <w:rPr>
                <w:rFonts w:ascii="Arial" w:hAnsi="Arial"/>
                <w:b w:val="0"/>
                <w:sz w:val="16"/>
              </w:rPr>
              <w:t>ResNet50</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0.859</w:t>
            </w:r>
          </w:p>
        </w:tc>
        <w:tc>
          <w:tcPr>
            <w:tcW w:type="dxa" w:w="1246"/>
            <w:vAlign w:val="center"/>
          </w:tcPr>
          <w:p>
            <w:r>
              <w:rPr>
                <w:rFonts w:ascii="Arial" w:hAnsi="Arial"/>
                <w:b w:val="0"/>
                <w:sz w:val="16"/>
              </w:rPr>
              <w:t>0.855</w:t>
            </w:r>
          </w:p>
        </w:tc>
        <w:tc>
          <w:tcPr>
            <w:tcW w:type="dxa" w:w="1246"/>
            <w:vAlign w:val="center"/>
          </w:tcPr>
          <w:p>
            <w:r>
              <w:rPr>
                <w:rFonts w:ascii="Arial" w:hAnsi="Arial"/>
                <w:b w:val="0"/>
                <w:sz w:val="16"/>
              </w:rPr>
              <w:t>0.859</w:t>
            </w:r>
          </w:p>
        </w:tc>
        <w:tc>
          <w:tcPr>
            <w:tcW w:type="dxa" w:w="1246"/>
            <w:vAlign w:val="center"/>
          </w:tcPr>
          <w:p>
            <w:r>
              <w:rPr>
                <w:rFonts w:ascii="Arial" w:hAnsi="Arial"/>
                <w:b w:val="0"/>
                <w:sz w:val="16"/>
              </w:rPr>
              <w:t>0.773</w:t>
            </w:r>
          </w:p>
        </w:tc>
        <w:tc>
          <w:tcPr>
            <w:tcW w:type="dxa" w:w="1246"/>
            <w:vAlign w:val="center"/>
          </w:tcPr>
          <w:p>
            <w:r>
              <w:rPr>
                <w:rFonts w:ascii="Arial" w:hAnsi="Arial"/>
                <w:b w:val="0"/>
                <w:sz w:val="16"/>
              </w:rPr>
              <w:t>0.749</w:t>
            </w:r>
          </w:p>
        </w:tc>
      </w:tr>
      <w:tr>
        <w:tc>
          <w:tcPr>
            <w:tcW w:type="dxa" w:w="1246"/>
            <w:vAlign w:val="center"/>
          </w:tcPr>
          <w:p>
            <w:r>
              <w:rPr>
                <w:rFonts w:ascii="Arial" w:hAnsi="Arial"/>
                <w:b w:val="0"/>
                <w:sz w:val="16"/>
              </w:rPr>
              <w:t>EfficientNetB0</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0.855</w:t>
            </w:r>
          </w:p>
        </w:tc>
        <w:tc>
          <w:tcPr>
            <w:tcW w:type="dxa" w:w="1246"/>
            <w:vAlign w:val="center"/>
          </w:tcPr>
          <w:p>
            <w:r>
              <w:rPr>
                <w:rFonts w:ascii="Arial" w:hAnsi="Arial"/>
                <w:b w:val="0"/>
                <w:sz w:val="16"/>
              </w:rPr>
              <w:t>0.846</w:t>
            </w:r>
          </w:p>
        </w:tc>
        <w:tc>
          <w:tcPr>
            <w:tcW w:type="dxa" w:w="1246"/>
            <w:vAlign w:val="center"/>
          </w:tcPr>
          <w:p>
            <w:r>
              <w:rPr>
                <w:rFonts w:ascii="Arial" w:hAnsi="Arial"/>
                <w:b w:val="0"/>
                <w:sz w:val="16"/>
              </w:rPr>
              <w:t>0.854</w:t>
            </w:r>
          </w:p>
        </w:tc>
        <w:tc>
          <w:tcPr>
            <w:tcW w:type="dxa" w:w="1246"/>
            <w:vAlign w:val="center"/>
          </w:tcPr>
          <w:p>
            <w:r>
              <w:rPr>
                <w:rFonts w:ascii="Arial" w:hAnsi="Arial"/>
                <w:b w:val="0"/>
                <w:sz w:val="16"/>
              </w:rPr>
              <w:t>0.745</w:t>
            </w:r>
          </w:p>
        </w:tc>
        <w:tc>
          <w:tcPr>
            <w:tcW w:type="dxa" w:w="1246"/>
            <w:vAlign w:val="center"/>
          </w:tcPr>
          <w:p>
            <w:r>
              <w:rPr>
                <w:rFonts w:ascii="Arial" w:hAnsi="Arial"/>
                <w:b w:val="0"/>
                <w:sz w:val="16"/>
              </w:rPr>
              <w:t>0.759</w:t>
            </w:r>
          </w:p>
        </w:tc>
      </w:tr>
      <w:tr>
        <w:tc>
          <w:tcPr>
            <w:tcW w:type="dxa" w:w="1246"/>
            <w:vAlign w:val="center"/>
          </w:tcPr>
          <w:p>
            <w:r>
              <w:rPr>
                <w:rFonts w:ascii="Arial" w:hAnsi="Arial"/>
                <w:b w:val="0"/>
                <w:sz w:val="16"/>
              </w:rPr>
              <w:t>DenseNet121</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Non</w:t>
            </w:r>
          </w:p>
        </w:tc>
        <w:tc>
          <w:tcPr>
            <w:tcW w:type="dxa" w:w="1246"/>
            <w:vAlign w:val="center"/>
          </w:tcPr>
          <w:p>
            <w:r>
              <w:rPr>
                <w:rFonts w:ascii="Arial" w:hAnsi="Arial"/>
                <w:b w:val="0"/>
                <w:sz w:val="16"/>
              </w:rPr>
              <w:t>0.839</w:t>
            </w:r>
          </w:p>
        </w:tc>
        <w:tc>
          <w:tcPr>
            <w:tcW w:type="dxa" w:w="1246"/>
            <w:vAlign w:val="center"/>
          </w:tcPr>
          <w:p>
            <w:r>
              <w:rPr>
                <w:rFonts w:ascii="Arial" w:hAnsi="Arial"/>
                <w:b w:val="0"/>
                <w:sz w:val="16"/>
              </w:rPr>
              <w:t>0.830</w:t>
            </w:r>
          </w:p>
        </w:tc>
        <w:tc>
          <w:tcPr>
            <w:tcW w:type="dxa" w:w="1246"/>
            <w:vAlign w:val="center"/>
          </w:tcPr>
          <w:p>
            <w:r>
              <w:rPr>
                <w:rFonts w:ascii="Arial" w:hAnsi="Arial"/>
                <w:b w:val="0"/>
                <w:sz w:val="16"/>
              </w:rPr>
              <w:t>0.841</w:t>
            </w:r>
          </w:p>
        </w:tc>
        <w:tc>
          <w:tcPr>
            <w:tcW w:type="dxa" w:w="1246"/>
            <w:vAlign w:val="center"/>
          </w:tcPr>
          <w:p>
            <w:r>
              <w:rPr>
                <w:rFonts w:ascii="Arial" w:hAnsi="Arial"/>
                <w:b w:val="0"/>
                <w:sz w:val="16"/>
              </w:rPr>
              <w:t>0.780</w:t>
            </w:r>
          </w:p>
        </w:tc>
        <w:tc>
          <w:tcPr>
            <w:tcW w:type="dxa" w:w="1246"/>
            <w:vAlign w:val="center"/>
          </w:tcPr>
          <w:p>
            <w:r>
              <w:rPr>
                <w:rFonts w:ascii="Arial" w:hAnsi="Arial"/>
                <w:b w:val="0"/>
                <w:sz w:val="16"/>
              </w:rPr>
              <w:t>0.710</w:t>
            </w:r>
          </w:p>
        </w:tc>
      </w:tr>
      <w:tr>
        <w:tc>
          <w:tcPr>
            <w:tcW w:type="dxa" w:w="1246"/>
            <w:vAlign w:val="center"/>
          </w:tcPr>
          <w:p>
            <w:r>
              <w:rPr>
                <w:rFonts w:ascii="Arial" w:hAnsi="Arial"/>
                <w:b w:val="0"/>
                <w:sz w:val="16"/>
              </w:rPr>
              <w:t>EfficientNetB0</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0.827</w:t>
            </w:r>
          </w:p>
        </w:tc>
        <w:tc>
          <w:tcPr>
            <w:tcW w:type="dxa" w:w="1246"/>
            <w:vAlign w:val="center"/>
          </w:tcPr>
          <w:p>
            <w:r>
              <w:rPr>
                <w:rFonts w:ascii="Arial" w:hAnsi="Arial"/>
                <w:b w:val="0"/>
                <w:sz w:val="16"/>
              </w:rPr>
              <w:t>0.821</w:t>
            </w:r>
          </w:p>
        </w:tc>
        <w:tc>
          <w:tcPr>
            <w:tcW w:type="dxa" w:w="1246"/>
            <w:vAlign w:val="center"/>
          </w:tcPr>
          <w:p>
            <w:r>
              <w:rPr>
                <w:rFonts w:ascii="Arial" w:hAnsi="Arial"/>
                <w:b w:val="0"/>
                <w:sz w:val="16"/>
              </w:rPr>
              <w:t>0.829</w:t>
            </w:r>
          </w:p>
        </w:tc>
        <w:tc>
          <w:tcPr>
            <w:tcW w:type="dxa" w:w="1246"/>
            <w:vAlign w:val="center"/>
          </w:tcPr>
          <w:p>
            <w:r>
              <w:rPr>
                <w:rFonts w:ascii="Arial" w:hAnsi="Arial"/>
                <w:b w:val="0"/>
                <w:sz w:val="16"/>
              </w:rPr>
              <w:t>0.780</w:t>
            </w:r>
          </w:p>
        </w:tc>
        <w:tc>
          <w:tcPr>
            <w:tcW w:type="dxa" w:w="1246"/>
            <w:vAlign w:val="center"/>
          </w:tcPr>
          <w:p>
            <w:r>
              <w:rPr>
                <w:rFonts w:ascii="Arial" w:hAnsi="Arial"/>
                <w:b w:val="0"/>
                <w:sz w:val="16"/>
              </w:rPr>
              <w:t>0.697</w:t>
            </w:r>
          </w:p>
        </w:tc>
      </w:tr>
      <w:tr>
        <w:tc>
          <w:tcPr>
            <w:tcW w:type="dxa" w:w="1246"/>
            <w:vAlign w:val="center"/>
          </w:tcPr>
          <w:p>
            <w:r>
              <w:rPr>
                <w:rFonts w:ascii="Arial" w:hAnsi="Arial"/>
                <w:b w:val="0"/>
                <w:sz w:val="16"/>
              </w:rPr>
              <w:t>ResNet50</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0.830</w:t>
            </w:r>
          </w:p>
        </w:tc>
        <w:tc>
          <w:tcPr>
            <w:tcW w:type="dxa" w:w="1246"/>
            <w:vAlign w:val="center"/>
          </w:tcPr>
          <w:p>
            <w:r>
              <w:rPr>
                <w:rFonts w:ascii="Arial" w:hAnsi="Arial"/>
                <w:b w:val="0"/>
                <w:sz w:val="16"/>
              </w:rPr>
              <w:t>0.815</w:t>
            </w:r>
          </w:p>
        </w:tc>
        <w:tc>
          <w:tcPr>
            <w:tcW w:type="dxa" w:w="1246"/>
            <w:vAlign w:val="center"/>
          </w:tcPr>
          <w:p>
            <w:r>
              <w:rPr>
                <w:rFonts w:ascii="Arial" w:hAnsi="Arial"/>
                <w:b w:val="0"/>
                <w:sz w:val="16"/>
              </w:rPr>
              <w:t>0.827</w:t>
            </w:r>
          </w:p>
        </w:tc>
        <w:tc>
          <w:tcPr>
            <w:tcW w:type="dxa" w:w="1246"/>
            <w:vAlign w:val="center"/>
          </w:tcPr>
          <w:p>
            <w:r>
              <w:rPr>
                <w:rFonts w:ascii="Arial" w:hAnsi="Arial"/>
                <w:b w:val="0"/>
                <w:sz w:val="16"/>
              </w:rPr>
              <w:t>0.664</w:t>
            </w:r>
          </w:p>
        </w:tc>
        <w:tc>
          <w:tcPr>
            <w:tcW w:type="dxa" w:w="1246"/>
            <w:vAlign w:val="center"/>
          </w:tcPr>
          <w:p>
            <w:r>
              <w:rPr>
                <w:rFonts w:ascii="Arial" w:hAnsi="Arial"/>
                <w:b w:val="0"/>
                <w:sz w:val="16"/>
              </w:rPr>
              <w:t>0.700</w:t>
            </w:r>
          </w:p>
        </w:tc>
      </w:tr>
      <w:tr>
        <w:tc>
          <w:tcPr>
            <w:tcW w:type="dxa" w:w="1246"/>
            <w:vAlign w:val="center"/>
          </w:tcPr>
          <w:p>
            <w:r>
              <w:rPr>
                <w:rFonts w:ascii="Arial" w:hAnsi="Arial"/>
                <w:b w:val="0"/>
                <w:sz w:val="16"/>
              </w:rPr>
              <w:t>DenseNet121</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Oui</w:t>
            </w:r>
          </w:p>
        </w:tc>
        <w:tc>
          <w:tcPr>
            <w:tcW w:type="dxa" w:w="1246"/>
            <w:vAlign w:val="center"/>
          </w:tcPr>
          <w:p>
            <w:r>
              <w:rPr>
                <w:rFonts w:ascii="Arial" w:hAnsi="Arial"/>
                <w:b w:val="0"/>
                <w:sz w:val="16"/>
              </w:rPr>
              <w:t>0.787</w:t>
            </w:r>
          </w:p>
        </w:tc>
        <w:tc>
          <w:tcPr>
            <w:tcW w:type="dxa" w:w="1246"/>
            <w:vAlign w:val="center"/>
          </w:tcPr>
          <w:p>
            <w:r>
              <w:rPr>
                <w:rFonts w:ascii="Arial" w:hAnsi="Arial"/>
                <w:b w:val="0"/>
                <w:sz w:val="16"/>
              </w:rPr>
              <w:t>0.769</w:t>
            </w:r>
          </w:p>
        </w:tc>
        <w:tc>
          <w:tcPr>
            <w:tcW w:type="dxa" w:w="1246"/>
            <w:vAlign w:val="center"/>
          </w:tcPr>
          <w:p>
            <w:r>
              <w:rPr>
                <w:rFonts w:ascii="Arial" w:hAnsi="Arial"/>
                <w:b w:val="0"/>
                <w:sz w:val="16"/>
              </w:rPr>
              <w:t>0.793</w:t>
            </w:r>
          </w:p>
        </w:tc>
        <w:tc>
          <w:tcPr>
            <w:tcW w:type="dxa" w:w="1246"/>
            <w:vAlign w:val="center"/>
          </w:tcPr>
          <w:p>
            <w:r>
              <w:rPr>
                <w:rFonts w:ascii="Arial" w:hAnsi="Arial"/>
                <w:b w:val="0"/>
                <w:sz w:val="16"/>
              </w:rPr>
              <w:t>0.760</w:t>
            </w:r>
          </w:p>
        </w:tc>
        <w:tc>
          <w:tcPr>
            <w:tcW w:type="dxa" w:w="1246"/>
            <w:vAlign w:val="center"/>
          </w:tcPr>
          <w:p>
            <w:r>
              <w:rPr>
                <w:rFonts w:ascii="Arial" w:hAnsi="Arial"/>
                <w:b w:val="0"/>
                <w:sz w:val="16"/>
              </w:rPr>
              <w:t>0.630</w:t>
            </w:r>
          </w:p>
        </w:tc>
      </w:tr>
    </w:tbl>
    <w:p>
      <w:r>
        <w:drawing>
          <wp:inline xmlns:a="http://schemas.openxmlformats.org/drawingml/2006/main" xmlns:pic="http://schemas.openxmlformats.org/drawingml/2006/picture">
            <wp:extent cx="5852160" cy="3181521"/>
            <wp:docPr id="1" name="Picture 1"/>
            <wp:cNvGraphicFramePr>
              <a:graphicFrameLocks noChangeAspect="1"/>
            </wp:cNvGraphicFramePr>
            <a:graphic>
              <a:graphicData uri="http://schemas.openxmlformats.org/drawingml/2006/picture">
                <pic:pic>
                  <pic:nvPicPr>
                    <pic:cNvPr id="0" name="chart_macro_f1.png"/>
                    <pic:cNvPicPr/>
                  </pic:nvPicPr>
                  <pic:blipFill>
                    <a:blip r:embed="rId9"/>
                    <a:stretch>
                      <a:fillRect/>
                    </a:stretch>
                  </pic:blipFill>
                  <pic:spPr>
                    <a:xfrm>
                      <a:off x="0" y="0"/>
                      <a:ext cx="5852160" cy="3181521"/>
                    </a:xfrm>
                    <a:prstGeom prst="rect"/>
                  </pic:spPr>
                </pic:pic>
              </a:graphicData>
            </a:graphic>
          </wp:inline>
        </w:drawing>
      </w:r>
    </w:p>
    <w:p>
      <w:pPr>
        <w:jc w:val="center"/>
      </w:pPr>
      <w:r>
        <w:t>Figure 1 – Classement des 10 exécutions par Macro-F1 sur le jeu de test.</w:t>
      </w:r>
    </w:p>
    <w:p>
      <w:r>
        <w:drawing>
          <wp:inline xmlns:a="http://schemas.openxmlformats.org/drawingml/2006/main" xmlns:pic="http://schemas.openxmlformats.org/drawingml/2006/picture">
            <wp:extent cx="5303520" cy="3950787"/>
            <wp:docPr id="2" name="Picture 2"/>
            <wp:cNvGraphicFramePr>
              <a:graphicFrameLocks noChangeAspect="1"/>
            </wp:cNvGraphicFramePr>
            <a:graphic>
              <a:graphicData uri="http://schemas.openxmlformats.org/drawingml/2006/picture">
                <pic:pic>
                  <pic:nvPicPr>
                    <pic:cNvPr id="0" name="chart_tradeoff.png"/>
                    <pic:cNvPicPr/>
                  </pic:nvPicPr>
                  <pic:blipFill>
                    <a:blip r:embed="rId10"/>
                    <a:stretch>
                      <a:fillRect/>
                    </a:stretch>
                  </pic:blipFill>
                  <pic:spPr>
                    <a:xfrm>
                      <a:off x="0" y="0"/>
                      <a:ext cx="5303520" cy="3950787"/>
                    </a:xfrm>
                    <a:prstGeom prst="rect"/>
                  </pic:spPr>
                </pic:pic>
              </a:graphicData>
            </a:graphic>
          </wp:inline>
        </w:drawing>
      </w:r>
    </w:p>
    <w:p>
      <w:pPr>
        <w:jc w:val="center"/>
      </w:pPr>
      <w:r>
        <w:t>Figure 2 – Compromis entre recall COVID et Macro-F1.</w:t>
      </w:r>
    </w:p>
    <w:p>
      <w:r>
        <w:t>Le classement montre clairement deux enseignements. D’une part, les deux variantes VGG16 dominent les autres architectures sur le protocole retenu. D’autre part, le CNN custom n’est pas un simple témoin faible : sa variante sans CLAHE ni augmentation se place troisième, devant ResNet50, EfficientNetB0 et DenseNet121.</w:t>
      </w:r>
    </w:p>
    <w:p>
      <w:pPr>
        <w:pStyle w:val="Heading1"/>
      </w:pPr>
      <w:r>
        <w:t>4. Analyse par architecture</w:t>
      </w:r>
    </w:p>
    <w:p>
      <w:pPr>
        <w:pStyle w:val="Heading2"/>
      </w:pPr>
      <w:r>
        <w:t>4.1 CNN custom</w:t>
      </w:r>
    </w:p>
    <w:p>
      <w:r>
        <w:t>Le CNN custom obtient des résultats très solides : accuracy 0,878 et Macro-F1 0,873 sans CLAHE ni augmentation, puis accuracy 0,875 et Macro-F1 0,872 avec ces traitements. Le gain global est donc quasi nul, mais la variante augmentée relève nettement le recall COVID : 0,792 contre 0,699. Cette architecture présente donc un profil intéressant : une bonne base de référence, très compétitive, avec un arbitrage clair entre équilibre global et sensibilité COVID.</w:t>
      </w:r>
    </w:p>
    <w:p>
      <w:pPr>
        <w:pStyle w:val="Heading2"/>
      </w:pPr>
      <w:r>
        <w:t>4.2 EfficientNetB0</w:t>
      </w:r>
    </w:p>
    <w:p>
      <w:r>
        <w:t>EfficientNetB0 reste correct mais ne domine pas sur ce jeu de données. Sans CLAHE ni augmentation, il atteint accuracy 0,855 et Macro-F1 0,846. Avec CLAHE et augmentation, l’accuracy descend à 0,827 et le Macro-F1 à 0,821. Le rappel COVID progresse en revanche de 0,745 à 0,780. La lecture la plus cohérente est la suivante : la variante augmentée rend le modèle plus sensible à la classe COVID, mais au prix d’un affaiblissement de la cohérence multiclasses globale.</w:t>
      </w:r>
    </w:p>
    <w:p>
      <w:pPr>
        <w:pStyle w:val="Heading2"/>
      </w:pPr>
      <w:r>
        <w:t>4.3 DenseNet121</w:t>
      </w:r>
    </w:p>
    <w:p>
      <w:r>
        <w:t>DenseNet121 est l’architecture qui souffre le plus de la variante CLAHE + augmentation dans cette étude. Sans ces traitements, le modèle atteint accuracy 0,839 et Macro-F1 0,830 ; avec eux, il tombe à 0,787 et 0,769. Le rappel COVID baisse aussi, de 0,780 à 0,760, tandis que le rappel Lung_Opacity décroche davantage encore. Le comportement observé suggère ici une dégradation de la séparabilité, en particulier entre les opacités pulmonaires et les autres motifs pathologiques.</w:t>
      </w:r>
    </w:p>
    <w:p>
      <w:pPr>
        <w:pStyle w:val="Heading2"/>
      </w:pPr>
      <w:r>
        <w:t>4.4 ResNet50</w:t>
      </w:r>
    </w:p>
    <w:p>
      <w:r>
        <w:t>ResNet50 offre un comportement stable et compétitif. La variante sans CLAHE ni augmentation produit accuracy 0,859 et Macro-F1 0,855, contre 0,830 et 0,815 pour la variante avec traitements. Le rappel COVID y est également meilleur sans CLAHE/augmentation : 0,773 contre 0,664. Dans ce protocole, ResNet50 confirme qu’il s’agit d’une valeur sûre, mais il reste derrière VGG16 et légèrement derrière le CNN custom sans prétraitements additionnels.</w:t>
      </w:r>
    </w:p>
    <w:p>
      <w:pPr>
        <w:pStyle w:val="Heading2"/>
      </w:pPr>
      <w:r>
        <w:t>4.5 VGG16</w:t>
      </w:r>
    </w:p>
    <w:p>
      <w:r>
        <w:t>Les nouveaux notebooks VGG16 corrigent la principale faiblesse du rapport précédent : on ne s’appuie plus sur une version gelée qui n’apprenait pas réellement en profondeur, mais sur deux versions fine-tunées comparables aux autres architectures. La variante sans CLAHE ni augmentation obtient le meilleur score global de l’étude : accuracy 0,886 ; Macro-F1 0,880 ; F1-weighted 0,885. La variante avec CLAHE et augmentation reste très proche : accuracy 0,877 ; Macro-F1 0,875 ; mais elle devient la meilleure sur le rappel COVID avec 0,825. Autrement dit, VGG16 domine l’étude selon deux critères différents : meilleur équilibre global d’un côté, meilleure sensibilité COVID de l’autre.</w:t>
      </w:r>
    </w:p>
    <w:p>
      <w:pPr>
        <w:pStyle w:val="Heading1"/>
      </w:pPr>
      <w:r>
        <w:t>5. Effet de CLAHE et de la data augmentation</w:t>
      </w:r>
    </w:p>
    <w:p>
      <w:r>
        <w:t>L’intérêt de tester systématiquement les variantes avec et sans CLAHE/augmentation est précisément de sortir du discours générique selon lequel ces traitements seraient toujours bénéfiques. Les résultats montrent une réalité plus nuancée.</w:t>
      </w:r>
    </w:p>
    <w:p>
      <w:r>
        <w:drawing>
          <wp:inline xmlns:a="http://schemas.openxmlformats.org/drawingml/2006/main" xmlns:pic="http://schemas.openxmlformats.org/drawingml/2006/picture">
            <wp:extent cx="5669280" cy="3111734"/>
            <wp:docPr id="3" name="Picture 3"/>
            <wp:cNvGraphicFramePr>
              <a:graphicFrameLocks noChangeAspect="1"/>
            </wp:cNvGraphicFramePr>
            <a:graphic>
              <a:graphicData uri="http://schemas.openxmlformats.org/drawingml/2006/picture">
                <pic:pic>
                  <pic:nvPicPr>
                    <pic:cNvPr id="0" name="chart_deltas.png"/>
                    <pic:cNvPicPr/>
                  </pic:nvPicPr>
                  <pic:blipFill>
                    <a:blip r:embed="rId11"/>
                    <a:stretch>
                      <a:fillRect/>
                    </a:stretch>
                  </pic:blipFill>
                  <pic:spPr>
                    <a:xfrm>
                      <a:off x="0" y="0"/>
                      <a:ext cx="5669280" cy="3111734"/>
                    </a:xfrm>
                    <a:prstGeom prst="rect"/>
                  </pic:spPr>
                </pic:pic>
              </a:graphicData>
            </a:graphic>
          </wp:inline>
        </w:drawing>
      </w:r>
    </w:p>
    <w:p>
      <w:pPr>
        <w:jc w:val="center"/>
      </w:pPr>
      <w:r>
        <w:t>Figure 3 – Variation des performances entre la variante T/T (CLAHE et augmentation activés) et F/F.</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Pr>
                <w:rFonts w:ascii="Arial" w:hAnsi="Arial"/>
                <w:b/>
                <w:sz w:val="17"/>
              </w:rPr>
              <w:t>Architecture</w:t>
            </w:r>
          </w:p>
        </w:tc>
        <w:tc>
          <w:tcPr>
            <w:tcW w:type="dxa" w:w="1994"/>
            <w:vAlign w:val="center"/>
            <w:shd w:fill="D9EAF7"/>
          </w:tcPr>
          <w:p>
            <w:r>
              <w:rPr>
                <w:rFonts w:ascii="Arial" w:hAnsi="Arial"/>
                <w:b/>
                <w:sz w:val="17"/>
              </w:rPr>
              <w:t>Δ Accuracy (T/T - F/F)</w:t>
            </w:r>
          </w:p>
        </w:tc>
        <w:tc>
          <w:tcPr>
            <w:tcW w:type="dxa" w:w="1994"/>
            <w:vAlign w:val="center"/>
            <w:shd w:fill="D9EAF7"/>
          </w:tcPr>
          <w:p>
            <w:r>
              <w:rPr>
                <w:rFonts w:ascii="Arial" w:hAnsi="Arial"/>
                <w:b/>
                <w:sz w:val="17"/>
              </w:rPr>
              <w:t>Δ Macro-F1</w:t>
            </w:r>
          </w:p>
        </w:tc>
        <w:tc>
          <w:tcPr>
            <w:tcW w:type="dxa" w:w="1994"/>
            <w:vAlign w:val="center"/>
            <w:shd w:fill="D9EAF7"/>
          </w:tcPr>
          <w:p>
            <w:r>
              <w:rPr>
                <w:rFonts w:ascii="Arial" w:hAnsi="Arial"/>
                <w:b/>
                <w:sz w:val="17"/>
              </w:rPr>
              <w:t>Δ Recall COVID</w:t>
            </w:r>
          </w:p>
        </w:tc>
        <w:tc>
          <w:tcPr>
            <w:tcW w:type="dxa" w:w="1994"/>
            <w:vAlign w:val="center"/>
            <w:shd w:fill="D9EAF7"/>
          </w:tcPr>
          <w:p>
            <w:r>
              <w:rPr>
                <w:rFonts w:ascii="Arial" w:hAnsi="Arial"/>
                <w:b/>
                <w:sz w:val="17"/>
              </w:rPr>
              <w:t>Δ Macro recall</w:t>
            </w:r>
          </w:p>
        </w:tc>
      </w:tr>
      <w:tr>
        <w:tc>
          <w:tcPr>
            <w:tcW w:type="dxa" w:w="1994"/>
            <w:vAlign w:val="center"/>
          </w:tcPr>
          <w:p>
            <w:r>
              <w:rPr>
                <w:rFonts w:ascii="Arial" w:hAnsi="Arial"/>
                <w:b w:val="0"/>
                <w:sz w:val="17"/>
              </w:rPr>
              <w:t>CNN custom</w:t>
            </w:r>
          </w:p>
        </w:tc>
        <w:tc>
          <w:tcPr>
            <w:tcW w:type="dxa" w:w="1994"/>
            <w:vAlign w:val="center"/>
          </w:tcPr>
          <w:p>
            <w:r>
              <w:rPr>
                <w:rFonts w:ascii="Arial" w:hAnsi="Arial"/>
                <w:b w:val="0"/>
                <w:sz w:val="17"/>
              </w:rPr>
              <w:t>-0.003</w:t>
            </w:r>
          </w:p>
        </w:tc>
        <w:tc>
          <w:tcPr>
            <w:tcW w:type="dxa" w:w="1994"/>
            <w:vAlign w:val="center"/>
          </w:tcPr>
          <w:p>
            <w:r>
              <w:rPr>
                <w:rFonts w:ascii="Arial" w:hAnsi="Arial"/>
                <w:b w:val="0"/>
                <w:sz w:val="17"/>
              </w:rPr>
              <w:t>-0.002</w:t>
            </w:r>
          </w:p>
        </w:tc>
        <w:tc>
          <w:tcPr>
            <w:tcW w:type="dxa" w:w="1994"/>
            <w:vAlign w:val="center"/>
          </w:tcPr>
          <w:p>
            <w:r>
              <w:rPr>
                <w:rFonts w:ascii="Arial" w:hAnsi="Arial"/>
                <w:b w:val="0"/>
                <w:sz w:val="17"/>
              </w:rPr>
              <w:t>0.092</w:t>
            </w:r>
          </w:p>
        </w:tc>
        <w:tc>
          <w:tcPr>
            <w:tcW w:type="dxa" w:w="1994"/>
            <w:vAlign w:val="center"/>
          </w:tcPr>
          <w:p>
            <w:r>
              <w:rPr>
                <w:rFonts w:ascii="Arial" w:hAnsi="Arial"/>
                <w:b w:val="0"/>
                <w:sz w:val="17"/>
              </w:rPr>
              <w:t>0.006</w:t>
            </w:r>
          </w:p>
        </w:tc>
      </w:tr>
      <w:tr>
        <w:tc>
          <w:tcPr>
            <w:tcW w:type="dxa" w:w="1994"/>
            <w:vAlign w:val="center"/>
          </w:tcPr>
          <w:p>
            <w:r>
              <w:rPr>
                <w:rFonts w:ascii="Arial" w:hAnsi="Arial"/>
                <w:b w:val="0"/>
                <w:sz w:val="17"/>
              </w:rPr>
              <w:t>DenseNet121</w:t>
            </w:r>
          </w:p>
        </w:tc>
        <w:tc>
          <w:tcPr>
            <w:tcW w:type="dxa" w:w="1994"/>
            <w:vAlign w:val="center"/>
          </w:tcPr>
          <w:p>
            <w:r>
              <w:rPr>
                <w:rFonts w:ascii="Arial" w:hAnsi="Arial"/>
                <w:b w:val="0"/>
                <w:sz w:val="17"/>
              </w:rPr>
              <w:t>-0.052</w:t>
            </w:r>
          </w:p>
        </w:tc>
        <w:tc>
          <w:tcPr>
            <w:tcW w:type="dxa" w:w="1994"/>
            <w:vAlign w:val="center"/>
          </w:tcPr>
          <w:p>
            <w:r>
              <w:rPr>
                <w:rFonts w:ascii="Arial" w:hAnsi="Arial"/>
                <w:b w:val="0"/>
                <w:sz w:val="17"/>
              </w:rPr>
              <w:t>-0.060</w:t>
            </w:r>
          </w:p>
        </w:tc>
        <w:tc>
          <w:tcPr>
            <w:tcW w:type="dxa" w:w="1994"/>
            <w:vAlign w:val="center"/>
          </w:tcPr>
          <w:p>
            <w:r>
              <w:rPr>
                <w:rFonts w:ascii="Arial" w:hAnsi="Arial"/>
                <w:b w:val="0"/>
                <w:sz w:val="17"/>
              </w:rPr>
              <w:t>-0.020</w:t>
            </w:r>
          </w:p>
        </w:tc>
        <w:tc>
          <w:tcPr>
            <w:tcW w:type="dxa" w:w="1994"/>
            <w:vAlign w:val="center"/>
          </w:tcPr>
          <w:p>
            <w:r>
              <w:rPr>
                <w:rFonts w:ascii="Arial" w:hAnsi="Arial"/>
                <w:b w:val="0"/>
                <w:sz w:val="17"/>
              </w:rPr>
              <w:t>-0.039</w:t>
            </w:r>
          </w:p>
        </w:tc>
      </w:tr>
      <w:tr>
        <w:tc>
          <w:tcPr>
            <w:tcW w:type="dxa" w:w="1994"/>
            <w:vAlign w:val="center"/>
          </w:tcPr>
          <w:p>
            <w:r>
              <w:rPr>
                <w:rFonts w:ascii="Arial" w:hAnsi="Arial"/>
                <w:b w:val="0"/>
                <w:sz w:val="17"/>
              </w:rPr>
              <w:t>EfficientNetB0</w:t>
            </w:r>
          </w:p>
        </w:tc>
        <w:tc>
          <w:tcPr>
            <w:tcW w:type="dxa" w:w="1994"/>
            <w:vAlign w:val="center"/>
          </w:tcPr>
          <w:p>
            <w:r>
              <w:rPr>
                <w:rFonts w:ascii="Arial" w:hAnsi="Arial"/>
                <w:b w:val="0"/>
                <w:sz w:val="17"/>
              </w:rPr>
              <w:t>-0.028</w:t>
            </w:r>
          </w:p>
        </w:tc>
        <w:tc>
          <w:tcPr>
            <w:tcW w:type="dxa" w:w="1994"/>
            <w:vAlign w:val="center"/>
          </w:tcPr>
          <w:p>
            <w:r>
              <w:rPr>
                <w:rFonts w:ascii="Arial" w:hAnsi="Arial"/>
                <w:b w:val="0"/>
                <w:sz w:val="17"/>
              </w:rPr>
              <w:t>-0.024</w:t>
            </w:r>
          </w:p>
        </w:tc>
        <w:tc>
          <w:tcPr>
            <w:tcW w:type="dxa" w:w="1994"/>
            <w:vAlign w:val="center"/>
          </w:tcPr>
          <w:p>
            <w:r>
              <w:rPr>
                <w:rFonts w:ascii="Arial" w:hAnsi="Arial"/>
                <w:b w:val="0"/>
                <w:sz w:val="17"/>
              </w:rPr>
              <w:t>0.035</w:t>
            </w:r>
          </w:p>
        </w:tc>
        <w:tc>
          <w:tcPr>
            <w:tcW w:type="dxa" w:w="1994"/>
            <w:vAlign w:val="center"/>
          </w:tcPr>
          <w:p>
            <w:r>
              <w:rPr>
                <w:rFonts w:ascii="Arial" w:hAnsi="Arial"/>
                <w:b w:val="0"/>
                <w:sz w:val="17"/>
              </w:rPr>
              <w:t>-0.019</w:t>
            </w:r>
          </w:p>
        </w:tc>
      </w:tr>
      <w:tr>
        <w:tc>
          <w:tcPr>
            <w:tcW w:type="dxa" w:w="1994"/>
            <w:vAlign w:val="center"/>
          </w:tcPr>
          <w:p>
            <w:r>
              <w:rPr>
                <w:rFonts w:ascii="Arial" w:hAnsi="Arial"/>
                <w:b w:val="0"/>
                <w:sz w:val="17"/>
              </w:rPr>
              <w:t>ResNet50</w:t>
            </w:r>
          </w:p>
        </w:tc>
        <w:tc>
          <w:tcPr>
            <w:tcW w:type="dxa" w:w="1994"/>
            <w:vAlign w:val="center"/>
          </w:tcPr>
          <w:p>
            <w:r>
              <w:rPr>
                <w:rFonts w:ascii="Arial" w:hAnsi="Arial"/>
                <w:b w:val="0"/>
                <w:sz w:val="17"/>
              </w:rPr>
              <w:t>-0.029</w:t>
            </w:r>
          </w:p>
        </w:tc>
        <w:tc>
          <w:tcPr>
            <w:tcW w:type="dxa" w:w="1994"/>
            <w:vAlign w:val="center"/>
          </w:tcPr>
          <w:p>
            <w:r>
              <w:rPr>
                <w:rFonts w:ascii="Arial" w:hAnsi="Arial"/>
                <w:b w:val="0"/>
                <w:sz w:val="17"/>
              </w:rPr>
              <w:t>-0.039</w:t>
            </w:r>
          </w:p>
        </w:tc>
        <w:tc>
          <w:tcPr>
            <w:tcW w:type="dxa" w:w="1994"/>
            <w:vAlign w:val="center"/>
          </w:tcPr>
          <w:p>
            <w:r>
              <w:rPr>
                <w:rFonts w:ascii="Arial" w:hAnsi="Arial"/>
                <w:b w:val="0"/>
                <w:sz w:val="17"/>
              </w:rPr>
              <w:t>-0.109</w:t>
            </w:r>
          </w:p>
        </w:tc>
        <w:tc>
          <w:tcPr>
            <w:tcW w:type="dxa" w:w="1994"/>
            <w:vAlign w:val="center"/>
          </w:tcPr>
          <w:p>
            <w:r>
              <w:rPr>
                <w:rFonts w:ascii="Arial" w:hAnsi="Arial"/>
                <w:b w:val="0"/>
                <w:sz w:val="17"/>
              </w:rPr>
              <w:t>-0.028</w:t>
            </w:r>
          </w:p>
        </w:tc>
      </w:tr>
      <w:tr>
        <w:tc>
          <w:tcPr>
            <w:tcW w:type="dxa" w:w="1994"/>
            <w:vAlign w:val="center"/>
          </w:tcPr>
          <w:p>
            <w:r>
              <w:rPr>
                <w:rFonts w:ascii="Arial" w:hAnsi="Arial"/>
                <w:b w:val="0"/>
                <w:sz w:val="17"/>
              </w:rPr>
              <w:t>VGG16</w:t>
            </w:r>
          </w:p>
        </w:tc>
        <w:tc>
          <w:tcPr>
            <w:tcW w:type="dxa" w:w="1994"/>
            <w:vAlign w:val="center"/>
          </w:tcPr>
          <w:p>
            <w:r>
              <w:rPr>
                <w:rFonts w:ascii="Arial" w:hAnsi="Arial"/>
                <w:b w:val="0"/>
                <w:sz w:val="17"/>
              </w:rPr>
              <w:t>-0.009</w:t>
            </w:r>
          </w:p>
        </w:tc>
        <w:tc>
          <w:tcPr>
            <w:tcW w:type="dxa" w:w="1994"/>
            <w:vAlign w:val="center"/>
          </w:tcPr>
          <w:p>
            <w:r>
              <w:rPr>
                <w:rFonts w:ascii="Arial" w:hAnsi="Arial"/>
                <w:b w:val="0"/>
                <w:sz w:val="17"/>
              </w:rPr>
              <w:t>-0.006</w:t>
            </w:r>
          </w:p>
        </w:tc>
        <w:tc>
          <w:tcPr>
            <w:tcW w:type="dxa" w:w="1994"/>
            <w:vAlign w:val="center"/>
          </w:tcPr>
          <w:p>
            <w:r>
              <w:rPr>
                <w:rFonts w:ascii="Arial" w:hAnsi="Arial"/>
                <w:b w:val="0"/>
                <w:sz w:val="17"/>
              </w:rPr>
              <w:t>0.015</w:t>
            </w:r>
          </w:p>
        </w:tc>
        <w:tc>
          <w:tcPr>
            <w:tcW w:type="dxa" w:w="1994"/>
            <w:vAlign w:val="center"/>
          </w:tcPr>
          <w:p>
            <w:r>
              <w:rPr>
                <w:rFonts w:ascii="Arial" w:hAnsi="Arial"/>
                <w:b w:val="0"/>
                <w:sz w:val="17"/>
              </w:rPr>
              <w:t>0.005</w:t>
            </w:r>
          </w:p>
        </w:tc>
      </w:tr>
    </w:tbl>
    <w:p>
      <w:r>
        <w:t>Lecture de ces écarts : pour DenseNet121, EfficientNetB0 et ResNet50, la variante T/T dégrade à la fois accuracy et Macro-F1. Pour le CNN custom et VGG16, l’effet est plus ambigu : le Macro-F1 recule légèrement, mais le rappel COVID progresse nettement. La conclusion pratique n’est donc pas “activer systématiquement CLAHE et l’augmentation”, mais “choisir cette variante quand on veut privilégier la sensibilité COVID, en acceptant une légère perte d’équilibre global”.</w:t>
      </w:r>
    </w:p>
    <w:p>
      <w:pPr>
        <w:pStyle w:val="Heading1"/>
      </w:pPr>
      <w:r>
        <w:t>6. Sélection du modèle final</w:t>
      </w:r>
    </w:p>
    <w:p>
      <w:r>
        <w:t>Deux scénarios de sélection sont justifiés par les résultats :</w:t>
      </w:r>
    </w:p>
    <w:p>
      <w:pPr>
        <w:pStyle w:val="ListBullet"/>
      </w:pPr>
      <w:r>
        <w:t>Scénario A – classement multiclasses équilibré : VGG16 sans CLAHE ni augmentation. C’est le meilleur modèle du benchmark sur la métrique principale (Macro-F1 = 0,880) et sur l’accuracy (0,886).</w:t>
      </w:r>
    </w:p>
    <w:p>
      <w:pPr>
        <w:pStyle w:val="ListBullet"/>
      </w:pPr>
      <w:r>
        <w:t>Scénario B – priorité au rappel COVID : VGG16 avec CLAHE et augmentation. Il reste très performant globalement tout en obtenant le meilleur recall COVID du groupe (0,825).</w:t>
      </w:r>
    </w:p>
    <w:p>
      <w:r>
        <w:t>Pour un rapport académique centré sur la comparaison multiclasses, le modèle recommandé comme modèle final est VGG16 sans CLAHE ni augmentation. Pour une lecture plus clinique orientée dépistage/sensibilité COVID, il est pertinent de conserver en parallèle la variante VGG16 avec CLAHE et augmentation comme seconde référence.</w:t>
      </w:r>
    </w:p>
    <w:p>
      <w:pPr>
        <w:pStyle w:val="Heading2"/>
      </w:pPr>
      <w:r>
        <w:t>6.1 Classification report du meilleur modèle global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Pr>
                <w:rFonts w:ascii="Arial" w:hAnsi="Arial"/>
                <w:b/>
                <w:sz w:val="17"/>
              </w:rPr>
              <w:t>Classe</w:t>
            </w:r>
          </w:p>
        </w:tc>
        <w:tc>
          <w:tcPr>
            <w:tcW w:type="dxa" w:w="1994"/>
            <w:vAlign w:val="center"/>
            <w:shd w:fill="D9EAF7"/>
          </w:tcPr>
          <w:p>
            <w:r>
              <w:rPr>
                <w:rFonts w:ascii="Arial" w:hAnsi="Arial"/>
                <w:b/>
                <w:sz w:val="17"/>
              </w:rPr>
              <w:t>Précision</w:t>
            </w:r>
          </w:p>
        </w:tc>
        <w:tc>
          <w:tcPr>
            <w:tcW w:type="dxa" w:w="1994"/>
            <w:vAlign w:val="center"/>
            <w:shd w:fill="D9EAF7"/>
          </w:tcPr>
          <w:p>
            <w:r>
              <w:rPr>
                <w:rFonts w:ascii="Arial" w:hAnsi="Arial"/>
                <w:b/>
                <w:sz w:val="17"/>
              </w:rPr>
              <w:t>Recall</w:t>
            </w:r>
          </w:p>
        </w:tc>
        <w:tc>
          <w:tcPr>
            <w:tcW w:type="dxa" w:w="1994"/>
            <w:vAlign w:val="center"/>
            <w:shd w:fill="D9EAF7"/>
          </w:tcPr>
          <w:p>
            <w:r>
              <w:rPr>
                <w:rFonts w:ascii="Arial" w:hAnsi="Arial"/>
                <w:b/>
                <w:sz w:val="17"/>
              </w:rPr>
              <w:t>F1-score</w:t>
            </w:r>
          </w:p>
        </w:tc>
        <w:tc>
          <w:tcPr>
            <w:tcW w:type="dxa" w:w="1994"/>
            <w:vAlign w:val="center"/>
            <w:shd w:fill="D9EAF7"/>
          </w:tcPr>
          <w:p>
            <w:r>
              <w:rPr>
                <w:rFonts w:ascii="Arial" w:hAnsi="Arial"/>
                <w:b/>
                <w:sz w:val="17"/>
              </w:rPr>
              <w:t>Support</w:t>
            </w:r>
          </w:p>
        </w:tc>
      </w:tr>
      <w:tr>
        <w:tc>
          <w:tcPr>
            <w:tcW w:type="dxa" w:w="1994"/>
            <w:vAlign w:val="center"/>
          </w:tcPr>
          <w:p>
            <w:r>
              <w:rPr>
                <w:rFonts w:ascii="Arial" w:hAnsi="Arial"/>
                <w:b w:val="0"/>
                <w:sz w:val="17"/>
              </w:rPr>
              <w:t>COVID</w:t>
            </w:r>
          </w:p>
        </w:tc>
        <w:tc>
          <w:tcPr>
            <w:tcW w:type="dxa" w:w="1994"/>
            <w:vAlign w:val="center"/>
          </w:tcPr>
          <w:p>
            <w:r>
              <w:rPr>
                <w:rFonts w:ascii="Arial" w:hAnsi="Arial"/>
                <w:b w:val="0"/>
                <w:sz w:val="17"/>
              </w:rPr>
              <w:t>0.819</w:t>
            </w:r>
          </w:p>
        </w:tc>
        <w:tc>
          <w:tcPr>
            <w:tcW w:type="dxa" w:w="1994"/>
            <w:vAlign w:val="center"/>
          </w:tcPr>
          <w:p>
            <w:r>
              <w:rPr>
                <w:rFonts w:ascii="Arial" w:hAnsi="Arial"/>
                <w:b w:val="0"/>
                <w:sz w:val="17"/>
              </w:rPr>
              <w:t>0.810</w:t>
            </w:r>
          </w:p>
        </w:tc>
        <w:tc>
          <w:tcPr>
            <w:tcW w:type="dxa" w:w="1994"/>
            <w:vAlign w:val="center"/>
          </w:tcPr>
          <w:p>
            <w:r>
              <w:rPr>
                <w:rFonts w:ascii="Arial" w:hAnsi="Arial"/>
                <w:b w:val="0"/>
                <w:sz w:val="17"/>
              </w:rPr>
              <w:t>0.814</w:t>
            </w:r>
          </w:p>
        </w:tc>
        <w:tc>
          <w:tcPr>
            <w:tcW w:type="dxa" w:w="1994"/>
            <w:vAlign w:val="center"/>
          </w:tcPr>
          <w:p>
            <w:r>
              <w:rPr>
                <w:rFonts w:ascii="Arial" w:hAnsi="Arial"/>
                <w:b w:val="0"/>
                <w:sz w:val="17"/>
              </w:rPr>
              <w:t>542</w:t>
            </w:r>
          </w:p>
        </w:tc>
      </w:tr>
      <w:tr>
        <w:tc>
          <w:tcPr>
            <w:tcW w:type="dxa" w:w="1994"/>
            <w:vAlign w:val="center"/>
          </w:tcPr>
          <w:p>
            <w:r>
              <w:rPr>
                <w:rFonts w:ascii="Arial" w:hAnsi="Arial"/>
                <w:b w:val="0"/>
                <w:sz w:val="17"/>
              </w:rPr>
              <w:t>Normal</w:t>
            </w:r>
          </w:p>
        </w:tc>
        <w:tc>
          <w:tcPr>
            <w:tcW w:type="dxa" w:w="1994"/>
            <w:vAlign w:val="center"/>
          </w:tcPr>
          <w:p>
            <w:r>
              <w:rPr>
                <w:rFonts w:ascii="Arial" w:hAnsi="Arial"/>
                <w:b w:val="0"/>
                <w:sz w:val="17"/>
              </w:rPr>
              <w:t>0.885</w:t>
            </w:r>
          </w:p>
        </w:tc>
        <w:tc>
          <w:tcPr>
            <w:tcW w:type="dxa" w:w="1994"/>
            <w:vAlign w:val="center"/>
          </w:tcPr>
          <w:p>
            <w:r>
              <w:rPr>
                <w:rFonts w:ascii="Arial" w:hAnsi="Arial"/>
                <w:b w:val="0"/>
                <w:sz w:val="17"/>
              </w:rPr>
              <w:t>0.956</w:t>
            </w:r>
          </w:p>
        </w:tc>
        <w:tc>
          <w:tcPr>
            <w:tcW w:type="dxa" w:w="1994"/>
            <w:vAlign w:val="center"/>
          </w:tcPr>
          <w:p>
            <w:r>
              <w:rPr>
                <w:rFonts w:ascii="Arial" w:hAnsi="Arial"/>
                <w:b w:val="0"/>
                <w:sz w:val="17"/>
              </w:rPr>
              <w:t>0.919</w:t>
            </w:r>
          </w:p>
        </w:tc>
        <w:tc>
          <w:tcPr>
            <w:tcW w:type="dxa" w:w="1994"/>
            <w:vAlign w:val="center"/>
          </w:tcPr>
          <w:p>
            <w:r>
              <w:rPr>
                <w:rFonts w:ascii="Arial" w:hAnsi="Arial"/>
                <w:b w:val="0"/>
                <w:sz w:val="17"/>
              </w:rPr>
              <w:t>1529</w:t>
            </w:r>
          </w:p>
        </w:tc>
      </w:tr>
      <w:tr>
        <w:tc>
          <w:tcPr>
            <w:tcW w:type="dxa" w:w="1994"/>
            <w:vAlign w:val="center"/>
          </w:tcPr>
          <w:p>
            <w:r>
              <w:rPr>
                <w:rFonts w:ascii="Arial" w:hAnsi="Arial"/>
                <w:b w:val="0"/>
                <w:sz w:val="17"/>
              </w:rPr>
              <w:t>Lung_Opacity</w:t>
            </w:r>
          </w:p>
        </w:tc>
        <w:tc>
          <w:tcPr>
            <w:tcW w:type="dxa" w:w="1994"/>
            <w:vAlign w:val="center"/>
          </w:tcPr>
          <w:p>
            <w:r>
              <w:rPr>
                <w:rFonts w:ascii="Arial" w:hAnsi="Arial"/>
                <w:b w:val="0"/>
                <w:sz w:val="17"/>
              </w:rPr>
              <w:t>0.922</w:t>
            </w:r>
          </w:p>
        </w:tc>
        <w:tc>
          <w:tcPr>
            <w:tcW w:type="dxa" w:w="1994"/>
            <w:vAlign w:val="center"/>
          </w:tcPr>
          <w:p>
            <w:r>
              <w:rPr>
                <w:rFonts w:ascii="Arial" w:hAnsi="Arial"/>
                <w:b w:val="0"/>
                <w:sz w:val="17"/>
              </w:rPr>
              <w:t>0.808</w:t>
            </w:r>
          </w:p>
        </w:tc>
        <w:tc>
          <w:tcPr>
            <w:tcW w:type="dxa" w:w="1994"/>
            <w:vAlign w:val="center"/>
          </w:tcPr>
          <w:p>
            <w:r>
              <w:rPr>
                <w:rFonts w:ascii="Arial" w:hAnsi="Arial"/>
                <w:b w:val="0"/>
                <w:sz w:val="17"/>
              </w:rPr>
              <w:t>0.861</w:t>
            </w:r>
          </w:p>
        </w:tc>
        <w:tc>
          <w:tcPr>
            <w:tcW w:type="dxa" w:w="1994"/>
            <w:vAlign w:val="center"/>
          </w:tcPr>
          <w:p>
            <w:r>
              <w:rPr>
                <w:rFonts w:ascii="Arial" w:hAnsi="Arial"/>
                <w:b w:val="0"/>
                <w:sz w:val="17"/>
              </w:rPr>
              <w:t>902</w:t>
            </w:r>
          </w:p>
        </w:tc>
      </w:tr>
      <w:tr>
        <w:tc>
          <w:tcPr>
            <w:tcW w:type="dxa" w:w="1994"/>
            <w:vAlign w:val="center"/>
          </w:tcPr>
          <w:p>
            <w:r>
              <w:rPr>
                <w:rFonts w:ascii="Arial" w:hAnsi="Arial"/>
                <w:b w:val="0"/>
                <w:sz w:val="17"/>
              </w:rPr>
              <w:t>Viral Pneumonia</w:t>
            </w:r>
          </w:p>
        </w:tc>
        <w:tc>
          <w:tcPr>
            <w:tcW w:type="dxa" w:w="1994"/>
            <w:vAlign w:val="center"/>
          </w:tcPr>
          <w:p>
            <w:r>
              <w:rPr>
                <w:rFonts w:ascii="Arial" w:hAnsi="Arial"/>
                <w:b w:val="0"/>
                <w:sz w:val="17"/>
              </w:rPr>
              <w:t>0.939</w:t>
            </w:r>
          </w:p>
        </w:tc>
        <w:tc>
          <w:tcPr>
            <w:tcW w:type="dxa" w:w="1994"/>
            <w:vAlign w:val="center"/>
          </w:tcPr>
          <w:p>
            <w:r>
              <w:rPr>
                <w:rFonts w:ascii="Arial" w:hAnsi="Arial"/>
                <w:b w:val="0"/>
                <w:sz w:val="17"/>
              </w:rPr>
              <w:t>0.916</w:t>
            </w:r>
          </w:p>
        </w:tc>
        <w:tc>
          <w:tcPr>
            <w:tcW w:type="dxa" w:w="1994"/>
            <w:vAlign w:val="center"/>
          </w:tcPr>
          <w:p>
            <w:r>
              <w:rPr>
                <w:rFonts w:ascii="Arial" w:hAnsi="Arial"/>
                <w:b w:val="0"/>
                <w:sz w:val="17"/>
              </w:rPr>
              <w:t>0.927</w:t>
            </w:r>
          </w:p>
        </w:tc>
        <w:tc>
          <w:tcPr>
            <w:tcW w:type="dxa" w:w="1994"/>
            <w:vAlign w:val="center"/>
          </w:tcPr>
          <w:p>
            <w:r>
              <w:rPr>
                <w:rFonts w:ascii="Arial" w:hAnsi="Arial"/>
                <w:b w:val="0"/>
                <w:sz w:val="17"/>
              </w:rPr>
              <w:t>202</w:t>
            </w:r>
          </w:p>
        </w:tc>
      </w:tr>
      <w:tr>
        <w:tc>
          <w:tcPr>
            <w:tcW w:type="dxa" w:w="1994"/>
            <w:vAlign w:val="center"/>
          </w:tcPr>
          <w:p>
            <w:r>
              <w:rPr>
                <w:rFonts w:ascii="Arial" w:hAnsi="Arial"/>
                <w:b w:val="0"/>
                <w:sz w:val="17"/>
              </w:rPr>
              <w:t>Macro avg</w:t>
            </w:r>
          </w:p>
        </w:tc>
        <w:tc>
          <w:tcPr>
            <w:tcW w:type="dxa" w:w="1994"/>
            <w:vAlign w:val="center"/>
          </w:tcPr>
          <w:p>
            <w:r>
              <w:rPr>
                <w:rFonts w:ascii="Arial" w:hAnsi="Arial"/>
                <w:b w:val="0"/>
                <w:sz w:val="17"/>
              </w:rPr>
              <w:t>nan</w:t>
            </w:r>
          </w:p>
        </w:tc>
        <w:tc>
          <w:tcPr>
            <w:tcW w:type="dxa" w:w="1994"/>
            <w:vAlign w:val="center"/>
          </w:tcPr>
          <w:p>
            <w:r>
              <w:rPr>
                <w:rFonts w:ascii="Arial" w:hAnsi="Arial"/>
                <w:b w:val="0"/>
                <w:sz w:val="17"/>
              </w:rPr>
              <w:t>0.872</w:t>
            </w:r>
          </w:p>
        </w:tc>
        <w:tc>
          <w:tcPr>
            <w:tcW w:type="dxa" w:w="1994"/>
            <w:vAlign w:val="center"/>
          </w:tcPr>
          <w:p>
            <w:r>
              <w:rPr>
                <w:rFonts w:ascii="Arial" w:hAnsi="Arial"/>
                <w:b w:val="0"/>
                <w:sz w:val="17"/>
              </w:rPr>
              <w:t>0.880</w:t>
            </w:r>
          </w:p>
        </w:tc>
        <w:tc>
          <w:tcPr>
            <w:tcW w:type="dxa" w:w="1994"/>
            <w:vAlign w:val="center"/>
          </w:tcPr>
          <w:p>
            <w:r>
              <w:rPr>
                <w:rFonts w:ascii="Arial" w:hAnsi="Arial"/>
                <w:b w:val="0"/>
                <w:sz w:val="17"/>
              </w:rPr>
              <w:t>3175</w:t>
            </w:r>
          </w:p>
        </w:tc>
      </w:tr>
      <w:tr>
        <w:tc>
          <w:tcPr>
            <w:tcW w:type="dxa" w:w="1994"/>
            <w:vAlign w:val="center"/>
          </w:tcPr>
          <w:p>
            <w:r>
              <w:rPr>
                <w:rFonts w:ascii="Arial" w:hAnsi="Arial"/>
                <w:b w:val="0"/>
                <w:sz w:val="17"/>
              </w:rPr>
              <w:t>Weighted avg</w:t>
            </w:r>
          </w:p>
        </w:tc>
        <w:tc>
          <w:tcPr>
            <w:tcW w:type="dxa" w:w="1994"/>
            <w:vAlign w:val="center"/>
          </w:tcPr>
          <w:p>
            <w:r>
              <w:rPr>
                <w:rFonts w:ascii="Arial" w:hAnsi="Arial"/>
                <w:b w:val="0"/>
                <w:sz w:val="17"/>
              </w:rPr>
              <w:t>nan</w:t>
            </w:r>
          </w:p>
        </w:tc>
        <w:tc>
          <w:tcPr>
            <w:tcW w:type="dxa" w:w="1994"/>
            <w:vAlign w:val="center"/>
          </w:tcPr>
          <w:p>
            <w:r>
              <w:rPr>
                <w:rFonts w:ascii="Arial" w:hAnsi="Arial"/>
                <w:b w:val="0"/>
                <w:sz w:val="17"/>
              </w:rPr>
              <w:t>nan</w:t>
            </w:r>
          </w:p>
        </w:tc>
        <w:tc>
          <w:tcPr>
            <w:tcW w:type="dxa" w:w="1994"/>
            <w:vAlign w:val="center"/>
          </w:tcPr>
          <w:p>
            <w:r>
              <w:rPr>
                <w:rFonts w:ascii="Arial" w:hAnsi="Arial"/>
                <w:b w:val="0"/>
                <w:sz w:val="17"/>
              </w:rPr>
              <w:t>0.885</w:t>
            </w:r>
          </w:p>
        </w:tc>
        <w:tc>
          <w:tcPr>
            <w:tcW w:type="dxa" w:w="1994"/>
            <w:vAlign w:val="center"/>
          </w:tcPr>
          <w:p>
            <w:r>
              <w:rPr>
                <w:rFonts w:ascii="Arial" w:hAnsi="Arial"/>
                <w:b w:val="0"/>
                <w:sz w:val="17"/>
              </w:rPr>
              <w:t>3175</w:t>
            </w:r>
          </w:p>
        </w:tc>
      </w:tr>
    </w:tbl>
    <w:p>
      <w:r>
        <w:t>Le profil du meilleur modèle confirme la structure des erreurs : les classes Normal et Viral Pneumonia sont très bien reconnues, tandis que le point faible relatif reste le couple COVID / Lung_Opacity. Ce résultat est cohérent avec la difficulté visuelle intrinsèque à séparer certaines opacités diffuses d’origine virale ou inflammatoire.</w:t>
      </w:r>
    </w:p>
    <w:p>
      <w:pPr>
        <w:pStyle w:val="Heading1"/>
      </w:pPr>
      <w:r>
        <w:t>7. Interprétabilité</w:t>
      </w:r>
    </w:p>
    <w:p>
      <w:r>
        <w:t>Étant donné le classement final, l’interprétabilité doit maintenant être concentrée prioritairement sur VGG16. Les notebooks fournis permettent de générer des cartes Grad-CAM pour des cas correctement et incorrectement classés. Cette étape est utile pour vérifier que le modèle fonde ses décisions sur les zones pulmonaires et non sur des artefacts de bord, des annotations ou le fond radiographique.</w:t>
      </w:r>
    </w:p>
    <w:p>
      <w:r>
        <w:t>Dans les exécutions retenues pour la synthèse, le pipeline SHAP est préparé mais n’a pas été systématiquement lancé jusqu’au bout, principalement en raison de son coût de calcul. Il est donc raisonnable, pour le rendu final, de concentrer l’analyse visuelle détaillée sur quelques exemples Grad-CAM du meilleur modèle, puis d’utiliser SHAP seulement comme illustration complémentaire sur un petit nombre de cas représentatifs.</w:t>
      </w:r>
    </w:p>
    <w:p>
      <w:pPr>
        <w:pStyle w:val="Heading1"/>
      </w:pPr>
      <w:r>
        <w:t>8. Limites et améliorations recommandées</w:t>
      </w:r>
    </w:p>
    <w:p>
      <w:pPr>
        <w:pStyle w:val="ListBullet"/>
      </w:pPr>
      <w:r>
        <w:t>Le benchmark repose sur un seul fixed split. Cela garantit l’équité de la comparaison, mais ne remplace pas une validation croisée ou une validation externe.</w:t>
      </w:r>
    </w:p>
    <w:p>
      <w:pPr>
        <w:pStyle w:val="ListBullet"/>
      </w:pPr>
      <w:r>
        <w:t>La résolution 128 × 128 a été choisie pour rester compatible avec la mémoire disponible ; elle peut lisser certaines structures fines utiles au diagnostic.</w:t>
      </w:r>
    </w:p>
    <w:p>
      <w:pPr>
        <w:pStyle w:val="ListBullet"/>
      </w:pPr>
      <w:r>
        <w:t>La hiérarchie des modèles observée ici est propre à ce pipeline. Elle ne permet pas de conclure qu’une architecture est universellement supérieure dans tout contexte de radiographie thoracique.</w:t>
      </w:r>
    </w:p>
    <w:p>
      <w:pPr>
        <w:pStyle w:val="ListBullet"/>
      </w:pPr>
      <w:r>
        <w:t>Une amélioration ciblée plus pertinente que de tout réentraîner serait d’optimiser uniquement VGG16 autour du rappel COVID : ajustement du learning rate de fine-tuning, calibration de seuils, ou pondération plus agressive de la classe COVID.</w:t>
      </w:r>
    </w:p>
    <w:p>
      <w:pPr>
        <w:pStyle w:val="Heading1"/>
      </w:pPr>
      <w:r>
        <w:t>9. Conclusion</w:t>
      </w:r>
    </w:p>
    <w:p>
      <w:r>
        <w:t>Cette révision corrige les principaux défauts du rapport précédent : les résultats VGG16 fine-tunés sont bien intégrés, la comparaison est désormais centralisée dans un tableau unique, la métrique principale est explicitée, et l’interprétation des écarts entre architectures est argumentée. Sur la base des notebooks fournis, le constat est net : VGG16 fine-tuné domine le benchmark. La variante sans CLAHE ni augmentation est la meilleure pour un compromis multiclasses équilibré, tandis que la variante avec CLAHE et augmentation apporte le meilleur rappel COVID. Le CNN custom mérite également d’être valorisé, car il reste remarquablement proche des architectures pré-entraînées malgré une conception plus simple.</w:t>
      </w:r>
    </w:p>
    <w:p>
      <w:pPr>
        <w:pStyle w:val="Heading1"/>
      </w:pPr>
      <w:r>
        <w:t>Annexe – résultats consolidés complets</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vAlign w:val="center"/>
            <w:shd w:fill="D9EAF7"/>
          </w:tcPr>
          <w:p>
            <w:r>
              <w:rPr>
                <w:rFonts w:ascii="Arial" w:hAnsi="Arial"/>
                <w:b/>
                <w:sz w:val="15"/>
              </w:rPr>
              <w:t>Architecture</w:t>
            </w:r>
          </w:p>
        </w:tc>
        <w:tc>
          <w:tcPr>
            <w:tcW w:type="dxa" w:w="831"/>
            <w:vAlign w:val="center"/>
            <w:shd w:fill="D9EAF7"/>
          </w:tcPr>
          <w:p>
            <w:r>
              <w:rPr>
                <w:rFonts w:ascii="Arial" w:hAnsi="Arial"/>
                <w:b/>
                <w:sz w:val="15"/>
              </w:rPr>
              <w:t>CLAHE</w:t>
            </w:r>
          </w:p>
        </w:tc>
        <w:tc>
          <w:tcPr>
            <w:tcW w:type="dxa" w:w="831"/>
            <w:vAlign w:val="center"/>
            <w:shd w:fill="D9EAF7"/>
          </w:tcPr>
          <w:p>
            <w:r>
              <w:rPr>
                <w:rFonts w:ascii="Arial" w:hAnsi="Arial"/>
                <w:b/>
                <w:sz w:val="15"/>
              </w:rPr>
              <w:t>Augmentation</w:t>
            </w:r>
          </w:p>
        </w:tc>
        <w:tc>
          <w:tcPr>
            <w:tcW w:type="dxa" w:w="831"/>
            <w:vAlign w:val="center"/>
            <w:shd w:fill="D9EAF7"/>
          </w:tcPr>
          <w:p>
            <w:r>
              <w:rPr>
                <w:rFonts w:ascii="Arial" w:hAnsi="Arial"/>
                <w:b/>
                <w:sz w:val="15"/>
              </w:rPr>
              <w:t>Accuracy</w:t>
            </w:r>
          </w:p>
        </w:tc>
        <w:tc>
          <w:tcPr>
            <w:tcW w:type="dxa" w:w="831"/>
            <w:vAlign w:val="center"/>
            <w:shd w:fill="D9EAF7"/>
          </w:tcPr>
          <w:p>
            <w:r>
              <w:rPr>
                <w:rFonts w:ascii="Arial" w:hAnsi="Arial"/>
                <w:b/>
                <w:sz w:val="15"/>
              </w:rPr>
              <w:t>Macro-F1</w:t>
            </w:r>
          </w:p>
        </w:tc>
        <w:tc>
          <w:tcPr>
            <w:tcW w:type="dxa" w:w="831"/>
            <w:vAlign w:val="center"/>
            <w:shd w:fill="D9EAF7"/>
          </w:tcPr>
          <w:p>
            <w:r>
              <w:rPr>
                <w:rFonts w:ascii="Arial" w:hAnsi="Arial"/>
                <w:b/>
                <w:sz w:val="15"/>
              </w:rPr>
              <w:t>F1-weighted</w:t>
            </w:r>
          </w:p>
        </w:tc>
        <w:tc>
          <w:tcPr>
            <w:tcW w:type="dxa" w:w="831"/>
            <w:vAlign w:val="center"/>
            <w:shd w:fill="D9EAF7"/>
          </w:tcPr>
          <w:p>
            <w:r>
              <w:rPr>
                <w:rFonts w:ascii="Arial" w:hAnsi="Arial"/>
                <w:b/>
                <w:sz w:val="15"/>
              </w:rPr>
              <w:t>COVID précision</w:t>
            </w:r>
          </w:p>
        </w:tc>
        <w:tc>
          <w:tcPr>
            <w:tcW w:type="dxa" w:w="831"/>
            <w:vAlign w:val="center"/>
            <w:shd w:fill="D9EAF7"/>
          </w:tcPr>
          <w:p>
            <w:r>
              <w:rPr>
                <w:rFonts w:ascii="Arial" w:hAnsi="Arial"/>
                <w:b/>
                <w:sz w:val="15"/>
              </w:rPr>
              <w:t>COVID recall</w:t>
            </w:r>
          </w:p>
        </w:tc>
        <w:tc>
          <w:tcPr>
            <w:tcW w:type="dxa" w:w="831"/>
            <w:vAlign w:val="center"/>
            <w:shd w:fill="D9EAF7"/>
          </w:tcPr>
          <w:p>
            <w:r>
              <w:rPr>
                <w:rFonts w:ascii="Arial" w:hAnsi="Arial"/>
                <w:b/>
                <w:sz w:val="15"/>
              </w:rPr>
              <w:t>COVID F1</w:t>
            </w:r>
          </w:p>
        </w:tc>
        <w:tc>
          <w:tcPr>
            <w:tcW w:type="dxa" w:w="831"/>
            <w:vAlign w:val="center"/>
            <w:shd w:fill="D9EAF7"/>
          </w:tcPr>
          <w:p>
            <w:r>
              <w:rPr>
                <w:rFonts w:ascii="Arial" w:hAnsi="Arial"/>
                <w:b/>
                <w:sz w:val="15"/>
              </w:rPr>
              <w:t>Normal recall</w:t>
            </w:r>
          </w:p>
        </w:tc>
        <w:tc>
          <w:tcPr>
            <w:tcW w:type="dxa" w:w="831"/>
            <w:vAlign w:val="center"/>
            <w:shd w:fill="D9EAF7"/>
          </w:tcPr>
          <w:p>
            <w:r>
              <w:rPr>
                <w:rFonts w:ascii="Arial" w:hAnsi="Arial"/>
                <w:b/>
                <w:sz w:val="15"/>
              </w:rPr>
              <w:t>Lung_Opacity recall</w:t>
            </w:r>
          </w:p>
        </w:tc>
        <w:tc>
          <w:tcPr>
            <w:tcW w:type="dxa" w:w="831"/>
            <w:vAlign w:val="center"/>
            <w:shd w:fill="D9EAF7"/>
          </w:tcPr>
          <w:p>
            <w:r>
              <w:rPr>
                <w:rFonts w:ascii="Arial" w:hAnsi="Arial"/>
                <w:b/>
                <w:sz w:val="15"/>
              </w:rPr>
              <w:t>Viral Pneumonia recall</w:t>
            </w:r>
          </w:p>
        </w:tc>
      </w:tr>
      <w:tr>
        <w:tc>
          <w:tcPr>
            <w:tcW w:type="dxa" w:w="831"/>
            <w:vAlign w:val="center"/>
          </w:tcPr>
          <w:p>
            <w:r>
              <w:rPr>
                <w:rFonts w:ascii="Arial" w:hAnsi="Arial"/>
                <w:b w:val="0"/>
                <w:sz w:val="15"/>
              </w:rPr>
              <w:t>CNN custom</w:t>
            </w:r>
          </w:p>
        </w:tc>
        <w:tc>
          <w:tcPr>
            <w:tcW w:type="dxa" w:w="831"/>
            <w:vAlign w:val="center"/>
          </w:tcPr>
          <w:p>
            <w:r>
              <w:rPr>
                <w:rFonts w:ascii="Arial" w:hAnsi="Arial"/>
                <w:b w:val="0"/>
                <w:sz w:val="15"/>
              </w:rPr>
              <w:t>Non</w:t>
            </w:r>
          </w:p>
        </w:tc>
        <w:tc>
          <w:tcPr>
            <w:tcW w:type="dxa" w:w="831"/>
            <w:vAlign w:val="center"/>
          </w:tcPr>
          <w:p>
            <w:r>
              <w:rPr>
                <w:rFonts w:ascii="Arial" w:hAnsi="Arial"/>
                <w:b w:val="0"/>
                <w:sz w:val="15"/>
              </w:rPr>
              <w:t>Non</w:t>
            </w:r>
          </w:p>
        </w:tc>
        <w:tc>
          <w:tcPr>
            <w:tcW w:type="dxa" w:w="831"/>
            <w:vAlign w:val="center"/>
          </w:tcPr>
          <w:p>
            <w:r>
              <w:rPr>
                <w:rFonts w:ascii="Arial" w:hAnsi="Arial"/>
                <w:b w:val="0"/>
                <w:sz w:val="15"/>
              </w:rPr>
              <w:t>0.878</w:t>
            </w:r>
          </w:p>
        </w:tc>
        <w:tc>
          <w:tcPr>
            <w:tcW w:type="dxa" w:w="831"/>
            <w:vAlign w:val="center"/>
          </w:tcPr>
          <w:p>
            <w:r>
              <w:rPr>
                <w:rFonts w:ascii="Arial" w:hAnsi="Arial"/>
                <w:b w:val="0"/>
                <w:sz w:val="15"/>
              </w:rPr>
              <w:t>0.873</w:t>
            </w:r>
          </w:p>
        </w:tc>
        <w:tc>
          <w:tcPr>
            <w:tcW w:type="dxa" w:w="831"/>
            <w:vAlign w:val="center"/>
          </w:tcPr>
          <w:p>
            <w:r>
              <w:rPr>
                <w:rFonts w:ascii="Arial" w:hAnsi="Arial"/>
                <w:b w:val="0"/>
                <w:sz w:val="15"/>
              </w:rPr>
              <w:t>0.877</w:t>
            </w:r>
          </w:p>
        </w:tc>
        <w:tc>
          <w:tcPr>
            <w:tcW w:type="dxa" w:w="831"/>
            <w:vAlign w:val="center"/>
          </w:tcPr>
          <w:p>
            <w:r>
              <w:rPr>
                <w:rFonts w:ascii="Arial" w:hAnsi="Arial"/>
                <w:b w:val="0"/>
                <w:sz w:val="15"/>
              </w:rPr>
              <w:t>0.907</w:t>
            </w:r>
          </w:p>
        </w:tc>
        <w:tc>
          <w:tcPr>
            <w:tcW w:type="dxa" w:w="831"/>
            <w:vAlign w:val="center"/>
          </w:tcPr>
          <w:p>
            <w:r>
              <w:rPr>
                <w:rFonts w:ascii="Arial" w:hAnsi="Arial"/>
                <w:b w:val="0"/>
                <w:sz w:val="15"/>
              </w:rPr>
              <w:t>0.699</w:t>
            </w:r>
          </w:p>
        </w:tc>
        <w:tc>
          <w:tcPr>
            <w:tcW w:type="dxa" w:w="831"/>
            <w:vAlign w:val="center"/>
          </w:tcPr>
          <w:p>
            <w:r>
              <w:rPr>
                <w:rFonts w:ascii="Arial" w:hAnsi="Arial"/>
                <w:b w:val="0"/>
                <w:sz w:val="15"/>
              </w:rPr>
              <w:t>0.790</w:t>
            </w:r>
          </w:p>
        </w:tc>
        <w:tc>
          <w:tcPr>
            <w:tcW w:type="dxa" w:w="831"/>
            <w:vAlign w:val="center"/>
          </w:tcPr>
          <w:p>
            <w:r>
              <w:rPr>
                <w:rFonts w:ascii="Arial" w:hAnsi="Arial"/>
                <w:b w:val="0"/>
                <w:sz w:val="15"/>
              </w:rPr>
              <w:t>0.927</w:t>
            </w:r>
          </w:p>
        </w:tc>
        <w:tc>
          <w:tcPr>
            <w:tcW w:type="dxa" w:w="831"/>
            <w:vAlign w:val="center"/>
          </w:tcPr>
          <w:p>
            <w:r>
              <w:rPr>
                <w:rFonts w:ascii="Arial" w:hAnsi="Arial"/>
                <w:b w:val="0"/>
                <w:sz w:val="15"/>
              </w:rPr>
              <w:t>0.892</w:t>
            </w:r>
          </w:p>
        </w:tc>
        <w:tc>
          <w:tcPr>
            <w:tcW w:type="dxa" w:w="831"/>
            <w:vAlign w:val="center"/>
          </w:tcPr>
          <w:p>
            <w:r>
              <w:rPr>
                <w:rFonts w:ascii="Arial" w:hAnsi="Arial"/>
                <w:b w:val="0"/>
                <w:sz w:val="15"/>
              </w:rPr>
              <w:t>0.921</w:t>
            </w:r>
          </w:p>
        </w:tc>
      </w:tr>
      <w:tr>
        <w:tc>
          <w:tcPr>
            <w:tcW w:type="dxa" w:w="831"/>
            <w:vAlign w:val="center"/>
          </w:tcPr>
          <w:p>
            <w:r>
              <w:rPr>
                <w:rFonts w:ascii="Arial" w:hAnsi="Arial"/>
                <w:b w:val="0"/>
                <w:sz w:val="15"/>
              </w:rPr>
              <w:t>CNN custom</w:t>
            </w:r>
          </w:p>
        </w:tc>
        <w:tc>
          <w:tcPr>
            <w:tcW w:type="dxa" w:w="831"/>
            <w:vAlign w:val="center"/>
          </w:tcPr>
          <w:p>
            <w:r>
              <w:rPr>
                <w:rFonts w:ascii="Arial" w:hAnsi="Arial"/>
                <w:b w:val="0"/>
                <w:sz w:val="15"/>
              </w:rPr>
              <w:t>Oui</w:t>
            </w:r>
          </w:p>
        </w:tc>
        <w:tc>
          <w:tcPr>
            <w:tcW w:type="dxa" w:w="831"/>
            <w:vAlign w:val="center"/>
          </w:tcPr>
          <w:p>
            <w:r>
              <w:rPr>
                <w:rFonts w:ascii="Arial" w:hAnsi="Arial"/>
                <w:b w:val="0"/>
                <w:sz w:val="15"/>
              </w:rPr>
              <w:t>Oui</w:t>
            </w:r>
          </w:p>
        </w:tc>
        <w:tc>
          <w:tcPr>
            <w:tcW w:type="dxa" w:w="831"/>
            <w:vAlign w:val="center"/>
          </w:tcPr>
          <w:p>
            <w:r>
              <w:rPr>
                <w:rFonts w:ascii="Arial" w:hAnsi="Arial"/>
                <w:b w:val="0"/>
                <w:sz w:val="15"/>
              </w:rPr>
              <w:t>0.875</w:t>
            </w:r>
          </w:p>
        </w:tc>
        <w:tc>
          <w:tcPr>
            <w:tcW w:type="dxa" w:w="831"/>
            <w:vAlign w:val="center"/>
          </w:tcPr>
          <w:p>
            <w:r>
              <w:rPr>
                <w:rFonts w:ascii="Arial" w:hAnsi="Arial"/>
                <w:b w:val="0"/>
                <w:sz w:val="15"/>
              </w:rPr>
              <w:t>0.872</w:t>
            </w:r>
          </w:p>
        </w:tc>
        <w:tc>
          <w:tcPr>
            <w:tcW w:type="dxa" w:w="831"/>
            <w:vAlign w:val="center"/>
          </w:tcPr>
          <w:p>
            <w:r>
              <w:rPr>
                <w:rFonts w:ascii="Arial" w:hAnsi="Arial"/>
                <w:b w:val="0"/>
                <w:sz w:val="15"/>
              </w:rPr>
              <w:t>0.875</w:t>
            </w:r>
          </w:p>
        </w:tc>
        <w:tc>
          <w:tcPr>
            <w:tcW w:type="dxa" w:w="831"/>
            <w:vAlign w:val="center"/>
          </w:tcPr>
          <w:p>
            <w:r>
              <w:rPr>
                <w:rFonts w:ascii="Arial" w:hAnsi="Arial"/>
                <w:b w:val="0"/>
                <w:sz w:val="15"/>
              </w:rPr>
              <w:t>0.796</w:t>
            </w:r>
          </w:p>
        </w:tc>
        <w:tc>
          <w:tcPr>
            <w:tcW w:type="dxa" w:w="831"/>
            <w:vAlign w:val="center"/>
          </w:tcPr>
          <w:p>
            <w:r>
              <w:rPr>
                <w:rFonts w:ascii="Arial" w:hAnsi="Arial"/>
                <w:b w:val="0"/>
                <w:sz w:val="15"/>
              </w:rPr>
              <w:t>0.792</w:t>
            </w:r>
          </w:p>
        </w:tc>
        <w:tc>
          <w:tcPr>
            <w:tcW w:type="dxa" w:w="831"/>
            <w:vAlign w:val="center"/>
          </w:tcPr>
          <w:p>
            <w:r>
              <w:rPr>
                <w:rFonts w:ascii="Arial" w:hAnsi="Arial"/>
                <w:b w:val="0"/>
                <w:sz w:val="15"/>
              </w:rPr>
              <w:t>0.794</w:t>
            </w:r>
          </w:p>
        </w:tc>
        <w:tc>
          <w:tcPr>
            <w:tcW w:type="dxa" w:w="831"/>
            <w:vAlign w:val="center"/>
          </w:tcPr>
          <w:p>
            <w:r>
              <w:rPr>
                <w:rFonts w:ascii="Arial" w:hAnsi="Arial"/>
                <w:b w:val="0"/>
                <w:sz w:val="15"/>
              </w:rPr>
              <w:t>0.914</w:t>
            </w:r>
          </w:p>
        </w:tc>
        <w:tc>
          <w:tcPr>
            <w:tcW w:type="dxa" w:w="831"/>
            <w:vAlign w:val="center"/>
          </w:tcPr>
          <w:p>
            <w:r>
              <w:rPr>
                <w:rFonts w:ascii="Arial" w:hAnsi="Arial"/>
                <w:b w:val="0"/>
                <w:sz w:val="15"/>
              </w:rPr>
              <w:t>0.851</w:t>
            </w:r>
          </w:p>
        </w:tc>
        <w:tc>
          <w:tcPr>
            <w:tcW w:type="dxa" w:w="831"/>
            <w:vAlign w:val="center"/>
          </w:tcPr>
          <w:p>
            <w:r>
              <w:rPr>
                <w:rFonts w:ascii="Arial" w:hAnsi="Arial"/>
                <w:b w:val="0"/>
                <w:sz w:val="15"/>
              </w:rPr>
              <w:t>0.906</w:t>
            </w:r>
          </w:p>
        </w:tc>
      </w:tr>
      <w:tr>
        <w:tc>
          <w:tcPr>
            <w:tcW w:type="dxa" w:w="831"/>
            <w:vAlign w:val="center"/>
          </w:tcPr>
          <w:p>
            <w:r>
              <w:rPr>
                <w:rFonts w:ascii="Arial" w:hAnsi="Arial"/>
                <w:b w:val="0"/>
                <w:sz w:val="15"/>
              </w:rPr>
              <w:t>DenseNet121</w:t>
            </w:r>
          </w:p>
        </w:tc>
        <w:tc>
          <w:tcPr>
            <w:tcW w:type="dxa" w:w="831"/>
            <w:vAlign w:val="center"/>
          </w:tcPr>
          <w:p>
            <w:r>
              <w:rPr>
                <w:rFonts w:ascii="Arial" w:hAnsi="Arial"/>
                <w:b w:val="0"/>
                <w:sz w:val="15"/>
              </w:rPr>
              <w:t>Non</w:t>
            </w:r>
          </w:p>
        </w:tc>
        <w:tc>
          <w:tcPr>
            <w:tcW w:type="dxa" w:w="831"/>
            <w:vAlign w:val="center"/>
          </w:tcPr>
          <w:p>
            <w:r>
              <w:rPr>
                <w:rFonts w:ascii="Arial" w:hAnsi="Arial"/>
                <w:b w:val="0"/>
                <w:sz w:val="15"/>
              </w:rPr>
              <w:t>Non</w:t>
            </w:r>
          </w:p>
        </w:tc>
        <w:tc>
          <w:tcPr>
            <w:tcW w:type="dxa" w:w="831"/>
            <w:vAlign w:val="center"/>
          </w:tcPr>
          <w:p>
            <w:r>
              <w:rPr>
                <w:rFonts w:ascii="Arial" w:hAnsi="Arial"/>
                <w:b w:val="0"/>
                <w:sz w:val="15"/>
              </w:rPr>
              <w:t>0.839</w:t>
            </w:r>
          </w:p>
        </w:tc>
        <w:tc>
          <w:tcPr>
            <w:tcW w:type="dxa" w:w="831"/>
            <w:vAlign w:val="center"/>
          </w:tcPr>
          <w:p>
            <w:r>
              <w:rPr>
                <w:rFonts w:ascii="Arial" w:hAnsi="Arial"/>
                <w:b w:val="0"/>
                <w:sz w:val="15"/>
              </w:rPr>
              <w:t>0.830</w:t>
            </w:r>
          </w:p>
        </w:tc>
        <w:tc>
          <w:tcPr>
            <w:tcW w:type="dxa" w:w="831"/>
            <w:vAlign w:val="center"/>
          </w:tcPr>
          <w:p>
            <w:r>
              <w:rPr>
                <w:rFonts w:ascii="Arial" w:hAnsi="Arial"/>
                <w:b w:val="0"/>
                <w:sz w:val="15"/>
              </w:rPr>
              <w:t>0.841</w:t>
            </w:r>
          </w:p>
        </w:tc>
        <w:tc>
          <w:tcPr>
            <w:tcW w:type="dxa" w:w="831"/>
            <w:vAlign w:val="center"/>
          </w:tcPr>
          <w:p>
            <w:r>
              <w:rPr>
                <w:rFonts w:ascii="Arial" w:hAnsi="Arial"/>
                <w:b w:val="0"/>
                <w:sz w:val="15"/>
              </w:rPr>
              <w:t>0.652</w:t>
            </w:r>
          </w:p>
        </w:tc>
        <w:tc>
          <w:tcPr>
            <w:tcW w:type="dxa" w:w="831"/>
            <w:vAlign w:val="center"/>
          </w:tcPr>
          <w:p>
            <w:r>
              <w:rPr>
                <w:rFonts w:ascii="Arial" w:hAnsi="Arial"/>
                <w:b w:val="0"/>
                <w:sz w:val="15"/>
              </w:rPr>
              <w:t>0.780</w:t>
            </w:r>
          </w:p>
        </w:tc>
        <w:tc>
          <w:tcPr>
            <w:tcW w:type="dxa" w:w="831"/>
            <w:vAlign w:val="center"/>
          </w:tcPr>
          <w:p>
            <w:r>
              <w:rPr>
                <w:rFonts w:ascii="Arial" w:hAnsi="Arial"/>
                <w:b w:val="0"/>
                <w:sz w:val="15"/>
              </w:rPr>
              <w:t>0.710</w:t>
            </w:r>
          </w:p>
        </w:tc>
        <w:tc>
          <w:tcPr>
            <w:tcW w:type="dxa" w:w="831"/>
            <w:vAlign w:val="center"/>
          </w:tcPr>
          <w:p>
            <w:r>
              <w:rPr>
                <w:rFonts w:ascii="Arial" w:hAnsi="Arial"/>
                <w:b w:val="0"/>
                <w:sz w:val="15"/>
              </w:rPr>
              <w:t>0.890</w:t>
            </w:r>
          </w:p>
        </w:tc>
        <w:tc>
          <w:tcPr>
            <w:tcW w:type="dxa" w:w="831"/>
            <w:vAlign w:val="center"/>
          </w:tcPr>
          <w:p>
            <w:r>
              <w:rPr>
                <w:rFonts w:ascii="Arial" w:hAnsi="Arial"/>
                <w:b w:val="0"/>
                <w:sz w:val="15"/>
              </w:rPr>
              <w:t>0.763</w:t>
            </w:r>
          </w:p>
        </w:tc>
        <w:tc>
          <w:tcPr>
            <w:tcW w:type="dxa" w:w="831"/>
            <w:vAlign w:val="center"/>
          </w:tcPr>
          <w:p>
            <w:r>
              <w:rPr>
                <w:rFonts w:ascii="Arial" w:hAnsi="Arial"/>
                <w:b w:val="0"/>
                <w:sz w:val="15"/>
              </w:rPr>
              <w:t>0.955</w:t>
            </w:r>
          </w:p>
        </w:tc>
      </w:tr>
      <w:tr>
        <w:tc>
          <w:tcPr>
            <w:tcW w:type="dxa" w:w="831"/>
            <w:vAlign w:val="center"/>
          </w:tcPr>
          <w:p>
            <w:r>
              <w:rPr>
                <w:rFonts w:ascii="Arial" w:hAnsi="Arial"/>
                <w:b w:val="0"/>
                <w:sz w:val="15"/>
              </w:rPr>
              <w:t>DenseNet121</w:t>
            </w:r>
          </w:p>
        </w:tc>
        <w:tc>
          <w:tcPr>
            <w:tcW w:type="dxa" w:w="831"/>
            <w:vAlign w:val="center"/>
          </w:tcPr>
          <w:p>
            <w:r>
              <w:rPr>
                <w:rFonts w:ascii="Arial" w:hAnsi="Arial"/>
                <w:b w:val="0"/>
                <w:sz w:val="15"/>
              </w:rPr>
              <w:t>Oui</w:t>
            </w:r>
          </w:p>
        </w:tc>
        <w:tc>
          <w:tcPr>
            <w:tcW w:type="dxa" w:w="831"/>
            <w:vAlign w:val="center"/>
          </w:tcPr>
          <w:p>
            <w:r>
              <w:rPr>
                <w:rFonts w:ascii="Arial" w:hAnsi="Arial"/>
                <w:b w:val="0"/>
                <w:sz w:val="15"/>
              </w:rPr>
              <w:t>Oui</w:t>
            </w:r>
          </w:p>
        </w:tc>
        <w:tc>
          <w:tcPr>
            <w:tcW w:type="dxa" w:w="831"/>
            <w:vAlign w:val="center"/>
          </w:tcPr>
          <w:p>
            <w:r>
              <w:rPr>
                <w:rFonts w:ascii="Arial" w:hAnsi="Arial"/>
                <w:b w:val="0"/>
                <w:sz w:val="15"/>
              </w:rPr>
              <w:t>0.787</w:t>
            </w:r>
          </w:p>
        </w:tc>
        <w:tc>
          <w:tcPr>
            <w:tcW w:type="dxa" w:w="831"/>
            <w:vAlign w:val="center"/>
          </w:tcPr>
          <w:p>
            <w:r>
              <w:rPr>
                <w:rFonts w:ascii="Arial" w:hAnsi="Arial"/>
                <w:b w:val="0"/>
                <w:sz w:val="15"/>
              </w:rPr>
              <w:t>0.769</w:t>
            </w:r>
          </w:p>
        </w:tc>
        <w:tc>
          <w:tcPr>
            <w:tcW w:type="dxa" w:w="831"/>
            <w:vAlign w:val="center"/>
          </w:tcPr>
          <w:p>
            <w:r>
              <w:rPr>
                <w:rFonts w:ascii="Arial" w:hAnsi="Arial"/>
                <w:b w:val="0"/>
                <w:sz w:val="15"/>
              </w:rPr>
              <w:t>0.793</w:t>
            </w:r>
          </w:p>
        </w:tc>
        <w:tc>
          <w:tcPr>
            <w:tcW w:type="dxa" w:w="831"/>
            <w:vAlign w:val="center"/>
          </w:tcPr>
          <w:p>
            <w:r>
              <w:rPr>
                <w:rFonts w:ascii="Arial" w:hAnsi="Arial"/>
                <w:b w:val="0"/>
                <w:sz w:val="15"/>
              </w:rPr>
              <w:t>0.538</w:t>
            </w:r>
          </w:p>
        </w:tc>
        <w:tc>
          <w:tcPr>
            <w:tcW w:type="dxa" w:w="831"/>
            <w:vAlign w:val="center"/>
          </w:tcPr>
          <w:p>
            <w:r>
              <w:rPr>
                <w:rFonts w:ascii="Arial" w:hAnsi="Arial"/>
                <w:b w:val="0"/>
                <w:sz w:val="15"/>
              </w:rPr>
              <w:t>0.760</w:t>
            </w:r>
          </w:p>
        </w:tc>
        <w:tc>
          <w:tcPr>
            <w:tcW w:type="dxa" w:w="831"/>
            <w:vAlign w:val="center"/>
          </w:tcPr>
          <w:p>
            <w:r>
              <w:rPr>
                <w:rFonts w:ascii="Arial" w:hAnsi="Arial"/>
                <w:b w:val="0"/>
                <w:sz w:val="15"/>
              </w:rPr>
              <w:t>0.630</w:t>
            </w:r>
          </w:p>
        </w:tc>
        <w:tc>
          <w:tcPr>
            <w:tcW w:type="dxa" w:w="831"/>
            <w:vAlign w:val="center"/>
          </w:tcPr>
          <w:p>
            <w:r>
              <w:rPr>
                <w:rFonts w:ascii="Arial" w:hAnsi="Arial"/>
                <w:b w:val="0"/>
                <w:sz w:val="15"/>
              </w:rPr>
              <w:t>0.842</w:t>
            </w:r>
          </w:p>
        </w:tc>
        <w:tc>
          <w:tcPr>
            <w:tcW w:type="dxa" w:w="831"/>
            <w:vAlign w:val="center"/>
          </w:tcPr>
          <w:p>
            <w:r>
              <w:rPr>
                <w:rFonts w:ascii="Arial" w:hAnsi="Arial"/>
                <w:b w:val="0"/>
                <w:sz w:val="15"/>
              </w:rPr>
              <w:t>0.674</w:t>
            </w:r>
          </w:p>
        </w:tc>
        <w:tc>
          <w:tcPr>
            <w:tcW w:type="dxa" w:w="831"/>
            <w:vAlign w:val="center"/>
          </w:tcPr>
          <w:p>
            <w:r>
              <w:rPr>
                <w:rFonts w:ascii="Arial" w:hAnsi="Arial"/>
                <w:b w:val="0"/>
                <w:sz w:val="15"/>
              </w:rPr>
              <w:t>0.955</w:t>
            </w:r>
          </w:p>
        </w:tc>
      </w:tr>
      <w:tr>
        <w:tc>
          <w:tcPr>
            <w:tcW w:type="dxa" w:w="831"/>
            <w:vAlign w:val="center"/>
          </w:tcPr>
          <w:p>
            <w:r>
              <w:rPr>
                <w:rFonts w:ascii="Arial" w:hAnsi="Arial"/>
                <w:b w:val="0"/>
                <w:sz w:val="15"/>
              </w:rPr>
              <w:t>EfficientNetB0</w:t>
            </w:r>
          </w:p>
        </w:tc>
        <w:tc>
          <w:tcPr>
            <w:tcW w:type="dxa" w:w="831"/>
            <w:vAlign w:val="center"/>
          </w:tcPr>
          <w:p>
            <w:r>
              <w:rPr>
                <w:rFonts w:ascii="Arial" w:hAnsi="Arial"/>
                <w:b w:val="0"/>
                <w:sz w:val="15"/>
              </w:rPr>
              <w:t>Non</w:t>
            </w:r>
          </w:p>
        </w:tc>
        <w:tc>
          <w:tcPr>
            <w:tcW w:type="dxa" w:w="831"/>
            <w:vAlign w:val="center"/>
          </w:tcPr>
          <w:p>
            <w:r>
              <w:rPr>
                <w:rFonts w:ascii="Arial" w:hAnsi="Arial"/>
                <w:b w:val="0"/>
                <w:sz w:val="15"/>
              </w:rPr>
              <w:t>Non</w:t>
            </w:r>
          </w:p>
        </w:tc>
        <w:tc>
          <w:tcPr>
            <w:tcW w:type="dxa" w:w="831"/>
            <w:vAlign w:val="center"/>
          </w:tcPr>
          <w:p>
            <w:r>
              <w:rPr>
                <w:rFonts w:ascii="Arial" w:hAnsi="Arial"/>
                <w:b w:val="0"/>
                <w:sz w:val="15"/>
              </w:rPr>
              <w:t>0.855</w:t>
            </w:r>
          </w:p>
        </w:tc>
        <w:tc>
          <w:tcPr>
            <w:tcW w:type="dxa" w:w="831"/>
            <w:vAlign w:val="center"/>
          </w:tcPr>
          <w:p>
            <w:r>
              <w:rPr>
                <w:rFonts w:ascii="Arial" w:hAnsi="Arial"/>
                <w:b w:val="0"/>
                <w:sz w:val="15"/>
              </w:rPr>
              <w:t>0.846</w:t>
            </w:r>
          </w:p>
        </w:tc>
        <w:tc>
          <w:tcPr>
            <w:tcW w:type="dxa" w:w="831"/>
            <w:vAlign w:val="center"/>
          </w:tcPr>
          <w:p>
            <w:r>
              <w:rPr>
                <w:rFonts w:ascii="Arial" w:hAnsi="Arial"/>
                <w:b w:val="0"/>
                <w:sz w:val="15"/>
              </w:rPr>
              <w:t>0.854</w:t>
            </w:r>
          </w:p>
        </w:tc>
        <w:tc>
          <w:tcPr>
            <w:tcW w:type="dxa" w:w="831"/>
            <w:vAlign w:val="center"/>
          </w:tcPr>
          <w:p>
            <w:r>
              <w:rPr>
                <w:rFonts w:ascii="Arial" w:hAnsi="Arial"/>
                <w:b w:val="0"/>
                <w:sz w:val="15"/>
              </w:rPr>
              <w:t>0.774</w:t>
            </w:r>
          </w:p>
        </w:tc>
        <w:tc>
          <w:tcPr>
            <w:tcW w:type="dxa" w:w="831"/>
            <w:vAlign w:val="center"/>
          </w:tcPr>
          <w:p>
            <w:r>
              <w:rPr>
                <w:rFonts w:ascii="Arial" w:hAnsi="Arial"/>
                <w:b w:val="0"/>
                <w:sz w:val="15"/>
              </w:rPr>
              <w:t>0.745</w:t>
            </w:r>
          </w:p>
        </w:tc>
        <w:tc>
          <w:tcPr>
            <w:tcW w:type="dxa" w:w="831"/>
            <w:vAlign w:val="center"/>
          </w:tcPr>
          <w:p>
            <w:r>
              <w:rPr>
                <w:rFonts w:ascii="Arial" w:hAnsi="Arial"/>
                <w:b w:val="0"/>
                <w:sz w:val="15"/>
              </w:rPr>
              <w:t>0.759</w:t>
            </w:r>
          </w:p>
        </w:tc>
        <w:tc>
          <w:tcPr>
            <w:tcW w:type="dxa" w:w="831"/>
            <w:vAlign w:val="center"/>
          </w:tcPr>
          <w:p>
            <w:r>
              <w:rPr>
                <w:rFonts w:ascii="Arial" w:hAnsi="Arial"/>
                <w:b w:val="0"/>
                <w:sz w:val="15"/>
              </w:rPr>
              <w:t>0.895</w:t>
            </w:r>
          </w:p>
        </w:tc>
        <w:tc>
          <w:tcPr>
            <w:tcW w:type="dxa" w:w="831"/>
            <w:vAlign w:val="center"/>
          </w:tcPr>
          <w:p>
            <w:r>
              <w:rPr>
                <w:rFonts w:ascii="Arial" w:hAnsi="Arial"/>
                <w:b w:val="0"/>
                <w:sz w:val="15"/>
              </w:rPr>
              <w:t>0.834</w:t>
            </w:r>
          </w:p>
        </w:tc>
        <w:tc>
          <w:tcPr>
            <w:tcW w:type="dxa" w:w="831"/>
            <w:vAlign w:val="center"/>
          </w:tcPr>
          <w:p>
            <w:r>
              <w:rPr>
                <w:rFonts w:ascii="Arial" w:hAnsi="Arial"/>
                <w:b w:val="0"/>
                <w:sz w:val="15"/>
              </w:rPr>
              <w:t>0.941</w:t>
            </w:r>
          </w:p>
        </w:tc>
      </w:tr>
      <w:tr>
        <w:tc>
          <w:tcPr>
            <w:tcW w:type="dxa" w:w="831"/>
            <w:vAlign w:val="center"/>
          </w:tcPr>
          <w:p>
            <w:r>
              <w:rPr>
                <w:rFonts w:ascii="Arial" w:hAnsi="Arial"/>
                <w:b w:val="0"/>
                <w:sz w:val="15"/>
              </w:rPr>
              <w:t>EfficientNetB0</w:t>
            </w:r>
          </w:p>
        </w:tc>
        <w:tc>
          <w:tcPr>
            <w:tcW w:type="dxa" w:w="831"/>
            <w:vAlign w:val="center"/>
          </w:tcPr>
          <w:p>
            <w:r>
              <w:rPr>
                <w:rFonts w:ascii="Arial" w:hAnsi="Arial"/>
                <w:b w:val="0"/>
                <w:sz w:val="15"/>
              </w:rPr>
              <w:t>Oui</w:t>
            </w:r>
          </w:p>
        </w:tc>
        <w:tc>
          <w:tcPr>
            <w:tcW w:type="dxa" w:w="831"/>
            <w:vAlign w:val="center"/>
          </w:tcPr>
          <w:p>
            <w:r>
              <w:rPr>
                <w:rFonts w:ascii="Arial" w:hAnsi="Arial"/>
                <w:b w:val="0"/>
                <w:sz w:val="15"/>
              </w:rPr>
              <w:t>Oui</w:t>
            </w:r>
          </w:p>
        </w:tc>
        <w:tc>
          <w:tcPr>
            <w:tcW w:type="dxa" w:w="831"/>
            <w:vAlign w:val="center"/>
          </w:tcPr>
          <w:p>
            <w:r>
              <w:rPr>
                <w:rFonts w:ascii="Arial" w:hAnsi="Arial"/>
                <w:b w:val="0"/>
                <w:sz w:val="15"/>
              </w:rPr>
              <w:t>0.827</w:t>
            </w:r>
          </w:p>
        </w:tc>
        <w:tc>
          <w:tcPr>
            <w:tcW w:type="dxa" w:w="831"/>
            <w:vAlign w:val="center"/>
          </w:tcPr>
          <w:p>
            <w:r>
              <w:rPr>
                <w:rFonts w:ascii="Arial" w:hAnsi="Arial"/>
                <w:b w:val="0"/>
                <w:sz w:val="15"/>
              </w:rPr>
              <w:t>0.821</w:t>
            </w:r>
          </w:p>
        </w:tc>
        <w:tc>
          <w:tcPr>
            <w:tcW w:type="dxa" w:w="831"/>
            <w:vAlign w:val="center"/>
          </w:tcPr>
          <w:p>
            <w:r>
              <w:rPr>
                <w:rFonts w:ascii="Arial" w:hAnsi="Arial"/>
                <w:b w:val="0"/>
                <w:sz w:val="15"/>
              </w:rPr>
              <w:t>0.829</w:t>
            </w:r>
          </w:p>
        </w:tc>
        <w:tc>
          <w:tcPr>
            <w:tcW w:type="dxa" w:w="831"/>
            <w:vAlign w:val="center"/>
          </w:tcPr>
          <w:p>
            <w:r>
              <w:rPr>
                <w:rFonts w:ascii="Arial" w:hAnsi="Arial"/>
                <w:b w:val="0"/>
                <w:sz w:val="15"/>
              </w:rPr>
              <w:t>0.629</w:t>
            </w:r>
          </w:p>
        </w:tc>
        <w:tc>
          <w:tcPr>
            <w:tcW w:type="dxa" w:w="831"/>
            <w:vAlign w:val="center"/>
          </w:tcPr>
          <w:p>
            <w:r>
              <w:rPr>
                <w:rFonts w:ascii="Arial" w:hAnsi="Arial"/>
                <w:b w:val="0"/>
                <w:sz w:val="15"/>
              </w:rPr>
              <w:t>0.780</w:t>
            </w:r>
          </w:p>
        </w:tc>
        <w:tc>
          <w:tcPr>
            <w:tcW w:type="dxa" w:w="831"/>
            <w:vAlign w:val="center"/>
          </w:tcPr>
          <w:p>
            <w:r>
              <w:rPr>
                <w:rFonts w:ascii="Arial" w:hAnsi="Arial"/>
                <w:b w:val="0"/>
                <w:sz w:val="15"/>
              </w:rPr>
              <w:t>0.697</w:t>
            </w:r>
          </w:p>
        </w:tc>
        <w:tc>
          <w:tcPr>
            <w:tcW w:type="dxa" w:w="831"/>
            <w:vAlign w:val="center"/>
          </w:tcPr>
          <w:p>
            <w:r>
              <w:rPr>
                <w:rFonts w:ascii="Arial" w:hAnsi="Arial"/>
                <w:b w:val="0"/>
                <w:sz w:val="15"/>
              </w:rPr>
              <w:t>0.880</w:t>
            </w:r>
          </w:p>
        </w:tc>
        <w:tc>
          <w:tcPr>
            <w:tcW w:type="dxa" w:w="831"/>
            <w:vAlign w:val="center"/>
          </w:tcPr>
          <w:p>
            <w:r>
              <w:rPr>
                <w:rFonts w:ascii="Arial" w:hAnsi="Arial"/>
                <w:b w:val="0"/>
                <w:sz w:val="15"/>
              </w:rPr>
              <w:t>0.738</w:t>
            </w:r>
          </w:p>
        </w:tc>
        <w:tc>
          <w:tcPr>
            <w:tcW w:type="dxa" w:w="831"/>
            <w:vAlign w:val="center"/>
          </w:tcPr>
          <w:p>
            <w:r>
              <w:rPr>
                <w:rFonts w:ascii="Arial" w:hAnsi="Arial"/>
                <w:b w:val="0"/>
                <w:sz w:val="15"/>
              </w:rPr>
              <w:t>0.941</w:t>
            </w:r>
          </w:p>
        </w:tc>
      </w:tr>
      <w:tr>
        <w:tc>
          <w:tcPr>
            <w:tcW w:type="dxa" w:w="831"/>
            <w:vAlign w:val="center"/>
          </w:tcPr>
          <w:p>
            <w:r>
              <w:rPr>
                <w:rFonts w:ascii="Arial" w:hAnsi="Arial"/>
                <w:b w:val="0"/>
                <w:sz w:val="15"/>
              </w:rPr>
              <w:t>ResNet50</w:t>
            </w:r>
          </w:p>
        </w:tc>
        <w:tc>
          <w:tcPr>
            <w:tcW w:type="dxa" w:w="831"/>
            <w:vAlign w:val="center"/>
          </w:tcPr>
          <w:p>
            <w:r>
              <w:rPr>
                <w:rFonts w:ascii="Arial" w:hAnsi="Arial"/>
                <w:b w:val="0"/>
                <w:sz w:val="15"/>
              </w:rPr>
              <w:t>Non</w:t>
            </w:r>
          </w:p>
        </w:tc>
        <w:tc>
          <w:tcPr>
            <w:tcW w:type="dxa" w:w="831"/>
            <w:vAlign w:val="center"/>
          </w:tcPr>
          <w:p>
            <w:r>
              <w:rPr>
                <w:rFonts w:ascii="Arial" w:hAnsi="Arial"/>
                <w:b w:val="0"/>
                <w:sz w:val="15"/>
              </w:rPr>
              <w:t>Non</w:t>
            </w:r>
          </w:p>
        </w:tc>
        <w:tc>
          <w:tcPr>
            <w:tcW w:type="dxa" w:w="831"/>
            <w:vAlign w:val="center"/>
          </w:tcPr>
          <w:p>
            <w:r>
              <w:rPr>
                <w:rFonts w:ascii="Arial" w:hAnsi="Arial"/>
                <w:b w:val="0"/>
                <w:sz w:val="15"/>
              </w:rPr>
              <w:t>0.859</w:t>
            </w:r>
          </w:p>
        </w:tc>
        <w:tc>
          <w:tcPr>
            <w:tcW w:type="dxa" w:w="831"/>
            <w:vAlign w:val="center"/>
          </w:tcPr>
          <w:p>
            <w:r>
              <w:rPr>
                <w:rFonts w:ascii="Arial" w:hAnsi="Arial"/>
                <w:b w:val="0"/>
                <w:sz w:val="15"/>
              </w:rPr>
              <w:t>0.855</w:t>
            </w:r>
          </w:p>
        </w:tc>
        <w:tc>
          <w:tcPr>
            <w:tcW w:type="dxa" w:w="831"/>
            <w:vAlign w:val="center"/>
          </w:tcPr>
          <w:p>
            <w:r>
              <w:rPr>
                <w:rFonts w:ascii="Arial" w:hAnsi="Arial"/>
                <w:b w:val="0"/>
                <w:sz w:val="15"/>
              </w:rPr>
              <w:t>0.859</w:t>
            </w:r>
          </w:p>
        </w:tc>
        <w:tc>
          <w:tcPr>
            <w:tcW w:type="dxa" w:w="831"/>
            <w:vAlign w:val="center"/>
          </w:tcPr>
          <w:p>
            <w:r>
              <w:rPr>
                <w:rFonts w:ascii="Arial" w:hAnsi="Arial"/>
                <w:b w:val="0"/>
                <w:sz w:val="15"/>
              </w:rPr>
              <w:t>0.726</w:t>
            </w:r>
          </w:p>
        </w:tc>
        <w:tc>
          <w:tcPr>
            <w:tcW w:type="dxa" w:w="831"/>
            <w:vAlign w:val="center"/>
          </w:tcPr>
          <w:p>
            <w:r>
              <w:rPr>
                <w:rFonts w:ascii="Arial" w:hAnsi="Arial"/>
                <w:b w:val="0"/>
                <w:sz w:val="15"/>
              </w:rPr>
              <w:t>0.773</w:t>
            </w:r>
          </w:p>
        </w:tc>
        <w:tc>
          <w:tcPr>
            <w:tcW w:type="dxa" w:w="831"/>
            <w:vAlign w:val="center"/>
          </w:tcPr>
          <w:p>
            <w:r>
              <w:rPr>
                <w:rFonts w:ascii="Arial" w:hAnsi="Arial"/>
                <w:b w:val="0"/>
                <w:sz w:val="15"/>
              </w:rPr>
              <w:t>0.749</w:t>
            </w:r>
          </w:p>
        </w:tc>
        <w:tc>
          <w:tcPr>
            <w:tcW w:type="dxa" w:w="831"/>
            <w:vAlign w:val="center"/>
          </w:tcPr>
          <w:p>
            <w:r>
              <w:rPr>
                <w:rFonts w:ascii="Arial" w:hAnsi="Arial"/>
                <w:b w:val="0"/>
                <w:sz w:val="15"/>
              </w:rPr>
              <w:t>0.922</w:t>
            </w:r>
          </w:p>
        </w:tc>
        <w:tc>
          <w:tcPr>
            <w:tcW w:type="dxa" w:w="831"/>
            <w:vAlign w:val="center"/>
          </w:tcPr>
          <w:p>
            <w:r>
              <w:rPr>
                <w:rFonts w:ascii="Arial" w:hAnsi="Arial"/>
                <w:b w:val="0"/>
                <w:sz w:val="15"/>
              </w:rPr>
              <w:t>0.798</w:t>
            </w:r>
          </w:p>
        </w:tc>
        <w:tc>
          <w:tcPr>
            <w:tcW w:type="dxa" w:w="831"/>
            <w:vAlign w:val="center"/>
          </w:tcPr>
          <w:p>
            <w:r>
              <w:rPr>
                <w:rFonts w:ascii="Arial" w:hAnsi="Arial"/>
                <w:b w:val="0"/>
                <w:sz w:val="15"/>
              </w:rPr>
              <w:t>0.891</w:t>
            </w:r>
          </w:p>
        </w:tc>
      </w:tr>
      <w:tr>
        <w:tc>
          <w:tcPr>
            <w:tcW w:type="dxa" w:w="831"/>
            <w:vAlign w:val="center"/>
          </w:tcPr>
          <w:p>
            <w:r>
              <w:rPr>
                <w:rFonts w:ascii="Arial" w:hAnsi="Arial"/>
                <w:b w:val="0"/>
                <w:sz w:val="15"/>
              </w:rPr>
              <w:t>ResNet50</w:t>
            </w:r>
          </w:p>
        </w:tc>
        <w:tc>
          <w:tcPr>
            <w:tcW w:type="dxa" w:w="831"/>
            <w:vAlign w:val="center"/>
          </w:tcPr>
          <w:p>
            <w:r>
              <w:rPr>
                <w:rFonts w:ascii="Arial" w:hAnsi="Arial"/>
                <w:b w:val="0"/>
                <w:sz w:val="15"/>
              </w:rPr>
              <w:t>Oui</w:t>
            </w:r>
          </w:p>
        </w:tc>
        <w:tc>
          <w:tcPr>
            <w:tcW w:type="dxa" w:w="831"/>
            <w:vAlign w:val="center"/>
          </w:tcPr>
          <w:p>
            <w:r>
              <w:rPr>
                <w:rFonts w:ascii="Arial" w:hAnsi="Arial"/>
                <w:b w:val="0"/>
                <w:sz w:val="15"/>
              </w:rPr>
              <w:t>Oui</w:t>
            </w:r>
          </w:p>
        </w:tc>
        <w:tc>
          <w:tcPr>
            <w:tcW w:type="dxa" w:w="831"/>
            <w:vAlign w:val="center"/>
          </w:tcPr>
          <w:p>
            <w:r>
              <w:rPr>
                <w:rFonts w:ascii="Arial" w:hAnsi="Arial"/>
                <w:b w:val="0"/>
                <w:sz w:val="15"/>
              </w:rPr>
              <w:t>0.830</w:t>
            </w:r>
          </w:p>
        </w:tc>
        <w:tc>
          <w:tcPr>
            <w:tcW w:type="dxa" w:w="831"/>
            <w:vAlign w:val="center"/>
          </w:tcPr>
          <w:p>
            <w:r>
              <w:rPr>
                <w:rFonts w:ascii="Arial" w:hAnsi="Arial"/>
                <w:b w:val="0"/>
                <w:sz w:val="15"/>
              </w:rPr>
              <w:t>0.815</w:t>
            </w:r>
          </w:p>
        </w:tc>
        <w:tc>
          <w:tcPr>
            <w:tcW w:type="dxa" w:w="831"/>
            <w:vAlign w:val="center"/>
          </w:tcPr>
          <w:p>
            <w:r>
              <w:rPr>
                <w:rFonts w:ascii="Arial" w:hAnsi="Arial"/>
                <w:b w:val="0"/>
                <w:sz w:val="15"/>
              </w:rPr>
              <w:t>0.827</w:t>
            </w:r>
          </w:p>
        </w:tc>
        <w:tc>
          <w:tcPr>
            <w:tcW w:type="dxa" w:w="831"/>
            <w:vAlign w:val="center"/>
          </w:tcPr>
          <w:p>
            <w:r>
              <w:rPr>
                <w:rFonts w:ascii="Arial" w:hAnsi="Arial"/>
                <w:b w:val="0"/>
                <w:sz w:val="15"/>
              </w:rPr>
              <w:t>0.739</w:t>
            </w:r>
          </w:p>
        </w:tc>
        <w:tc>
          <w:tcPr>
            <w:tcW w:type="dxa" w:w="831"/>
            <w:vAlign w:val="center"/>
          </w:tcPr>
          <w:p>
            <w:r>
              <w:rPr>
                <w:rFonts w:ascii="Arial" w:hAnsi="Arial"/>
                <w:b w:val="0"/>
                <w:sz w:val="15"/>
              </w:rPr>
              <w:t>0.664</w:t>
            </w:r>
          </w:p>
        </w:tc>
        <w:tc>
          <w:tcPr>
            <w:tcW w:type="dxa" w:w="831"/>
            <w:vAlign w:val="center"/>
          </w:tcPr>
          <w:p>
            <w:r>
              <w:rPr>
                <w:rFonts w:ascii="Arial" w:hAnsi="Arial"/>
                <w:b w:val="0"/>
                <w:sz w:val="15"/>
              </w:rPr>
              <w:t>0.700</w:t>
            </w:r>
          </w:p>
        </w:tc>
        <w:tc>
          <w:tcPr>
            <w:tcW w:type="dxa" w:w="831"/>
            <w:vAlign w:val="center"/>
          </w:tcPr>
          <w:p>
            <w:r>
              <w:rPr>
                <w:rFonts w:ascii="Arial" w:hAnsi="Arial"/>
                <w:b w:val="0"/>
                <w:sz w:val="15"/>
              </w:rPr>
              <w:t>0.926</w:t>
            </w:r>
          </w:p>
        </w:tc>
        <w:tc>
          <w:tcPr>
            <w:tcW w:type="dxa" w:w="831"/>
            <w:vAlign w:val="center"/>
          </w:tcPr>
          <w:p>
            <w:r>
              <w:rPr>
                <w:rFonts w:ascii="Arial" w:hAnsi="Arial"/>
                <w:b w:val="0"/>
                <w:sz w:val="15"/>
              </w:rPr>
              <w:t>0.743</w:t>
            </w:r>
          </w:p>
        </w:tc>
        <w:tc>
          <w:tcPr>
            <w:tcW w:type="dxa" w:w="831"/>
            <w:vAlign w:val="center"/>
          </w:tcPr>
          <w:p>
            <w:r>
              <w:rPr>
                <w:rFonts w:ascii="Arial" w:hAnsi="Arial"/>
                <w:b w:val="0"/>
                <w:sz w:val="15"/>
              </w:rPr>
              <w:t>0.941</w:t>
            </w:r>
          </w:p>
        </w:tc>
      </w:tr>
      <w:tr>
        <w:tc>
          <w:tcPr>
            <w:tcW w:type="dxa" w:w="831"/>
            <w:vAlign w:val="center"/>
          </w:tcPr>
          <w:p>
            <w:r>
              <w:rPr>
                <w:rFonts w:ascii="Arial" w:hAnsi="Arial"/>
                <w:b w:val="0"/>
                <w:sz w:val="15"/>
              </w:rPr>
              <w:t>VGG16</w:t>
            </w:r>
          </w:p>
        </w:tc>
        <w:tc>
          <w:tcPr>
            <w:tcW w:type="dxa" w:w="831"/>
            <w:vAlign w:val="center"/>
          </w:tcPr>
          <w:p>
            <w:r>
              <w:rPr>
                <w:rFonts w:ascii="Arial" w:hAnsi="Arial"/>
                <w:b w:val="0"/>
                <w:sz w:val="15"/>
              </w:rPr>
              <w:t>Non</w:t>
            </w:r>
          </w:p>
        </w:tc>
        <w:tc>
          <w:tcPr>
            <w:tcW w:type="dxa" w:w="831"/>
            <w:vAlign w:val="center"/>
          </w:tcPr>
          <w:p>
            <w:r>
              <w:rPr>
                <w:rFonts w:ascii="Arial" w:hAnsi="Arial"/>
                <w:b w:val="0"/>
                <w:sz w:val="15"/>
              </w:rPr>
              <w:t>Non</w:t>
            </w:r>
          </w:p>
        </w:tc>
        <w:tc>
          <w:tcPr>
            <w:tcW w:type="dxa" w:w="831"/>
            <w:vAlign w:val="center"/>
          </w:tcPr>
          <w:p>
            <w:r>
              <w:rPr>
                <w:rFonts w:ascii="Arial" w:hAnsi="Arial"/>
                <w:b w:val="0"/>
                <w:sz w:val="15"/>
              </w:rPr>
              <w:t>0.886</w:t>
            </w:r>
          </w:p>
        </w:tc>
        <w:tc>
          <w:tcPr>
            <w:tcW w:type="dxa" w:w="831"/>
            <w:vAlign w:val="center"/>
          </w:tcPr>
          <w:p>
            <w:r>
              <w:rPr>
                <w:rFonts w:ascii="Arial" w:hAnsi="Arial"/>
                <w:b w:val="0"/>
                <w:sz w:val="15"/>
              </w:rPr>
              <w:t>0.880</w:t>
            </w:r>
          </w:p>
        </w:tc>
        <w:tc>
          <w:tcPr>
            <w:tcW w:type="dxa" w:w="831"/>
            <w:vAlign w:val="center"/>
          </w:tcPr>
          <w:p>
            <w:r>
              <w:rPr>
                <w:rFonts w:ascii="Arial" w:hAnsi="Arial"/>
                <w:b w:val="0"/>
                <w:sz w:val="15"/>
              </w:rPr>
              <w:t>0.885</w:t>
            </w:r>
          </w:p>
        </w:tc>
        <w:tc>
          <w:tcPr>
            <w:tcW w:type="dxa" w:w="831"/>
            <w:vAlign w:val="center"/>
          </w:tcPr>
          <w:p>
            <w:r>
              <w:rPr>
                <w:rFonts w:ascii="Arial" w:hAnsi="Arial"/>
                <w:b w:val="0"/>
                <w:sz w:val="15"/>
              </w:rPr>
              <w:t>0.819</w:t>
            </w:r>
          </w:p>
        </w:tc>
        <w:tc>
          <w:tcPr>
            <w:tcW w:type="dxa" w:w="831"/>
            <w:vAlign w:val="center"/>
          </w:tcPr>
          <w:p>
            <w:r>
              <w:rPr>
                <w:rFonts w:ascii="Arial" w:hAnsi="Arial"/>
                <w:b w:val="0"/>
                <w:sz w:val="15"/>
              </w:rPr>
              <w:t>0.810</w:t>
            </w:r>
          </w:p>
        </w:tc>
        <w:tc>
          <w:tcPr>
            <w:tcW w:type="dxa" w:w="831"/>
            <w:vAlign w:val="center"/>
          </w:tcPr>
          <w:p>
            <w:r>
              <w:rPr>
                <w:rFonts w:ascii="Arial" w:hAnsi="Arial"/>
                <w:b w:val="0"/>
                <w:sz w:val="15"/>
              </w:rPr>
              <w:t>0.814</w:t>
            </w:r>
          </w:p>
        </w:tc>
        <w:tc>
          <w:tcPr>
            <w:tcW w:type="dxa" w:w="831"/>
            <w:vAlign w:val="center"/>
          </w:tcPr>
          <w:p>
            <w:r>
              <w:rPr>
                <w:rFonts w:ascii="Arial" w:hAnsi="Arial"/>
                <w:b w:val="0"/>
                <w:sz w:val="15"/>
              </w:rPr>
              <w:t>0.956</w:t>
            </w:r>
          </w:p>
        </w:tc>
        <w:tc>
          <w:tcPr>
            <w:tcW w:type="dxa" w:w="831"/>
            <w:vAlign w:val="center"/>
          </w:tcPr>
          <w:p>
            <w:r>
              <w:rPr>
                <w:rFonts w:ascii="Arial" w:hAnsi="Arial"/>
                <w:b w:val="0"/>
                <w:sz w:val="15"/>
              </w:rPr>
              <w:t>0.808</w:t>
            </w:r>
          </w:p>
        </w:tc>
        <w:tc>
          <w:tcPr>
            <w:tcW w:type="dxa" w:w="831"/>
            <w:vAlign w:val="center"/>
          </w:tcPr>
          <w:p>
            <w:r>
              <w:rPr>
                <w:rFonts w:ascii="Arial" w:hAnsi="Arial"/>
                <w:b w:val="0"/>
                <w:sz w:val="15"/>
              </w:rPr>
              <w:t>0.916</w:t>
            </w:r>
          </w:p>
        </w:tc>
      </w:tr>
      <w:tr>
        <w:tc>
          <w:tcPr>
            <w:tcW w:type="dxa" w:w="831"/>
            <w:vAlign w:val="center"/>
          </w:tcPr>
          <w:p>
            <w:r>
              <w:rPr>
                <w:rFonts w:ascii="Arial" w:hAnsi="Arial"/>
                <w:b w:val="0"/>
                <w:sz w:val="15"/>
              </w:rPr>
              <w:t>VGG16</w:t>
            </w:r>
          </w:p>
        </w:tc>
        <w:tc>
          <w:tcPr>
            <w:tcW w:type="dxa" w:w="831"/>
            <w:vAlign w:val="center"/>
          </w:tcPr>
          <w:p>
            <w:r>
              <w:rPr>
                <w:rFonts w:ascii="Arial" w:hAnsi="Arial"/>
                <w:b w:val="0"/>
                <w:sz w:val="15"/>
              </w:rPr>
              <w:t>Oui</w:t>
            </w:r>
          </w:p>
        </w:tc>
        <w:tc>
          <w:tcPr>
            <w:tcW w:type="dxa" w:w="831"/>
            <w:vAlign w:val="center"/>
          </w:tcPr>
          <w:p>
            <w:r>
              <w:rPr>
                <w:rFonts w:ascii="Arial" w:hAnsi="Arial"/>
                <w:b w:val="0"/>
                <w:sz w:val="15"/>
              </w:rPr>
              <w:t>Oui</w:t>
            </w:r>
          </w:p>
        </w:tc>
        <w:tc>
          <w:tcPr>
            <w:tcW w:type="dxa" w:w="831"/>
            <w:vAlign w:val="center"/>
          </w:tcPr>
          <w:p>
            <w:r>
              <w:rPr>
                <w:rFonts w:ascii="Arial" w:hAnsi="Arial"/>
                <w:b w:val="0"/>
                <w:sz w:val="15"/>
              </w:rPr>
              <w:t>0.877</w:t>
            </w:r>
          </w:p>
        </w:tc>
        <w:tc>
          <w:tcPr>
            <w:tcW w:type="dxa" w:w="831"/>
            <w:vAlign w:val="center"/>
          </w:tcPr>
          <w:p>
            <w:r>
              <w:rPr>
                <w:rFonts w:ascii="Arial" w:hAnsi="Arial"/>
                <w:b w:val="0"/>
                <w:sz w:val="15"/>
              </w:rPr>
              <w:t>0.875</w:t>
            </w:r>
          </w:p>
        </w:tc>
        <w:tc>
          <w:tcPr>
            <w:tcW w:type="dxa" w:w="831"/>
            <w:vAlign w:val="center"/>
          </w:tcPr>
          <w:p>
            <w:r>
              <w:rPr>
                <w:rFonts w:ascii="Arial" w:hAnsi="Arial"/>
                <w:b w:val="0"/>
                <w:sz w:val="15"/>
              </w:rPr>
              <w:t>0.877</w:t>
            </w:r>
          </w:p>
        </w:tc>
        <w:tc>
          <w:tcPr>
            <w:tcW w:type="dxa" w:w="831"/>
            <w:vAlign w:val="center"/>
          </w:tcPr>
          <w:p>
            <w:r>
              <w:rPr>
                <w:rFonts w:ascii="Arial" w:hAnsi="Arial"/>
                <w:b w:val="0"/>
                <w:sz w:val="15"/>
              </w:rPr>
              <w:t>0.780</w:t>
            </w:r>
          </w:p>
        </w:tc>
        <w:tc>
          <w:tcPr>
            <w:tcW w:type="dxa" w:w="831"/>
            <w:vAlign w:val="center"/>
          </w:tcPr>
          <w:p>
            <w:r>
              <w:rPr>
                <w:rFonts w:ascii="Arial" w:hAnsi="Arial"/>
                <w:b w:val="0"/>
                <w:sz w:val="15"/>
              </w:rPr>
              <w:t>0.825</w:t>
            </w:r>
          </w:p>
        </w:tc>
        <w:tc>
          <w:tcPr>
            <w:tcW w:type="dxa" w:w="831"/>
            <w:vAlign w:val="center"/>
          </w:tcPr>
          <w:p>
            <w:r>
              <w:rPr>
                <w:rFonts w:ascii="Arial" w:hAnsi="Arial"/>
                <w:b w:val="0"/>
                <w:sz w:val="15"/>
              </w:rPr>
              <w:t>0.802</w:t>
            </w:r>
          </w:p>
        </w:tc>
        <w:tc>
          <w:tcPr>
            <w:tcW w:type="dxa" w:w="831"/>
            <w:vAlign w:val="center"/>
          </w:tcPr>
          <w:p>
            <w:r>
              <w:rPr>
                <w:rFonts w:ascii="Arial" w:hAnsi="Arial"/>
                <w:b w:val="0"/>
                <w:sz w:val="15"/>
              </w:rPr>
              <w:t>0.920</w:t>
            </w:r>
          </w:p>
        </w:tc>
        <w:tc>
          <w:tcPr>
            <w:tcW w:type="dxa" w:w="831"/>
            <w:vAlign w:val="center"/>
          </w:tcPr>
          <w:p>
            <w:r>
              <w:rPr>
                <w:rFonts w:ascii="Arial" w:hAnsi="Arial"/>
                <w:b w:val="0"/>
                <w:sz w:val="15"/>
              </w:rPr>
              <w:t>0.820</w:t>
            </w:r>
          </w:p>
        </w:tc>
        <w:tc>
          <w:tcPr>
            <w:tcW w:type="dxa" w:w="831"/>
            <w:vAlign w:val="center"/>
          </w:tcPr>
          <w:p>
            <w:r>
              <w:rPr>
                <w:rFonts w:ascii="Arial" w:hAnsi="Arial"/>
                <w:b w:val="0"/>
                <w:sz w:val="15"/>
              </w:rPr>
              <w:t>0.946</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