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/>
        <w:jc w:val="center"/>
      </w:pPr>
      <w:r>
        <w:rPr>
          <w:rFonts w:ascii="Gill Sans MT" w:hAnsi="Gill Sans MT"/>
          <w:b/>
          <w:sz w:val="44"/>
        </w:rPr>
        <w:t>MARA JORGENSEN</w:t>
      </w:r>
    </w:p>
    <w:p>
      <w:pPr>
        <w:spacing w:after="0" w:line="240" w:lineRule="auto"/>
        <w:jc w:val="center"/>
      </w:pPr>
      <w:r>
        <w:rPr>
          <w:rFonts w:ascii="Gill Sans MT" w:hAnsi="Gill Sans MT"/>
          <w:i/>
          <w:color w:val="537685"/>
          <w:sz w:val="22"/>
        </w:rPr>
        <w:t>Insurance Domain Expert | AI Evaluation &amp; Prompt Engineering</w:t>
      </w:r>
    </w:p>
    <w:p>
      <w:pPr>
        <w:spacing w:after="120" w:line="240" w:lineRule="auto"/>
        <w:jc w:val="center"/>
      </w:pPr>
      <w:r>
        <w:rPr>
          <w:rFonts w:ascii="Calibri" w:hAnsi="Calibri"/>
          <w:color w:val="3D3D3D"/>
          <w:sz w:val="20"/>
        </w:rPr>
        <w:t xml:space="preserve">+1-712-898-2341 | </w:t>
      </w:r>
      <w:hyperlink r:id="rId9">
        <w:r>
          <w:rPr>
            <w:color w:val="3D3D3D"/>
            <w:u w:val="single"/>
            <w:sz w:val="20"/>
            <w:szCs w:val="20"/>
            <w:rFonts w:ascii="Calibri" w:hAnsi="Calibri"/>
          </w:rPr>
          <w:t>mara.jorgensen@gmail.com</w:t>
        </w:r>
      </w:hyperlink>
      <w:r>
        <w:rPr>
          <w:rFonts w:ascii="Calibri" w:hAnsi="Calibri"/>
          <w:color w:val="3D3D3D"/>
          <w:sz w:val="20"/>
        </w:rPr>
        <w:t xml:space="preserve"> | </w:t>
      </w:r>
      <w:hyperlink r:id="rId10">
        <w:r>
          <w:rPr>
            <w:color w:val="3D3D3D"/>
            <w:u w:val="single"/>
            <w:sz w:val="20"/>
            <w:szCs w:val="20"/>
            <w:rFonts w:ascii="Calibri" w:hAnsi="Calibri"/>
          </w:rPr>
          <w:t>LinkedIn</w:t>
        </w:r>
      </w:hyperlink>
    </w:p>
    <w:p>
      <w:pPr>
        <w:spacing w:before="240" w:after="120" w:line="240" w:lineRule="auto"/>
        <w:jc w:val="left"/>
        <w:pBdr>
          <w:bottom w:val="single" w:sz="6" w:color="537685"/>
        </w:pBdr>
      </w:pPr>
      <w:r>
        <w:rPr>
          <w:b/>
          <w:color w:val="537685"/>
          <w:sz w:val="24"/>
        </w:rPr>
        <w:t>Summary</w:t>
      </w:r>
    </w:p>
    <w:p>
      <w:pPr>
        <w:spacing w:after="120" w:line="240" w:lineRule="auto"/>
      </w:pPr>
      <w:r>
        <w:rPr>
          <w:rFonts w:ascii="Calibri" w:hAnsi="Calibri"/>
          <w:sz w:val="21"/>
        </w:rPr>
        <w:t>Insurance domain expert and AI expert with 10+ years of experience spanning trucking/commercial auto, health insurance enrollment, and crop insurance. Hands-on AI/LLM expertise in prompt engineering, model evaluation, and rubric development. Led a trucking insurance compliance product from 0-1 that increased ARR by 20%. I bridge deep insurance knowledge (policy lifecycle, risk assessment, regulatory compliance) with technical AI capabilities to evaluate and improve AI model outputs for accuracy, bias, and compliance. Experienced collaborator with cross-functional teams including data science, engineering, and product.</w:t>
      </w:r>
    </w:p>
    <w:p>
      <w:pPr>
        <w:spacing w:before="240" w:after="120" w:line="240" w:lineRule="auto"/>
        <w:jc w:val="left"/>
        <w:pBdr>
          <w:bottom w:val="single" w:sz="6" w:color="537685"/>
        </w:pBdr>
      </w:pPr>
      <w:r>
        <w:rPr>
          <w:b/>
          <w:color w:val="537685"/>
          <w:sz w:val="24"/>
        </w:rPr>
        <w:t>Skills</w:t>
      </w:r>
    </w:p>
    <w:p>
      <w:pPr>
        <w:spacing w:before="80" w:after="40" w:line="240" w:lineRule="auto"/>
      </w:pPr>
      <w:r>
        <w:rPr>
          <w:rFonts w:ascii="Gill Sans MT" w:hAnsi="Gill Sans MT"/>
          <w:b/>
          <w:sz w:val="21"/>
        </w:rPr>
        <w:t>Insurance Domain Expertise</w:t>
      </w:r>
    </w:p>
    <w:p>
      <w:pPr>
        <w:pStyle w:val="ListBullet"/>
        <w:spacing w:after="40" w:line="240" w:lineRule="auto"/>
      </w:pPr>
      <w:r>
        <w:rPr>
          <w:rFonts w:ascii="Calibri" w:hAnsi="Calibri"/>
          <w:sz w:val="20"/>
        </w:rPr>
        <w:t>Trucking/Commercial Auto Insurance &amp; FMCSA Compliance</w:t>
      </w:r>
    </w:p>
    <w:p>
      <w:pPr>
        <w:pStyle w:val="ListBullet"/>
        <w:spacing w:after="40" w:line="240" w:lineRule="auto"/>
      </w:pPr>
      <w:r>
        <w:rPr>
          <w:rFonts w:ascii="Calibri" w:hAnsi="Calibri"/>
          <w:sz w:val="20"/>
        </w:rPr>
        <w:t>Health Insurance Enrollment &amp; PHI Compliance</w:t>
      </w:r>
    </w:p>
    <w:p>
      <w:pPr>
        <w:pStyle w:val="ListBullet"/>
        <w:spacing w:after="40" w:line="240" w:lineRule="auto"/>
      </w:pPr>
      <w:r>
        <w:rPr>
          <w:rFonts w:ascii="Calibri" w:hAnsi="Calibri"/>
          <w:sz w:val="20"/>
        </w:rPr>
        <w:t>Crop Insurance Risk Assessment</w:t>
      </w:r>
    </w:p>
    <w:p>
      <w:pPr>
        <w:pStyle w:val="ListBullet"/>
        <w:spacing w:after="40" w:line="240" w:lineRule="auto"/>
      </w:pPr>
      <w:r>
        <w:rPr>
          <w:rFonts w:ascii="Calibri" w:hAnsi="Calibri"/>
          <w:sz w:val="20"/>
        </w:rPr>
        <w:t>Policy Lifecycle, Retention &amp; Renewal Analysis</w:t>
      </w:r>
    </w:p>
    <w:p>
      <w:pPr>
        <w:pStyle w:val="ListBullet"/>
        <w:spacing w:after="40" w:line="240" w:lineRule="auto"/>
      </w:pPr>
      <w:r>
        <w:rPr>
          <w:rFonts w:ascii="Calibri" w:hAnsi="Calibri"/>
          <w:sz w:val="20"/>
        </w:rPr>
        <w:t>Regulatory Frameworks &amp; Compliance Documentation</w:t>
      </w:r>
    </w:p>
    <w:p>
      <w:pPr>
        <w:spacing w:before="120" w:after="40" w:line="240" w:lineRule="auto"/>
      </w:pPr>
      <w:r>
        <w:rPr>
          <w:rFonts w:ascii="Gill Sans MT" w:hAnsi="Gill Sans MT"/>
          <w:b/>
          <w:sz w:val="21"/>
        </w:rPr>
        <w:t>AI Evaluation &amp; Prompt Engineering</w:t>
      </w:r>
    </w:p>
    <w:p>
      <w:pPr>
        <w:pStyle w:val="ListBullet"/>
        <w:spacing w:after="40" w:line="240" w:lineRule="auto"/>
      </w:pPr>
      <w:r>
        <w:rPr>
          <w:rFonts w:ascii="Calibri" w:hAnsi="Calibri"/>
          <w:sz w:val="20"/>
        </w:rPr>
        <w:t>Prompt Engineering &amp; System Prompt Design</w:t>
      </w:r>
    </w:p>
    <w:p>
      <w:pPr>
        <w:pStyle w:val="ListBullet"/>
        <w:spacing w:after="40" w:line="240" w:lineRule="auto"/>
      </w:pPr>
      <w:r>
        <w:rPr>
          <w:rFonts w:ascii="Calibri" w:hAnsi="Calibri"/>
          <w:sz w:val="20"/>
        </w:rPr>
        <w:t>Evaluation Rubrics &amp; Golden Response Development</w:t>
      </w:r>
    </w:p>
    <w:p>
      <w:pPr>
        <w:pStyle w:val="ListBullet"/>
        <w:spacing w:after="40" w:line="240" w:lineRule="auto"/>
      </w:pPr>
      <w:r>
        <w:rPr>
          <w:rFonts w:ascii="Calibri" w:hAnsi="Calibri"/>
          <w:sz w:val="20"/>
        </w:rPr>
        <w:t>Model Output Validation (Accuracy, Bias, Compliance)</w:t>
      </w:r>
    </w:p>
    <w:p>
      <w:pPr>
        <w:pStyle w:val="ListBullet"/>
        <w:spacing w:after="40" w:line="240" w:lineRule="auto"/>
      </w:pPr>
      <w:r>
        <w:rPr>
          <w:rFonts w:ascii="Calibri" w:hAnsi="Calibri"/>
          <w:sz w:val="20"/>
        </w:rPr>
        <w:t>Data Annotation Guidelines &amp; Quality Assurance</w:t>
      </w:r>
    </w:p>
    <w:p>
      <w:pPr>
        <w:pStyle w:val="ListBullet"/>
        <w:spacing w:after="40" w:line="240" w:lineRule="auto"/>
      </w:pPr>
      <w:r>
        <w:rPr>
          <w:rFonts w:ascii="Calibri" w:hAnsi="Calibri"/>
          <w:sz w:val="20"/>
        </w:rPr>
        <w:t>Explainable AI Framework Design</w:t>
      </w:r>
    </w:p>
    <w:p>
      <w:pPr>
        <w:spacing w:before="120" w:after="40" w:line="240" w:lineRule="auto"/>
      </w:pPr>
      <w:r>
        <w:rPr>
          <w:rFonts w:ascii="Gill Sans MT" w:hAnsi="Gill Sans MT"/>
          <w:b/>
          <w:sz w:val="21"/>
        </w:rPr>
        <w:t>Technical &amp; Collaboration</w:t>
      </w:r>
    </w:p>
    <w:p>
      <w:pPr>
        <w:pStyle w:val="ListBullet"/>
        <w:spacing w:after="40" w:line="240" w:lineRule="auto"/>
      </w:pPr>
      <w:r>
        <w:rPr>
          <w:rFonts w:ascii="Calibri" w:hAnsi="Calibri"/>
          <w:sz w:val="20"/>
        </w:rPr>
        <w:t>AI Tools: Azure AI Foundry, n8n, OpenAI, Claude, LLM Orchestration</w:t>
      </w:r>
    </w:p>
    <w:p>
      <w:pPr>
        <w:pStyle w:val="ListBullet"/>
        <w:spacing w:after="40" w:line="240" w:lineRule="auto"/>
      </w:pPr>
      <w:r>
        <w:rPr>
          <w:rFonts w:ascii="Calibri" w:hAnsi="Calibri"/>
          <w:sz w:val="20"/>
        </w:rPr>
        <w:t>Python, SQL, API Integrations</w:t>
      </w:r>
    </w:p>
    <w:p>
      <w:pPr>
        <w:pStyle w:val="ListBullet"/>
        <w:spacing w:after="40" w:line="240" w:lineRule="auto"/>
      </w:pPr>
      <w:r>
        <w:rPr>
          <w:rFonts w:ascii="Calibri" w:hAnsi="Calibri"/>
          <w:sz w:val="20"/>
        </w:rPr>
        <w:t>Cross-Functional Team Collaboration (Data Science, Engineering, Product)</w:t>
      </w:r>
    </w:p>
    <w:p>
      <w:pPr>
        <w:pStyle w:val="ListBullet"/>
        <w:spacing w:after="40" w:line="240" w:lineRule="auto"/>
      </w:pPr>
      <w:r>
        <w:rPr>
          <w:rFonts w:ascii="Calibri" w:hAnsi="Calibri"/>
          <w:sz w:val="20"/>
        </w:rPr>
        <w:t>Data Analytics, Dashboards &amp; Forecasting</w:t>
      </w:r>
    </w:p>
    <w:p>
      <w:pPr>
        <w:spacing w:before="240" w:after="120" w:line="240" w:lineRule="auto"/>
        <w:jc w:val="left"/>
        <w:pBdr>
          <w:bottom w:val="single" w:sz="6" w:color="537685"/>
        </w:pBdr>
      </w:pPr>
      <w:r>
        <w:rPr>
          <w:b/>
          <w:color w:val="537685"/>
          <w:sz w:val="24"/>
        </w:rPr>
        <w:t>Professional Experience</w:t>
      </w:r>
    </w:p>
    <w:p>
      <w:pPr>
        <w:spacing w:before="160" w:after="0" w:line="240" w:lineRule="auto"/>
      </w:pPr>
      <w:r>
        <w:rPr>
          <w:rFonts w:ascii="Gill Sans MT" w:hAnsi="Gill Sans MT"/>
          <w:b/>
          <w:sz w:val="22"/>
        </w:rPr>
        <w:t>CEO, AI &amp; Technical Implementation Strategist</w:t>
      </w:r>
    </w:p>
    <w:p>
      <w:pPr>
        <w:spacing w:after="40" w:line="240" w:lineRule="auto"/>
      </w:pPr>
      <w:r>
        <w:rPr>
          <w:rFonts w:ascii="Gill Sans MT" w:hAnsi="Gill Sans MT"/>
          <w:color w:val="537685"/>
          <w:sz w:val="20"/>
        </w:rPr>
        <w:t>Strategic Consulting Corp.</w:t>
      </w:r>
      <w:r>
        <w:rPr>
          <w:rFonts w:ascii="Calibri" w:hAnsi="Calibri"/>
          <w:sz w:val="20"/>
        </w:rPr>
        <w:t xml:space="preserve"> | 1/2020 - Present</w:t>
      </w:r>
    </w:p>
    <w:p>
      <w:pPr>
        <w:pStyle w:val="ListBullet"/>
        <w:spacing w:after="40" w:line="240" w:lineRule="auto"/>
      </w:pPr>
      <w:r>
        <w:rPr>
          <w:rFonts w:ascii="Calibri" w:hAnsi="Calibri"/>
          <w:b/>
          <w:sz w:val="20"/>
        </w:rPr>
        <w:t xml:space="preserve">AI Application Development: </w:t>
      </w:r>
      <w:r>
        <w:rPr>
          <w:rFonts w:ascii="Calibri" w:hAnsi="Calibri"/>
          <w:sz w:val="20"/>
        </w:rPr>
        <w:t>Build AI/LLM applications for insurance and enterprise clients, including health insurance enrollment and crop insurance risk assessment tools</w:t>
      </w:r>
    </w:p>
    <w:p>
      <w:pPr>
        <w:pStyle w:val="ListBullet"/>
        <w:spacing w:after="40" w:line="240" w:lineRule="auto"/>
      </w:pPr>
      <w:r>
        <w:rPr>
          <w:rFonts w:ascii="Calibri" w:hAnsi="Calibri"/>
          <w:b/>
          <w:sz w:val="20"/>
        </w:rPr>
        <w:t xml:space="preserve">Prompt Engineering &amp; Evaluation: </w:t>
      </w:r>
      <w:r>
        <w:rPr>
          <w:rFonts w:ascii="Calibri" w:hAnsi="Calibri"/>
          <w:sz w:val="20"/>
        </w:rPr>
        <w:t>Design system prompts, develop evaluation rubrics and golden responses, and validate model outputs against real-world insurance standards and compliance requirements</w:t>
      </w:r>
    </w:p>
    <w:p>
      <w:pPr>
        <w:pStyle w:val="ListBullet"/>
        <w:spacing w:after="40" w:line="240" w:lineRule="auto"/>
      </w:pPr>
      <w:r>
        <w:rPr>
          <w:rFonts w:ascii="Calibri" w:hAnsi="Calibri"/>
          <w:b/>
          <w:sz w:val="20"/>
        </w:rPr>
        <w:t xml:space="preserve">Model Evaluation: </w:t>
      </w:r>
      <w:r>
        <w:rPr>
          <w:rFonts w:ascii="Calibri" w:hAnsi="Calibri"/>
          <w:sz w:val="20"/>
        </w:rPr>
        <w:t>Test AI outputs for accuracy, bias, and regulatory compliance, with particular focus on sensitive data handling (PHI, PII) in insurance contexts</w:t>
      </w:r>
    </w:p>
    <w:p>
      <w:pPr>
        <w:pStyle w:val="ListBullet"/>
        <w:spacing w:after="40" w:line="240" w:lineRule="auto"/>
      </w:pPr>
      <w:r>
        <w:rPr>
          <w:rFonts w:ascii="Calibri" w:hAnsi="Calibri"/>
          <w:b/>
          <w:sz w:val="20"/>
        </w:rPr>
        <w:t xml:space="preserve">Cross-Functional Collaboration: </w:t>
      </w:r>
      <w:r>
        <w:rPr>
          <w:rFonts w:ascii="Calibri" w:hAnsi="Calibri"/>
          <w:sz w:val="20"/>
        </w:rPr>
        <w:t>Partner with data science teams to provide insurance domain context for model training and evaluation, ensuring outputs align with industry practices</w:t>
      </w:r>
    </w:p>
    <w:p>
      <w:pPr>
        <w:spacing w:before="160" w:after="0" w:line="240" w:lineRule="auto"/>
      </w:pPr>
      <w:r>
        <w:rPr>
          <w:rFonts w:ascii="Gill Sans MT" w:hAnsi="Gill Sans MT"/>
          <w:b/>
          <w:sz w:val="22"/>
        </w:rPr>
        <w:t>Head of Freight Product &amp; Customer Operations</w:t>
      </w:r>
    </w:p>
    <w:p>
      <w:pPr>
        <w:spacing w:after="40" w:line="240" w:lineRule="auto"/>
      </w:pPr>
      <w:r>
        <w:rPr>
          <w:rFonts w:ascii="Gill Sans MT" w:hAnsi="Gill Sans MT"/>
          <w:color w:val="537685"/>
          <w:sz w:val="20"/>
        </w:rPr>
        <w:t>Kontango</w:t>
      </w:r>
      <w:r>
        <w:rPr>
          <w:rFonts w:ascii="Calibri" w:hAnsi="Calibri"/>
          <w:sz w:val="20"/>
        </w:rPr>
        <w:t xml:space="preserve"> | AI-powered chemicals commodity trading platform | 4/2023 - 12/2024</w:t>
      </w:r>
    </w:p>
    <w:p>
      <w:pPr>
        <w:pStyle w:val="ListBullet"/>
        <w:spacing w:after="40" w:line="240" w:lineRule="auto"/>
      </w:pPr>
      <w:r>
        <w:rPr>
          <w:rFonts w:ascii="Calibri" w:hAnsi="Calibri"/>
          <w:b/>
          <w:sz w:val="20"/>
        </w:rPr>
        <w:t xml:space="preserve">ML-Driven Product: </w:t>
      </w:r>
      <w:r>
        <w:rPr>
          <w:rFonts w:ascii="Calibri" w:hAnsi="Calibri"/>
          <w:sz w:val="20"/>
        </w:rPr>
        <w:t>Owned end-to-end product roadmap for the freight platform, leading the integration of predictive ML models with the core trading application</w:t>
      </w:r>
    </w:p>
    <w:p>
      <w:pPr>
        <w:pStyle w:val="ListBullet"/>
        <w:spacing w:after="40" w:line="240" w:lineRule="auto"/>
      </w:pPr>
      <w:r>
        <w:rPr>
          <w:rFonts w:ascii="Calibri" w:hAnsi="Calibri"/>
          <w:b/>
          <w:sz w:val="20"/>
        </w:rPr>
        <w:t xml:space="preserve">Data Analytics &amp; Forecasting: </w:t>
      </w:r>
      <w:r>
        <w:rPr>
          <w:rFonts w:ascii="Calibri" w:hAnsi="Calibri"/>
          <w:sz w:val="20"/>
        </w:rPr>
        <w:t>Built dashboards and forecasting tools for executive stakeholders; used data analytics to drive decision-making and measure model performance</w:t>
      </w:r>
    </w:p>
    <w:p>
      <w:pPr>
        <w:pStyle w:val="ListBullet"/>
        <w:spacing w:after="40" w:line="240" w:lineRule="auto"/>
      </w:pPr>
      <w:r>
        <w:rPr>
          <w:rFonts w:ascii="Calibri" w:hAnsi="Calibri"/>
          <w:b/>
          <w:sz w:val="20"/>
        </w:rPr>
        <w:t xml:space="preserve">Cross-Functional Leadership: </w:t>
      </w:r>
      <w:r>
        <w:rPr>
          <w:rFonts w:ascii="Calibri" w:hAnsi="Calibri"/>
          <w:sz w:val="20"/>
        </w:rPr>
        <w:t>Led engineering, data science, and commercial teams to rapidly ship features; defined success metrics aligned with business objectives</w:t>
      </w:r>
    </w:p>
    <w:p>
      <w:pPr>
        <w:spacing w:before="160" w:after="0" w:line="240" w:lineRule="auto"/>
      </w:pPr>
      <w:r>
        <w:rPr>
          <w:rFonts w:ascii="Gill Sans MT" w:hAnsi="Gill Sans MT"/>
          <w:b/>
          <w:sz w:val="22"/>
        </w:rPr>
        <w:t>General Manager, Product Management [Integrations &amp; Compliance]</w:t>
      </w:r>
    </w:p>
    <w:p>
      <w:pPr>
        <w:spacing w:after="40" w:line="240" w:lineRule="auto"/>
      </w:pPr>
      <w:r>
        <w:rPr>
          <w:rFonts w:ascii="Gill Sans MT" w:hAnsi="Gill Sans MT"/>
          <w:color w:val="537685"/>
          <w:sz w:val="20"/>
        </w:rPr>
        <w:t>Roger (JV of Cargill, Andersons, Scoular, Koch)</w:t>
      </w:r>
      <w:r>
        <w:rPr>
          <w:rFonts w:ascii="Calibri" w:hAnsi="Calibri"/>
          <w:sz w:val="20"/>
        </w:rPr>
        <w:t xml:space="preserve"> | Enterprise logistics platform | 3/2020 - 3/2023</w:t>
      </w:r>
    </w:p>
    <w:p>
      <w:pPr>
        <w:pStyle w:val="ListBullet"/>
        <w:spacing w:after="40" w:line="240" w:lineRule="auto"/>
      </w:pPr>
      <w:r>
        <w:rPr>
          <w:rFonts w:ascii="Calibri" w:hAnsi="Calibri"/>
          <w:b/>
          <w:sz w:val="20"/>
        </w:rPr>
        <w:t xml:space="preserve">Trucking Insurance Product (0-1): </w:t>
      </w:r>
      <w:r>
        <w:rPr>
          <w:rFonts w:ascii="Calibri" w:hAnsi="Calibri"/>
          <w:sz w:val="20"/>
        </w:rPr>
        <w:t>Led the compliance product team, building systems to validate carrier insurance compliance in real time; owned the full policy lifecycle from carrier onboarding through certificate verification and renewal tracking</w:t>
      </w:r>
    </w:p>
    <w:p>
      <w:pPr>
        <w:pStyle w:val="ListBullet"/>
        <w:spacing w:after="40" w:line="240" w:lineRule="auto"/>
      </w:pPr>
      <w:r>
        <w:rPr>
          <w:rFonts w:ascii="Calibri" w:hAnsi="Calibri"/>
          <w:b/>
          <w:sz w:val="20"/>
        </w:rPr>
        <w:t xml:space="preserve">FMCSA Integration: </w:t>
      </w:r>
      <w:r>
        <w:rPr>
          <w:rFonts w:ascii="Calibri" w:hAnsi="Calibri"/>
          <w:sz w:val="20"/>
        </w:rPr>
        <w:t>Integrated with the Federal Motor Carrier Safety Administration to automate insurance documentation verification; required deep understanding of commercial auto policy structures and regulatory frameworks</w:t>
      </w:r>
    </w:p>
    <w:p>
      <w:pPr>
        <w:pStyle w:val="ListBullet"/>
        <w:spacing w:after="40" w:line="240" w:lineRule="auto"/>
      </w:pPr>
      <w:r>
        <w:rPr>
          <w:rFonts w:ascii="Calibri" w:hAnsi="Calibri"/>
          <w:b/>
          <w:sz w:val="20"/>
        </w:rPr>
        <w:t xml:space="preserve">Revenue Impact: </w:t>
      </w:r>
      <w:r>
        <w:rPr>
          <w:rFonts w:ascii="Calibri" w:hAnsi="Calibri"/>
          <w:sz w:val="20"/>
        </w:rPr>
        <w:t>Increased annual recurring revenue by 20% within 12 months of product launch through insurance compliance features</w:t>
      </w:r>
    </w:p>
    <w:p>
      <w:pPr>
        <w:pStyle w:val="ListBullet"/>
        <w:spacing w:after="40" w:line="240" w:lineRule="auto"/>
      </w:pPr>
      <w:r>
        <w:rPr>
          <w:rFonts w:ascii="Calibri" w:hAnsi="Calibri"/>
          <w:b/>
          <w:sz w:val="20"/>
        </w:rPr>
        <w:t xml:space="preserve">Enterprise Compliance: </w:t>
      </w:r>
      <w:r>
        <w:rPr>
          <w:rFonts w:ascii="Calibri" w:hAnsi="Calibri"/>
          <w:sz w:val="20"/>
        </w:rPr>
        <w:t>Ensured strict adherence to PII, CCPA, and SOC2 requirements; partnered with legal to ship compliant features</w:t>
      </w:r>
    </w:p>
    <w:p>
      <w:pPr>
        <w:spacing w:before="160" w:after="0" w:line="240" w:lineRule="auto"/>
      </w:pPr>
      <w:r>
        <w:rPr>
          <w:rFonts w:ascii="Gill Sans MT" w:hAnsi="Gill Sans MT"/>
          <w:b/>
          <w:sz w:val="22"/>
        </w:rPr>
        <w:t>Partner, Director of Business Solutions</w:t>
      </w:r>
    </w:p>
    <w:p>
      <w:pPr>
        <w:spacing w:after="40" w:line="240" w:lineRule="auto"/>
      </w:pPr>
      <w:r>
        <w:rPr>
          <w:rFonts w:ascii="Gill Sans MT" w:hAnsi="Gill Sans MT"/>
          <w:color w:val="537685"/>
          <w:sz w:val="20"/>
        </w:rPr>
        <w:t>Fast Solutions</w:t>
      </w:r>
      <w:r>
        <w:rPr>
          <w:rFonts w:ascii="Calibri" w:hAnsi="Calibri"/>
          <w:sz w:val="20"/>
        </w:rPr>
        <w:t xml:space="preserve"> | Enterprise software consultancy | 6/2013 - 1/2020</w:t>
      </w:r>
    </w:p>
    <w:p>
      <w:pPr>
        <w:pStyle w:val="ListBullet"/>
        <w:spacing w:after="40" w:line="240" w:lineRule="auto"/>
      </w:pPr>
      <w:r>
        <w:rPr>
          <w:rFonts w:ascii="Calibri" w:hAnsi="Calibri"/>
          <w:b/>
          <w:sz w:val="20"/>
        </w:rPr>
        <w:t xml:space="preserve">Technical Leadership: </w:t>
      </w:r>
      <w:r>
        <w:rPr>
          <w:rFonts w:ascii="Calibri" w:hAnsi="Calibri"/>
          <w:sz w:val="20"/>
        </w:rPr>
        <w:t>Led product and engineering teams in designing and delivering complex integrations and platform implementations for enterprise clients</w:t>
      </w:r>
    </w:p>
    <w:p>
      <w:pPr>
        <w:pStyle w:val="ListBullet"/>
        <w:spacing w:after="40" w:line="240" w:lineRule="auto"/>
      </w:pPr>
      <w:r>
        <w:rPr>
          <w:rFonts w:ascii="Calibri" w:hAnsi="Calibri"/>
          <w:b/>
          <w:sz w:val="20"/>
        </w:rPr>
        <w:t xml:space="preserve">User-Centered Design: </w:t>
      </w:r>
      <w:r>
        <w:rPr>
          <w:rFonts w:ascii="Calibri" w:hAnsi="Calibri"/>
          <w:sz w:val="20"/>
        </w:rPr>
        <w:t>Led user research and stakeholder interviews to inform product roadmaps; managed full product lifecycle from requirements to release</w:t>
      </w:r>
    </w:p>
    <w:p>
      <w:pPr>
        <w:pStyle w:val="ListBullet"/>
        <w:spacing w:after="40" w:line="240" w:lineRule="auto"/>
      </w:pPr>
      <w:r>
        <w:rPr>
          <w:rFonts w:ascii="Calibri" w:hAnsi="Calibri"/>
          <w:b/>
          <w:sz w:val="20"/>
        </w:rPr>
        <w:t xml:space="preserve">Enterprise Transformation: </w:t>
      </w:r>
      <w:r>
        <w:rPr>
          <w:rFonts w:ascii="Calibri" w:hAnsi="Calibri"/>
          <w:sz w:val="20"/>
        </w:rPr>
        <w:t>Drove digital transformation by creating multi-year product roadmaps for integration and modernization projects</w:t>
      </w:r>
    </w:p>
    <w:p>
      <w:pPr>
        <w:spacing w:before="160" w:after="0" w:line="240" w:lineRule="auto"/>
      </w:pPr>
      <w:r>
        <w:rPr>
          <w:rFonts w:ascii="Gill Sans MT" w:hAnsi="Gill Sans MT"/>
          <w:b/>
          <w:sz w:val="22"/>
        </w:rPr>
        <w:t>Business Analyst/Software Engineer</w:t>
      </w:r>
    </w:p>
    <w:p>
      <w:pPr>
        <w:spacing w:after="40" w:line="240" w:lineRule="auto"/>
      </w:pPr>
      <w:r>
        <w:rPr>
          <w:rFonts w:ascii="Gill Sans MT" w:hAnsi="Gill Sans MT"/>
          <w:color w:val="537685"/>
          <w:sz w:val="20"/>
        </w:rPr>
        <w:t>Tyson Foods</w:t>
      </w:r>
      <w:r>
        <w:rPr>
          <w:rFonts w:ascii="Calibri" w:hAnsi="Calibri"/>
          <w:sz w:val="20"/>
        </w:rPr>
        <w:t xml:space="preserve"> | 7/2010 - 6/2013</w:t>
      </w:r>
    </w:p>
    <w:p>
      <w:pPr>
        <w:pStyle w:val="ListBullet"/>
        <w:spacing w:after="40" w:line="240" w:lineRule="auto"/>
      </w:pPr>
      <w:r>
        <w:rPr>
          <w:rFonts w:ascii="Calibri" w:hAnsi="Calibri"/>
          <w:sz w:val="20"/>
        </w:rPr>
        <w:t>Acted as key liaison between business stakeholders across sales, manufacturing, and accounting</w:t>
      </w:r>
    </w:p>
    <w:p>
      <w:pPr>
        <w:pStyle w:val="ListBullet"/>
        <w:spacing w:after="40" w:line="240" w:lineRule="auto"/>
      </w:pPr>
      <w:r>
        <w:rPr>
          <w:rFonts w:ascii="Calibri" w:hAnsi="Calibri"/>
          <w:sz w:val="20"/>
        </w:rPr>
        <w:t>Developed integrations that enhanced data flow between critical business systems</w:t>
      </w:r>
    </w:p>
    <w:p>
      <w:pPr>
        <w:spacing w:before="160" w:after="0" w:line="240" w:lineRule="auto"/>
      </w:pPr>
      <w:r>
        <w:rPr>
          <w:rFonts w:ascii="Gill Sans MT" w:hAnsi="Gill Sans MT"/>
          <w:b/>
          <w:sz w:val="22"/>
        </w:rPr>
        <w:t>Software Developer</w:t>
      </w:r>
    </w:p>
    <w:p>
      <w:pPr>
        <w:spacing w:after="40" w:line="240" w:lineRule="auto"/>
      </w:pPr>
      <w:r>
        <w:rPr>
          <w:rFonts w:ascii="Gill Sans MT" w:hAnsi="Gill Sans MT"/>
          <w:color w:val="537685"/>
          <w:sz w:val="20"/>
        </w:rPr>
        <w:t>CF Industries</w:t>
      </w:r>
      <w:r>
        <w:rPr>
          <w:rFonts w:ascii="Calibri" w:hAnsi="Calibri"/>
          <w:sz w:val="20"/>
        </w:rPr>
        <w:t xml:space="preserve"> | 4/2001 - 6/2010</w:t>
      </w:r>
    </w:p>
    <w:p>
      <w:pPr>
        <w:pStyle w:val="ListBullet"/>
        <w:spacing w:after="40" w:line="240" w:lineRule="auto"/>
      </w:pPr>
      <w:r>
        <w:rPr>
          <w:rFonts w:ascii="Calibri" w:hAnsi="Calibri"/>
          <w:sz w:val="20"/>
        </w:rPr>
        <w:t>Engineered robust software solutions and integrations for enterprise manufacturing applications</w:t>
      </w:r>
    </w:p>
    <w:p>
      <w:pPr>
        <w:spacing w:before="240" w:after="120" w:line="240" w:lineRule="auto"/>
        <w:jc w:val="left"/>
        <w:pBdr>
          <w:bottom w:val="single" w:sz="6" w:color="537685"/>
        </w:pBdr>
      </w:pPr>
      <w:r>
        <w:rPr>
          <w:b/>
          <w:color w:val="537685"/>
          <w:sz w:val="24"/>
        </w:rPr>
        <w:t>Education</w:t>
      </w:r>
    </w:p>
    <w:p>
      <w:pPr>
        <w:spacing w:after="40" w:line="240" w:lineRule="auto"/>
      </w:pPr>
      <w:r>
        <w:rPr>
          <w:rFonts w:ascii="Calibri" w:hAnsi="Calibri"/>
          <w:b/>
          <w:sz w:val="21"/>
        </w:rPr>
        <w:t>Masters in Management</w:t>
      </w:r>
      <w:r>
        <w:rPr>
          <w:rFonts w:ascii="Calibri" w:hAnsi="Calibri"/>
          <w:sz w:val="21"/>
        </w:rPr>
        <w:t xml:space="preserve"> | Bellevue University, Bellevue, Nebraska</w:t>
      </w:r>
    </w:p>
    <w:p>
      <w:r>
        <w:rPr>
          <w:rFonts w:ascii="Calibri" w:hAnsi="Calibri"/>
          <w:b/>
          <w:sz w:val="21"/>
        </w:rPr>
        <w:t>BS in Computer Science and Mathematics</w:t>
      </w:r>
      <w:r>
        <w:rPr>
          <w:rFonts w:ascii="Calibri" w:hAnsi="Calibri"/>
          <w:sz w:val="21"/>
        </w:rPr>
        <w:t xml:space="preserve"> | Morningside University, Sioux City, Iowa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ara.jorgensen@gmail.com" TargetMode="External"/><Relationship Id="rId10" Type="http://schemas.openxmlformats.org/officeDocument/2006/relationships/hyperlink" Target="https://www.linkedin.com/in/mara-jorgens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