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Gill Sans MT" w:cs="Gill Sans MT" w:eastAsia="Gill Sans MT" w:hAnsi="Gill Sans MT"/>
          <w:b/>
          <w:bCs/>
          <w:sz w:val="44"/>
          <w:szCs w:val="44"/>
        </w:rPr>
        <w:t xml:space="preserve">MARA JORGENSEN</w:t>
      </w:r>
    </w:p>
    <w:p>
      <w:pPr>
        <w:spacing w:after="60"/>
        <w:jc w:val="center"/>
      </w:pPr>
      <w:r>
        <w:rPr>
          <w:rFonts w:ascii="Gill Sans MT" w:cs="Gill Sans MT" w:eastAsia="Gill Sans MT" w:hAnsi="Gill Sans MT"/>
          <w:color w:val="537685"/>
          <w:sz w:val="22"/>
          <w:szCs w:val="22"/>
        </w:rPr>
        <w:t xml:space="preserve">Digital Transformation &amp; AI Technical Leader | AgTech and Commodities</w:t>
      </w:r>
    </w:p>
    <w:p>
      <w:pPr>
        <w:spacing w:after="200"/>
        <w:jc w:val="center"/>
      </w:pPr>
      <w:r>
        <w:rPr>
          <w:rFonts w:ascii="Calibri" w:cs="Calibri" w:eastAsia="Calibri" w:hAnsi="Calibri"/>
          <w:sz w:val="20"/>
          <w:szCs w:val="20"/>
        </w:rPr>
        <w:t xml:space="preserve">+1-712-898-2341 | mara@strategic-corp.com | LinkedIn</w:t>
      </w:r>
    </w:p>
    <w:p>
      <w:pPr>
        <w:spacing w:before="120" w:after="60"/>
      </w:pPr>
      <w:r>
        <w:rPr>
          <w:rFonts w:ascii="Calibri" w:cs="Calibri" w:eastAsia="Calibri" w:hAnsi="Calibri"/>
          <w:b/>
          <w:bCs/>
          <w:color w:val="537685"/>
          <w:sz w:val="24"/>
          <w:szCs w:val="24"/>
        </w:rPr>
        <w:t xml:space="preserve">Summary</w:t>
      </w:r>
    </w:p>
    <w:p>
      <w:pPr>
        <w:spacing w:after="180"/>
      </w:pPr>
      <w:r>
        <w:rPr>
          <w:rFonts w:ascii="Calibri" w:cs="Calibri" w:eastAsia="Calibri" w:hAnsi="Calibri"/>
          <w:sz w:val="20"/>
          <w:szCs w:val="20"/>
        </w:rPr>
        <w:t xml:space="preserve">Technology leader with 20+ years bridging business and engineering across commodities trading, risk management, and operations. Deep hands-on experience with physical and financial trading platforms across agricultural and chemical commodities, including operations, hedging, and logistics workflows. In recent years I have worked towards driving early adoption of Agentic AI and LLM orchestration. My passion is transforming enterprise processes to drive revenue growth and operational efficiency, leading pilots from discovery to production while managing governance, compliance, and change management. Proven executive advisor who translates complex technical requirements into actionable roadmaps, manages program portfolios, and drives adoption across trading desks and operational teams.</w:t>
      </w:r>
    </w:p>
    <w:p>
      <w:pPr>
        <w:spacing w:before="120" w:after="120"/>
      </w:pPr>
      <w:r>
        <w:rPr>
          <w:rFonts w:ascii="Calibri" w:cs="Calibri" w:eastAsia="Calibri" w:hAnsi="Calibri"/>
          <w:b/>
          <w:bCs/>
          <w:color w:val="537685"/>
          <w:sz w:val="24"/>
          <w:szCs w:val="24"/>
        </w:rPr>
        <w:t xml:space="preserve">Skills</w:t>
      </w:r>
    </w:p>
    <w:tbl>
      <w:tblPr>
        <w:tblW w:type="auto" w:w="100"/>
        <w:tblBorders>
          <w:top w:val="none"/>
          <w:left w:val="none"/>
          <w:bottom w:val="none"/>
          <w:right w:val="none"/>
          <w:insideH w:val="none"/>
          <w:insideV w:val="none"/>
        </w:tblBorders>
        <w:tblCellMar>
          <w:top w:type="dxa" w:w="60"/>
          <w:left w:type="dxa" w:w="100"/>
          <w:bottom w:type="dxa" w:w="60"/>
          <w:right w:type="dxa" w:w="100"/>
        </w:tblCellMar>
      </w:tblPr>
      <w:tblGrid>
        <w:gridCol w:w="4500"/>
        <w:gridCol w:w="4500"/>
      </w:tblGrid>
      <w:tr>
        <w:tc>
          <w:tcPr>
            <w:tcW w:type="dxa" w:w="4500"/>
          </w:tcPr>
          <w:p>
            <w:pPr>
              <w:spacing w:after="60"/>
            </w:pPr>
            <w:r>
              <w:rPr>
                <w:rFonts w:ascii="Calibri" w:cs="Calibri" w:eastAsia="Calibri" w:hAnsi="Calibri"/>
                <w:b/>
                <w:bCs/>
                <w:sz w:val="21"/>
                <w:szCs w:val="21"/>
              </w:rPr>
              <w:t xml:space="preserve">AI &amp; Agentic Workflows</w:t>
            </w:r>
          </w:p>
          <w:p>
            <w:pPr>
              <w:pStyle w:val="ListParagraph"/>
              <w:numPr>
                <w:ilvl w:val="0"/>
                <w:numId w:val="2"/>
              </w:numPr>
            </w:pPr>
            <w:r>
              <w:rPr>
                <w:sz w:val="20"/>
                <w:szCs w:val="20"/>
              </w:rPr>
              <w:t xml:space="preserve">Agentic workflows</w:t>
            </w:r>
          </w:p>
          <w:p>
            <w:pPr>
              <w:pStyle w:val="ListParagraph"/>
              <w:numPr>
                <w:ilvl w:val="0"/>
                <w:numId w:val="2"/>
              </w:numPr>
            </w:pPr>
            <w:r>
              <w:rPr>
                <w:sz w:val="20"/>
                <w:szCs w:val="20"/>
              </w:rPr>
              <w:t xml:space="preserve">LLM orchestration (Azure AI Foundry, OpenAI, Claude, n8n)</w:t>
            </w:r>
          </w:p>
          <w:p>
            <w:pPr>
              <w:pStyle w:val="ListParagraph"/>
              <w:numPr>
                <w:ilvl w:val="0"/>
                <w:numId w:val="2"/>
              </w:numPr>
            </w:pPr>
            <w:r>
              <w:rPr>
                <w:sz w:val="20"/>
                <w:szCs w:val="20"/>
              </w:rPr>
              <w:t xml:space="preserve">RAG strategy</w:t>
            </w:r>
          </w:p>
          <w:p>
            <w:pPr>
              <w:pStyle w:val="ListParagraph"/>
              <w:numPr>
                <w:ilvl w:val="0"/>
                <w:numId w:val="2"/>
              </w:numPr>
            </w:pPr>
            <w:r>
              <w:rPr>
                <w:sz w:val="20"/>
                <w:szCs w:val="20"/>
              </w:rPr>
              <w:t xml:space="preserve">Rapid pilot-to-production cycles</w:t>
            </w:r>
          </w:p>
          <w:p>
            <w:pPr>
              <w:pStyle w:val="ListParagraph"/>
              <w:numPr>
                <w:ilvl w:val="0"/>
                <w:numId w:val="2"/>
              </w:numPr>
            </w:pPr>
            <w:r>
              <w:rPr>
                <w:sz w:val="20"/>
                <w:szCs w:val="20"/>
              </w:rPr>
              <w:t xml:space="preserve">Predictive analytics</w:t>
            </w:r>
          </w:p>
          <w:p>
            <w:pPr>
              <w:pStyle w:val="ListParagraph"/>
              <w:numPr>
                <w:ilvl w:val="0"/>
                <w:numId w:val="2"/>
              </w:numPr>
            </w:pPr>
            <w:r>
              <w:rPr>
                <w:sz w:val="20"/>
                <w:szCs w:val="20"/>
              </w:rPr>
              <w:t xml:space="preserve">Python-based ML workflows</w:t>
            </w:r>
          </w:p>
          <w:p>
            <w:pPr>
              <w:pStyle w:val="ListParagraph"/>
              <w:numPr>
                <w:ilvl w:val="0"/>
                <w:numId w:val="2"/>
              </w:numPr>
            </w:pPr>
            <w:r>
              <w:rPr>
                <w:sz w:val="20"/>
                <w:szCs w:val="20"/>
              </w:rPr>
              <w:t xml:space="preserve">Responsible AI posture &amp; governance</w:t>
            </w:r>
          </w:p>
          <w:p>
            <w:pPr>
              <w:pStyle w:val="ListParagraph"/>
              <w:numPr>
                <w:ilvl w:val="0"/>
                <w:numId w:val="2"/>
              </w:numPr>
            </w:pPr>
            <w:r>
              <w:rPr>
                <w:sz w:val="20"/>
                <w:szCs w:val="20"/>
              </w:rPr>
              <w:t xml:space="preserve">Compliance integration (SOX, GDPR, CCPA)</w:t>
            </w:r>
          </w:p>
          <w:p>
            <w:pPr>
              <w:pStyle w:val="ListParagraph"/>
              <w:numPr>
                <w:ilvl w:val="0"/>
                <w:numId w:val="2"/>
              </w:numPr>
            </w:pPr>
            <w:r>
              <w:rPr>
                <w:sz w:val="20"/>
                <w:szCs w:val="20"/>
              </w:rPr>
              <w:t xml:space="preserve">Human-in-the-loop safeguards</w:t>
            </w:r>
          </w:p>
        </w:tc>
        <w:tc>
          <w:tcPr>
            <w:tcW w:type="dxa" w:w="4500"/>
          </w:tcPr>
          <w:p>
            <w:pPr>
              <w:spacing w:after="60"/>
            </w:pPr>
            <w:r>
              <w:rPr>
                <w:rFonts w:ascii="Calibri" w:cs="Calibri" w:eastAsia="Calibri" w:hAnsi="Calibri"/>
                <w:b/>
                <w:bCs/>
                <w:sz w:val="21"/>
                <w:szCs w:val="21"/>
              </w:rPr>
              <w:t xml:space="preserve">Commodities &amp; Trading Systems</w:t>
            </w:r>
          </w:p>
          <w:p>
            <w:pPr>
              <w:pStyle w:val="ListParagraph"/>
              <w:numPr>
                <w:ilvl w:val="0"/>
                <w:numId w:val="2"/>
              </w:numPr>
            </w:pPr>
            <w:r>
              <w:rPr>
                <w:sz w:val="20"/>
                <w:szCs w:val="20"/>
              </w:rPr>
              <w:t xml:space="preserve">ETRM/CTRM platforms (Ion, Right Angle, Allegro, custom)</w:t>
            </w:r>
          </w:p>
          <w:p>
            <w:pPr>
              <w:pStyle w:val="ListParagraph"/>
              <w:numPr>
                <w:ilvl w:val="0"/>
                <w:numId w:val="2"/>
              </w:numPr>
            </w:pPr>
            <w:r>
              <w:rPr>
                <w:sz w:val="20"/>
                <w:szCs w:val="20"/>
              </w:rPr>
              <w:t xml:space="preserve">Commodity trading &amp; risk management</w:t>
            </w:r>
          </w:p>
          <w:p>
            <w:pPr>
              <w:pStyle w:val="ListParagraph"/>
              <w:numPr>
                <w:ilvl w:val="0"/>
                <w:numId w:val="2"/>
              </w:numPr>
            </w:pPr>
            <w:r>
              <w:rPr>
                <w:sz w:val="20"/>
                <w:szCs w:val="20"/>
              </w:rPr>
              <w:t xml:space="preserve">Hedging &amp; settlement operations</w:t>
            </w:r>
          </w:p>
          <w:p>
            <w:pPr>
              <w:pStyle w:val="ListParagraph"/>
              <w:numPr>
                <w:ilvl w:val="0"/>
                <w:numId w:val="2"/>
              </w:numPr>
            </w:pPr>
            <w:r>
              <w:rPr>
                <w:sz w:val="20"/>
                <w:szCs w:val="20"/>
              </w:rPr>
              <w:t xml:space="preserve">Scheduling &amp; logistics</w:t>
            </w:r>
          </w:p>
          <w:p>
            <w:pPr>
              <w:pStyle w:val="ListParagraph"/>
              <w:numPr>
                <w:ilvl w:val="0"/>
                <w:numId w:val="2"/>
              </w:numPr>
            </w:pPr>
            <w:r>
              <w:rPr>
                <w:sz w:val="20"/>
                <w:szCs w:val="20"/>
              </w:rPr>
              <w:t xml:space="preserve">Procure-to-pay &amp; order-to-cash optimization</w:t>
            </w:r>
          </w:p>
          <w:p>
            <w:pPr>
              <w:pStyle w:val="ListParagraph"/>
              <w:numPr>
                <w:ilvl w:val="0"/>
                <w:numId w:val="2"/>
              </w:numPr>
            </w:pPr>
            <w:r>
              <w:rPr>
                <w:sz w:val="20"/>
                <w:szCs w:val="20"/>
              </w:rPr>
              <w:t xml:space="preserve">ERP systems (SAP, Oracle, JDE, Dynamics, Agris, MerchantAg)</w:t>
            </w:r>
          </w:p>
          <w:p>
            <w:pPr>
              <w:pStyle w:val="ListParagraph"/>
              <w:numPr>
                <w:ilvl w:val="0"/>
                <w:numId w:val="2"/>
              </w:numPr>
            </w:pPr>
            <w:r>
              <w:rPr>
                <w:sz w:val="20"/>
                <w:szCs w:val="20"/>
              </w:rPr>
              <w:t xml:space="preserve">Agriculture/AgTech, oil &amp; gas, metals, chemicals, plastics, grains, paper</w:t>
            </w:r>
          </w:p>
        </w:tc>
      </w:tr>
    </w:tbl>
    <w:tbl>
      <w:tblPr>
        <w:tblW w:type="auto" w:w="100"/>
        <w:tblBorders>
          <w:top w:val="none"/>
          <w:left w:val="none"/>
          <w:bottom w:val="none"/>
          <w:right w:val="none"/>
          <w:insideH w:val="none"/>
          <w:insideV w:val="none"/>
        </w:tblBorders>
        <w:tblCellMar>
          <w:top w:type="dxa" w:w="60"/>
          <w:left w:type="dxa" w:w="100"/>
          <w:bottom w:type="dxa" w:w="60"/>
          <w:right w:type="dxa" w:w="100"/>
        </w:tblCellMar>
      </w:tblPr>
      <w:tblGrid>
        <w:gridCol w:w="4500"/>
        <w:gridCol w:w="4500"/>
      </w:tblGrid>
      <w:tr>
        <w:tc>
          <w:tcPr>
            <w:tcW w:type="dxa" w:w="4500"/>
          </w:tcPr>
          <w:p>
            <w:pPr>
              <w:spacing w:after="60"/>
            </w:pPr>
            <w:r>
              <w:rPr>
                <w:rFonts w:ascii="Calibri" w:cs="Calibri" w:eastAsia="Calibri" w:hAnsi="Calibri"/>
                <w:b/>
                <w:bCs/>
                <w:sz w:val="21"/>
                <w:szCs w:val="21"/>
              </w:rPr>
              <w:t xml:space="preserve">Executive Leadership</w:t>
            </w:r>
          </w:p>
          <w:p>
            <w:pPr>
              <w:pStyle w:val="ListParagraph"/>
              <w:numPr>
                <w:ilvl w:val="0"/>
                <w:numId w:val="2"/>
              </w:numPr>
            </w:pPr>
            <w:r>
              <w:rPr>
                <w:sz w:val="20"/>
                <w:szCs w:val="20"/>
              </w:rPr>
              <w:t xml:space="preserve">Executive stakeholder management (CIO/CTO/CFO)</w:t>
            </w:r>
          </w:p>
          <w:p>
            <w:pPr>
              <w:pStyle w:val="ListParagraph"/>
              <w:numPr>
                <w:ilvl w:val="0"/>
                <w:numId w:val="2"/>
              </w:numPr>
            </w:pPr>
            <w:r>
              <w:rPr>
                <w:sz w:val="20"/>
                <w:szCs w:val="20"/>
              </w:rPr>
              <w:t xml:space="preserve">Multi-year roadmaps &amp; strategic planning</w:t>
            </w:r>
          </w:p>
          <w:p>
            <w:pPr>
              <w:pStyle w:val="ListParagraph"/>
              <w:numPr>
                <w:ilvl w:val="0"/>
                <w:numId w:val="2"/>
              </w:numPr>
            </w:pPr>
            <w:r>
              <w:rPr>
                <w:sz w:val="20"/>
                <w:szCs w:val="20"/>
              </w:rPr>
              <w:t xml:space="preserve">Cross-functional team leadership</w:t>
            </w:r>
          </w:p>
          <w:p>
            <w:pPr>
              <w:pStyle w:val="ListParagraph"/>
              <w:numPr>
                <w:ilvl w:val="0"/>
                <w:numId w:val="2"/>
              </w:numPr>
            </w:pPr>
            <w:r>
              <w:rPr>
                <w:sz w:val="20"/>
                <w:szCs w:val="20"/>
              </w:rPr>
              <w:t xml:space="preserve">"Build vs. buy" economic analysis</w:t>
            </w:r>
          </w:p>
          <w:p>
            <w:pPr>
              <w:pStyle w:val="ListParagraph"/>
              <w:numPr>
                <w:ilvl w:val="0"/>
                <w:numId w:val="2"/>
              </w:numPr>
            </w:pPr>
            <w:r>
              <w:rPr>
                <w:sz w:val="20"/>
                <w:szCs w:val="20"/>
              </w:rPr>
              <w:t xml:space="preserve">Change management &amp; user adoption</w:t>
            </w:r>
          </w:p>
          <w:p>
            <w:pPr>
              <w:pStyle w:val="ListParagraph"/>
              <w:numPr>
                <w:ilvl w:val="0"/>
                <w:numId w:val="2"/>
              </w:numPr>
            </w:pPr>
            <w:r>
              <w:rPr>
                <w:sz w:val="20"/>
                <w:szCs w:val="20"/>
              </w:rPr>
              <w:t xml:space="preserve">Agile methodologies &amp; OKR frameworks</w:t>
            </w:r>
          </w:p>
        </w:tc>
        <w:tc>
          <w:tcPr>
            <w:tcW w:type="dxa" w:w="4500"/>
          </w:tcPr>
          <w:p>
            <w:pPr>
              <w:spacing w:after="60"/>
            </w:pPr>
            <w:r>
              <w:rPr>
                <w:rFonts w:ascii="Calibri" w:cs="Calibri" w:eastAsia="Calibri" w:hAnsi="Calibri"/>
                <w:b/>
                <w:bCs/>
                <w:sz w:val="21"/>
                <w:szCs w:val="21"/>
              </w:rPr>
              <w:t xml:space="preserve">Technical Integration &amp; Data</w:t>
            </w:r>
          </w:p>
          <w:p>
            <w:pPr>
              <w:pStyle w:val="ListParagraph"/>
              <w:numPr>
                <w:ilvl w:val="0"/>
                <w:numId w:val="2"/>
              </w:numPr>
            </w:pPr>
            <w:r>
              <w:rPr>
                <w:sz w:val="20"/>
                <w:szCs w:val="20"/>
              </w:rPr>
              <w:t xml:space="preserve">API design &amp; iPaaS platforms</w:t>
            </w:r>
          </w:p>
          <w:p>
            <w:pPr>
              <w:pStyle w:val="ListParagraph"/>
              <w:numPr>
                <w:ilvl w:val="0"/>
                <w:numId w:val="2"/>
              </w:numPr>
            </w:pPr>
            <w:r>
              <w:rPr>
                <w:sz w:val="20"/>
                <w:szCs w:val="20"/>
              </w:rPr>
              <w:t xml:space="preserve">ETL &amp; data warehousing</w:t>
            </w:r>
          </w:p>
          <w:p>
            <w:pPr>
              <w:pStyle w:val="ListParagraph"/>
              <w:numPr>
                <w:ilvl w:val="0"/>
                <w:numId w:val="2"/>
              </w:numPr>
            </w:pPr>
            <w:r>
              <w:rPr>
                <w:sz w:val="20"/>
                <w:szCs w:val="20"/>
              </w:rPr>
              <w:t xml:space="preserve">ERP/CTRM/ETRM data pipelines</w:t>
            </w:r>
          </w:p>
          <w:p>
            <w:pPr>
              <w:pStyle w:val="ListParagraph"/>
              <w:numPr>
                <w:ilvl w:val="0"/>
                <w:numId w:val="2"/>
              </w:numPr>
            </w:pPr>
            <w:r>
              <w:rPr>
                <w:sz w:val="20"/>
                <w:szCs w:val="20"/>
              </w:rPr>
              <w:t xml:space="preserve">Legacy system modernization</w:t>
            </w:r>
          </w:p>
          <w:p>
            <w:pPr>
              <w:pStyle w:val="ListParagraph"/>
              <w:numPr>
                <w:ilvl w:val="0"/>
                <w:numId w:val="2"/>
              </w:numPr>
            </w:pPr>
            <w:r>
              <w:rPr>
                <w:sz w:val="20"/>
                <w:szCs w:val="20"/>
              </w:rPr>
              <w:t xml:space="preserve">Python, SQL, Power BI</w:t>
            </w:r>
          </w:p>
        </w:tc>
      </w:tr>
    </w:tbl>
    <w:p>
      <w:pPr>
        <w:spacing w:before="180" w:after="120"/>
      </w:pPr>
      <w:r>
        <w:rPr>
          <w:rFonts w:ascii="Calibri" w:cs="Calibri" w:eastAsia="Calibri" w:hAnsi="Calibri"/>
          <w:b/>
          <w:bCs/>
          <w:color w:val="537685"/>
          <w:sz w:val="24"/>
          <w:szCs w:val="24"/>
        </w:rPr>
        <w:t xml:space="preserve">Professional Experience</w:t>
      </w:r>
    </w:p>
    <w:p>
      <w:pPr>
        <w:pStyle w:val="companyName"/>
      </w:pPr>
      <w:r>
        <w:t xml:space="preserve">Strategic Consulting Corp. | Technical AI Leader and Digital Transformation</w:t>
      </w:r>
    </w:p>
    <w:p>
      <w:pPr>
        <w:pStyle w:val="companyDesc"/>
      </w:pPr>
      <w:r>
        <w:t xml:space="preserve">Specialized consultancy for enterprise digital transformation in agriculture and commodities</w:t>
      </w:r>
    </w:p>
    <w:p>
      <w:pPr>
        <w:pStyle w:val="dates"/>
      </w:pPr>
      <w:r>
        <w:t xml:space="preserve">2020 – Present</w:t>
      </w:r>
    </w:p>
    <w:p>
      <w:pPr>
        <w:pStyle w:val="ListParagraph"/>
        <w:numPr>
          <w:ilvl w:val="0"/>
          <w:numId w:val="2"/>
        </w:numPr>
      </w:pPr>
      <w:r>
        <w:rPr>
          <w:b/>
          <w:bCs/>
          <w:sz w:val="20"/>
          <w:szCs w:val="20"/>
        </w:rPr>
        <w:t xml:space="preserve">90-Day AI Accelerator Framework: </w:t>
      </w:r>
      <w:r>
        <w:rPr>
          <w:sz w:val="20"/>
          <w:szCs w:val="20"/>
        </w:rPr>
        <w:t xml:space="preserve">Developed and execute a 3-phase methodology (Assessment &amp; Alignment → Prototyping &amp; Validation → Roadmap &amp; Operationalize) to identify high-value AI opportunities, build functional prototypes, and establish 6–12-month production roadmaps for enterprise clients in agriculture and commodities sectors</w:t>
      </w:r>
    </w:p>
    <w:p>
      <w:pPr>
        <w:pStyle w:val="ListParagraph"/>
        <w:numPr>
          <w:ilvl w:val="0"/>
          <w:numId w:val="2"/>
        </w:numPr>
      </w:pPr>
      <w:r>
        <w:rPr>
          <w:b/>
          <w:bCs/>
          <w:sz w:val="20"/>
          <w:szCs w:val="20"/>
        </w:rPr>
        <w:t xml:space="preserve">Executive Advisory &amp; AI Strategy: </w:t>
      </w:r>
      <w:r>
        <w:rPr>
          <w:sz w:val="20"/>
          <w:szCs w:val="20"/>
        </w:rPr>
        <w:t xml:space="preserve">Consult with C-suite executives (VPs of Logistics, CTOs, CIOs) to identify AI use cases, translate business requirements into technical specifications, and lead "build vs. buy" analyses for AI and enterprise system selections</w:t>
      </w:r>
    </w:p>
    <w:p>
      <w:pPr>
        <w:pStyle w:val="ListParagraph"/>
        <w:numPr>
          <w:ilvl w:val="0"/>
          <w:numId w:val="2"/>
        </w:numPr>
      </w:pPr>
      <w:r>
        <w:rPr>
          <w:b/>
          <w:bCs/>
          <w:sz w:val="20"/>
          <w:szCs w:val="20"/>
        </w:rPr>
        <w:t xml:space="preserve">Agentic AI Implementation: </w:t>
      </w:r>
      <w:r>
        <w:rPr>
          <w:sz w:val="20"/>
          <w:szCs w:val="20"/>
        </w:rPr>
        <w:t xml:space="preserve">Architect and deploy predictive AI engines and agentic workflows using Azure AI Foundry, OpenAI, n8n, and Python, driving pilot-to-production cycles for process automation in trading, logistics, and operations</w:t>
      </w:r>
    </w:p>
    <w:p>
      <w:pPr>
        <w:pStyle w:val="ListParagraph"/>
        <w:numPr>
          <w:ilvl w:val="0"/>
          <w:numId w:val="2"/>
        </w:numPr>
      </w:pPr>
      <w:r>
        <w:rPr>
          <w:b/>
          <w:bCs/>
          <w:sz w:val="20"/>
          <w:szCs w:val="20"/>
        </w:rPr>
        <w:t xml:space="preserve">Technical Bridge Leadership: </w:t>
      </w:r>
      <w:r>
        <w:rPr>
          <w:sz w:val="20"/>
          <w:szCs w:val="20"/>
        </w:rPr>
        <w:t xml:space="preserve">Act as technical advocate representing data and engineering needs in executive forums, while coaching development teams on modern AI-assisted engineering workflows and best practices</w:t>
      </w:r>
    </w:p>
    <w:p>
      <w:pPr>
        <w:pStyle w:val="ListParagraph"/>
        <w:numPr>
          <w:ilvl w:val="0"/>
          <w:numId w:val="2"/>
        </w:numPr>
      </w:pPr>
      <w:r>
        <w:rPr>
          <w:b/>
          <w:bCs/>
          <w:sz w:val="20"/>
          <w:szCs w:val="20"/>
        </w:rPr>
        <w:t xml:space="preserve">Digital Transformation Roadmaps: </w:t>
      </w:r>
      <w:r>
        <w:rPr>
          <w:sz w:val="20"/>
          <w:szCs w:val="20"/>
        </w:rPr>
        <w:t xml:space="preserve">Spearhead multi-year product roadmaps integrating AI/ML, legacy system modernization (ERP, CTRM, AS/400 to web), and enterprise platform strategy</w:t>
      </w:r>
    </w:p>
    <w:p>
      <w:pPr>
        <w:pStyle w:val="companyName"/>
      </w:pPr>
      <w:r>
        <w:t xml:space="preserve">Kontango | Head of Freight Product &amp; Customer Success</w:t>
      </w:r>
    </w:p>
    <w:p>
      <w:pPr>
        <w:pStyle w:val="companyDesc"/>
      </w:pPr>
      <w:r>
        <w:t xml:space="preserve">Freight technology platform for commodity trading and logistics</w:t>
      </w:r>
    </w:p>
    <w:p>
      <w:pPr>
        <w:pStyle w:val="dates"/>
      </w:pPr>
      <w:r>
        <w:t xml:space="preserve">2023 – 2024</w:t>
      </w:r>
    </w:p>
    <w:p>
      <w:pPr>
        <w:pStyle w:val="ListParagraph"/>
        <w:numPr>
          <w:ilvl w:val="0"/>
          <w:numId w:val="2"/>
        </w:numPr>
      </w:pPr>
      <w:r>
        <w:rPr>
          <w:b/>
          <w:bCs/>
          <w:sz w:val="20"/>
          <w:szCs w:val="20"/>
        </w:rPr>
        <w:t xml:space="preserve">Product Leadership: </w:t>
      </w:r>
      <w:r>
        <w:rPr>
          <w:sz w:val="20"/>
          <w:szCs w:val="20"/>
        </w:rPr>
        <w:t xml:space="preserve">Directed end-to-end product roadmap for a data-intensive freight platform, integrating new predictive ML models for freight costing and rate optimization that accelerated customer adoption and improved pricing accuracy</w:t>
      </w:r>
    </w:p>
    <w:p>
      <w:pPr>
        <w:pStyle w:val="ListParagraph"/>
        <w:numPr>
          <w:ilvl w:val="0"/>
          <w:numId w:val="2"/>
        </w:numPr>
      </w:pPr>
      <w:r>
        <w:rPr>
          <w:b/>
          <w:bCs/>
          <w:sz w:val="20"/>
          <w:szCs w:val="20"/>
        </w:rPr>
        <w:t xml:space="preserve">Executive Stakeholder Management: </w:t>
      </w:r>
      <w:r>
        <w:rPr>
          <w:sz w:val="20"/>
          <w:szCs w:val="20"/>
        </w:rPr>
        <w:t xml:space="preserve">Served as primary customer-facing technical advisor to CXO-level stakeholders, driving engagement by translating complex technical capabilities into business value and ROI</w:t>
      </w:r>
    </w:p>
    <w:p>
      <w:pPr>
        <w:pStyle w:val="ListParagraph"/>
        <w:numPr>
          <w:ilvl w:val="0"/>
          <w:numId w:val="2"/>
        </w:numPr>
      </w:pPr>
      <w:r>
        <w:rPr>
          <w:b/>
          <w:bCs/>
          <w:sz w:val="20"/>
          <w:szCs w:val="20"/>
        </w:rPr>
        <w:t xml:space="preserve">MVP Definition &amp; Roadmap Execution: </w:t>
      </w:r>
      <w:r>
        <w:rPr>
          <w:sz w:val="20"/>
          <w:szCs w:val="20"/>
        </w:rPr>
        <w:t xml:space="preserve">Led discovery research, A/B testing, and customer journey mapping to define MVP features and prioritize backlog, maximizing ROI for key accounts while managing P&amp;L and technical delivery timelines</w:t>
      </w:r>
    </w:p>
    <w:p>
      <w:pPr>
        <w:pStyle w:val="ListParagraph"/>
        <w:numPr>
          <w:ilvl w:val="0"/>
          <w:numId w:val="2"/>
        </w:numPr>
      </w:pPr>
      <w:r>
        <w:rPr>
          <w:b/>
          <w:bCs/>
          <w:sz w:val="20"/>
          <w:szCs w:val="20"/>
        </w:rPr>
        <w:t xml:space="preserve">CRM &amp; Integration Strategy: </w:t>
      </w:r>
      <w:r>
        <w:rPr>
          <w:sz w:val="20"/>
          <w:szCs w:val="20"/>
        </w:rPr>
        <w:t xml:space="preserve">Spearheaded all CRM efforts including data mapping, system integration design, and requirements definition, partnering with CEO and business stakeholders to align commercial and technical objectives</w:t>
      </w:r>
    </w:p>
    <w:p>
      <w:pPr>
        <w:pStyle w:val="ListParagraph"/>
        <w:numPr>
          <w:ilvl w:val="0"/>
          <w:numId w:val="2"/>
        </w:numPr>
      </w:pPr>
      <w:r>
        <w:rPr>
          <w:b/>
          <w:bCs/>
          <w:sz w:val="20"/>
          <w:szCs w:val="20"/>
        </w:rPr>
        <w:t xml:space="preserve">Customer Operations &amp; Onboarding: </w:t>
      </w:r>
      <w:r>
        <w:rPr>
          <w:sz w:val="20"/>
          <w:szCs w:val="20"/>
        </w:rPr>
        <w:t xml:space="preserve">Owned end-to-end customer operations including onboarding processes, success programs, and support escalations for enterprise commodity trading and logistics clients</w:t>
      </w:r>
    </w:p>
    <w:p>
      <w:pPr>
        <w:pStyle w:val="companyName"/>
      </w:pPr>
      <w:r>
        <w:t xml:space="preserve">Roger | Director of Product (Integrations, Compliance &amp; Mobile Platform)</w:t>
      </w:r>
    </w:p>
    <w:p>
      <w:pPr>
        <w:pStyle w:val="companyDesc"/>
      </w:pPr>
      <w:r>
        <w:t xml:space="preserve">Mobile-first logistics and transportation technology platform</w:t>
      </w:r>
    </w:p>
    <w:p>
      <w:pPr>
        <w:pStyle w:val="dates"/>
      </w:pPr>
      <w:r>
        <w:t xml:space="preserve">2020 – 2023</w:t>
      </w:r>
    </w:p>
    <w:p>
      <w:pPr>
        <w:pStyle w:val="ListParagraph"/>
        <w:numPr>
          <w:ilvl w:val="0"/>
          <w:numId w:val="2"/>
        </w:numPr>
      </w:pPr>
      <w:r>
        <w:rPr>
          <w:b/>
          <w:bCs/>
          <w:sz w:val="20"/>
          <w:szCs w:val="20"/>
        </w:rPr>
        <w:t xml:space="preserve">Platform Launch &amp; P&amp;L Ownership: </w:t>
      </w:r>
      <w:r>
        <w:rPr>
          <w:sz w:val="20"/>
          <w:szCs w:val="20"/>
        </w:rPr>
        <w:t xml:space="preserve">Led design and launch of onRamp, a secure shipper onboarding platform ensuring strict PII, CCPA, and SOC2 compliance, increasing platform revenue by ~20% in under 12 months through strategic customer acquisition</w:t>
      </w:r>
    </w:p>
    <w:p>
      <w:pPr>
        <w:pStyle w:val="ListParagraph"/>
        <w:numPr>
          <w:ilvl w:val="0"/>
          <w:numId w:val="2"/>
        </w:numPr>
      </w:pPr>
      <w:r>
        <w:rPr>
          <w:b/>
          <w:bCs/>
          <w:sz w:val="20"/>
          <w:szCs w:val="20"/>
        </w:rPr>
        <w:t xml:space="preserve">Enterprise Integration Leadership: </w:t>
      </w:r>
      <w:r>
        <w:rPr>
          <w:sz w:val="20"/>
          <w:szCs w:val="20"/>
        </w:rPr>
        <w:t xml:space="preserve">Directed integrations engineering for B2B partnerships, conducting full market analysis, source/target system requirements, and API design, including FMCSA integration and implementations with five of North America's largest agriculture shippers</w:t>
      </w:r>
    </w:p>
    <w:p>
      <w:pPr>
        <w:pStyle w:val="ListParagraph"/>
        <w:numPr>
          <w:ilvl w:val="0"/>
          <w:numId w:val="2"/>
        </w:numPr>
      </w:pPr>
      <w:r>
        <w:rPr>
          <w:b/>
          <w:bCs/>
          <w:sz w:val="20"/>
          <w:szCs w:val="20"/>
        </w:rPr>
        <w:t xml:space="preserve">Executive Product Leadership: </w:t>
      </w:r>
      <w:r>
        <w:rPr>
          <w:sz w:val="20"/>
          <w:szCs w:val="20"/>
        </w:rPr>
        <w:t xml:space="preserve">Managed two product groups, aligning roadmaps with organizational strategy while conducting regular business reviews with C-suite executives from top-tier agriculture and logistics clients</w:t>
      </w:r>
    </w:p>
    <w:p>
      <w:pPr>
        <w:pStyle w:val="ListParagraph"/>
        <w:numPr>
          <w:ilvl w:val="0"/>
          <w:numId w:val="2"/>
        </w:numPr>
      </w:pPr>
      <w:r>
        <w:rPr>
          <w:b/>
          <w:bCs/>
          <w:sz w:val="20"/>
          <w:szCs w:val="20"/>
        </w:rPr>
        <w:t xml:space="preserve">Cross-Functional Management: </w:t>
      </w:r>
      <w:r>
        <w:rPr>
          <w:sz w:val="20"/>
          <w:szCs w:val="20"/>
        </w:rPr>
        <w:t xml:space="preserve">Led cross-functional teams of 30+ onshore/offshore engineers, designers, and legal partners through full product lifecycle, from discovery and design sprints to release planning and UAT</w:t>
      </w:r>
    </w:p>
    <w:p>
      <w:pPr>
        <w:pStyle w:val="ListParagraph"/>
        <w:numPr>
          <w:ilvl w:val="0"/>
          <w:numId w:val="2"/>
        </w:numPr>
      </w:pPr>
      <w:r>
        <w:rPr>
          <w:b/>
          <w:bCs/>
          <w:sz w:val="20"/>
          <w:szCs w:val="20"/>
        </w:rPr>
        <w:t xml:space="preserve">Compliance &amp; Governance: </w:t>
      </w:r>
      <w:r>
        <w:rPr>
          <w:sz w:val="20"/>
          <w:szCs w:val="20"/>
        </w:rPr>
        <w:t xml:space="preserve">Partnered with legal, security, and compliance teams to ensure data privacy, regulatory adherence, and controls across all product features and integrations</w:t>
      </w:r>
    </w:p>
    <w:p>
      <w:pPr>
        <w:pStyle w:val="ListParagraph"/>
        <w:numPr>
          <w:ilvl w:val="0"/>
          <w:numId w:val="2"/>
        </w:numPr>
      </w:pPr>
      <w:r>
        <w:rPr>
          <w:b/>
          <w:bCs/>
          <w:sz w:val="20"/>
          <w:szCs w:val="20"/>
        </w:rPr>
        <w:t xml:space="preserve">Continuous Discovery &amp; Adoption: </w:t>
      </w:r>
      <w:r>
        <w:rPr>
          <w:sz w:val="20"/>
          <w:szCs w:val="20"/>
        </w:rPr>
        <w:t xml:space="preserve">Ran design sprints and iterative discovery cycles with agriculture business stakeholders, translating user needs into detailed product requirements and user stories that drove measurable improvements in UX and engagement</w:t>
      </w:r>
    </w:p>
    <w:p>
      <w:pPr>
        <w:pStyle w:val="companyName"/>
      </w:pPr>
      <w:r>
        <w:t xml:space="preserve">Fast Solutions | Principal Consultant, Business Solutions</w:t>
      </w:r>
    </w:p>
    <w:p>
      <w:pPr>
        <w:pStyle w:val="companyDesc"/>
      </w:pPr>
      <w:r>
        <w:t xml:space="preserve">ERP and enterprise systems consulting firm specializing in agriculture and commodities</w:t>
      </w:r>
    </w:p>
    <w:p>
      <w:pPr>
        <w:pStyle w:val="dates"/>
      </w:pPr>
      <w:r>
        <w:t xml:space="preserve">2013 – 2020</w:t>
      </w:r>
    </w:p>
    <w:p>
      <w:pPr>
        <w:pStyle w:val="ListParagraph"/>
        <w:numPr>
          <w:ilvl w:val="0"/>
          <w:numId w:val="2"/>
        </w:numPr>
      </w:pPr>
      <w:r>
        <w:rPr>
          <w:b/>
          <w:bCs/>
          <w:sz w:val="20"/>
          <w:szCs w:val="20"/>
        </w:rPr>
        <w:t xml:space="preserve">ERP &amp; CTRM Implementation Leadership: </w:t>
      </w:r>
      <w:r>
        <w:rPr>
          <w:sz w:val="20"/>
          <w:szCs w:val="20"/>
        </w:rPr>
        <w:t xml:space="preserve">Led product and engineering teams through complex ERP (SAP, Oracle, JDE, Dynamics, Agris) and CTRM integrations for agriculture and commodity trading clients, managing full implementation lifecycle from requirements through go-live</w:t>
      </w:r>
    </w:p>
    <w:p>
      <w:pPr>
        <w:pStyle w:val="ListParagraph"/>
        <w:numPr>
          <w:ilvl w:val="0"/>
          <w:numId w:val="2"/>
        </w:numPr>
      </w:pPr>
      <w:r>
        <w:rPr>
          <w:b/>
          <w:bCs/>
          <w:sz w:val="20"/>
          <w:szCs w:val="20"/>
        </w:rPr>
        <w:t xml:space="preserve">Commodities Domain Expert: </w:t>
      </w:r>
      <w:r>
        <w:rPr>
          <w:sz w:val="20"/>
          <w:szCs w:val="20"/>
        </w:rPr>
        <w:t xml:space="preserve">Served as primary technical liaison for commodity trading, risk management, hedging, and settlement operations, specializing in trading desk workflows, procure-to-pay, and order-to-cash optimization</w:t>
      </w:r>
    </w:p>
    <w:p>
      <w:pPr>
        <w:pStyle w:val="ListParagraph"/>
        <w:numPr>
          <w:ilvl w:val="0"/>
          <w:numId w:val="2"/>
        </w:numPr>
      </w:pPr>
      <w:r>
        <w:rPr>
          <w:b/>
          <w:bCs/>
          <w:sz w:val="20"/>
          <w:szCs w:val="20"/>
        </w:rPr>
        <w:t xml:space="preserve">Digital Transformation Strategy: </w:t>
      </w:r>
      <w:r>
        <w:rPr>
          <w:sz w:val="20"/>
          <w:szCs w:val="20"/>
        </w:rPr>
        <w:t xml:space="preserve">Drove enterprise digital transformation by creating multi-year product roadmaps for legacy system modernization (AS/400 to web-based platforms) across chemical manufacturing, ag trading, and logistics organizations</w:t>
      </w:r>
    </w:p>
    <w:p>
      <w:pPr>
        <w:pStyle w:val="ListParagraph"/>
        <w:numPr>
          <w:ilvl w:val="0"/>
          <w:numId w:val="2"/>
        </w:numPr>
      </w:pPr>
      <w:r>
        <w:rPr>
          <w:b/>
          <w:bCs/>
          <w:sz w:val="20"/>
          <w:szCs w:val="20"/>
        </w:rPr>
        <w:t xml:space="preserve">Transportation Management Leadership: </w:t>
      </w:r>
      <w:r>
        <w:rPr>
          <w:sz w:val="20"/>
          <w:szCs w:val="20"/>
        </w:rPr>
        <w:t xml:space="preserve">Advised on and implemented TMS solutions, designing user-centric software for large agricultural clients managing bulk logistics, low-connectivity field operations, and complex supply chain requirements</w:t>
      </w:r>
    </w:p>
    <w:p>
      <w:pPr>
        <w:pStyle w:val="ListParagraph"/>
        <w:numPr>
          <w:ilvl w:val="0"/>
          <w:numId w:val="2"/>
        </w:numPr>
      </w:pPr>
      <w:r>
        <w:rPr>
          <w:b/>
          <w:bCs/>
          <w:sz w:val="20"/>
          <w:szCs w:val="20"/>
        </w:rPr>
        <w:t xml:space="preserve">Pre-Sales &amp; Solution Design: </w:t>
      </w:r>
      <w:r>
        <w:rPr>
          <w:sz w:val="20"/>
          <w:szCs w:val="20"/>
        </w:rPr>
        <w:t xml:space="preserve">Led complex pre-sales analysis and solution architecture for major system implementations, translating business stakeholder needs into technical specifications and implementation plans</w:t>
      </w:r>
    </w:p>
    <w:p>
      <w:pPr>
        <w:pStyle w:val="companyName"/>
      </w:pPr>
      <w:r>
        <w:t xml:space="preserve">Tyson Foods | Systems Analyst, Integration &amp; Reporting</w:t>
      </w:r>
    </w:p>
    <w:p>
      <w:pPr>
        <w:pStyle w:val="companyDesc"/>
      </w:pPr>
      <w:r>
        <w:t xml:space="preserve">Fortune 100 food manufacturing and distribution company</w:t>
      </w:r>
    </w:p>
    <w:p>
      <w:pPr>
        <w:pStyle w:val="dates"/>
      </w:pPr>
      <w:r>
        <w:t xml:space="preserve">2010 – 2013</w:t>
      </w:r>
    </w:p>
    <w:p>
      <w:pPr>
        <w:pStyle w:val="ListParagraph"/>
        <w:numPr>
          <w:ilvl w:val="0"/>
          <w:numId w:val="2"/>
        </w:numPr>
      </w:pPr>
      <w:r>
        <w:rPr>
          <w:b/>
          <w:bCs/>
          <w:sz w:val="20"/>
          <w:szCs w:val="20"/>
        </w:rPr>
        <w:t xml:space="preserve">Business-Technical Liaison: </w:t>
      </w:r>
      <w:r>
        <w:rPr>
          <w:sz w:val="20"/>
          <w:szCs w:val="20"/>
        </w:rPr>
        <w:t xml:space="preserve">Acted as key liaison between business stakeholders (sales, manufacturing, procurement, logistics) and IT, translating requirements for modern systems integration with legacy ERP and mainframe platforms</w:t>
      </w:r>
    </w:p>
    <w:p>
      <w:pPr>
        <w:pStyle w:val="ListParagraph"/>
        <w:numPr>
          <w:ilvl w:val="0"/>
          <w:numId w:val="2"/>
        </w:numPr>
      </w:pPr>
      <w:r>
        <w:rPr>
          <w:b/>
          <w:bCs/>
          <w:sz w:val="20"/>
          <w:szCs w:val="20"/>
        </w:rPr>
        <w:t xml:space="preserve">Integration Architecture: </w:t>
      </w:r>
      <w:r>
        <w:rPr>
          <w:sz w:val="20"/>
          <w:szCs w:val="20"/>
        </w:rPr>
        <w:t xml:space="preserve">Designed and developed integrations that enhanced data flow between critical business systems in a highly regulated food manufacturing and distribution environment</w:t>
      </w:r>
    </w:p>
    <w:p>
      <w:pPr>
        <w:pStyle w:val="ListParagraph"/>
        <w:numPr>
          <w:ilvl w:val="0"/>
          <w:numId w:val="2"/>
        </w:numPr>
      </w:pPr>
      <w:r>
        <w:rPr>
          <w:b/>
          <w:bCs/>
          <w:sz w:val="20"/>
          <w:szCs w:val="20"/>
        </w:rPr>
        <w:t xml:space="preserve">Reporting &amp; Analytics: </w:t>
      </w:r>
      <w:r>
        <w:rPr>
          <w:sz w:val="20"/>
          <w:szCs w:val="20"/>
        </w:rPr>
        <w:t xml:space="preserve">Built reporting platforms to support operational decision-making across supply chain, procurement, and logistics functions</w:t>
      </w:r>
    </w:p>
    <w:p>
      <w:pPr>
        <w:pStyle w:val="companyName"/>
      </w:pPr>
      <w:r>
        <w:t xml:space="preserve">CF Industries | Software Developer/Analyst</w:t>
      </w:r>
    </w:p>
    <w:p>
      <w:pPr>
        <w:pStyle w:val="companyDesc"/>
      </w:pPr>
      <w:r>
        <w:t xml:space="preserve">Leading agricultural chemical manufacturer</w:t>
      </w:r>
    </w:p>
    <w:p>
      <w:pPr>
        <w:pStyle w:val="dates"/>
      </w:pPr>
      <w:r>
        <w:t xml:space="preserve">2001 – 2010</w:t>
      </w:r>
    </w:p>
    <w:p>
      <w:pPr>
        <w:pStyle w:val="ListParagraph"/>
        <w:numPr>
          <w:ilvl w:val="0"/>
          <w:numId w:val="2"/>
        </w:numPr>
      </w:pPr>
      <w:r>
        <w:rPr>
          <w:b/>
          <w:bCs/>
          <w:sz w:val="20"/>
          <w:szCs w:val="20"/>
        </w:rPr>
        <w:t xml:space="preserve">Agricultural Systems: </w:t>
      </w:r>
      <w:r>
        <w:rPr>
          <w:sz w:val="20"/>
          <w:szCs w:val="20"/>
        </w:rPr>
        <w:t xml:space="preserve">Engineered robust software solutions and SAP integrations, building foundational experience in complex system architecture</w:t>
      </w:r>
    </w:p>
    <w:p>
      <w:pPr>
        <w:pStyle w:val="ListParagraph"/>
        <w:numPr>
          <w:ilvl w:val="0"/>
          <w:numId w:val="2"/>
        </w:numPr>
      </w:pPr>
      <w:r>
        <w:rPr>
          <w:b/>
          <w:bCs/>
          <w:sz w:val="20"/>
          <w:szCs w:val="20"/>
        </w:rPr>
        <w:t xml:space="preserve">SOX Compliance Leadership: </w:t>
      </w:r>
      <w:r>
        <w:rPr>
          <w:sz w:val="20"/>
          <w:szCs w:val="20"/>
        </w:rPr>
        <w:t xml:space="preserve">Led risk analysis, remediation, and mitigation efforts for Sarbanes-Oxley compliance across enterprise systems</w:t>
      </w:r>
    </w:p>
    <w:p>
      <w:pPr>
        <w:spacing w:before="180" w:after="100"/>
      </w:pPr>
      <w:r>
        <w:rPr>
          <w:rFonts w:ascii="Calibri" w:cs="Calibri" w:eastAsia="Calibri" w:hAnsi="Calibri"/>
          <w:b/>
          <w:bCs/>
          <w:color w:val="537685"/>
          <w:sz w:val="24"/>
          <w:szCs w:val="24"/>
        </w:rPr>
        <w:t xml:space="preserve">Education</w:t>
      </w:r>
    </w:p>
    <w:p>
      <w:r>
        <w:rPr>
          <w:rFonts w:ascii="Calibri" w:cs="Calibri" w:eastAsia="Calibri" w:hAnsi="Calibri"/>
          <w:b/>
          <w:bCs/>
          <w:sz w:val="20"/>
          <w:szCs w:val="20"/>
        </w:rPr>
        <w:t xml:space="preserve">Master's in Management</w:t>
      </w:r>
      <w:r>
        <w:rPr>
          <w:rFonts w:ascii="Calibri" w:cs="Calibri" w:eastAsia="Calibri" w:hAnsi="Calibri"/>
          <w:sz w:val="20"/>
          <w:szCs w:val="20"/>
        </w:rPr>
        <w:t xml:space="preserve"> | Bellevue University, Bellevue, Nebraska</w:t>
      </w:r>
    </w:p>
    <w:p>
      <w:r>
        <w:rPr>
          <w:rFonts w:ascii="Calibri" w:cs="Calibri" w:eastAsia="Calibri" w:hAnsi="Calibri"/>
          <w:b/>
          <w:bCs/>
          <w:sz w:val="20"/>
          <w:szCs w:val="20"/>
        </w:rPr>
        <w:t xml:space="preserve">Bachelor of Science in Computer Science and Mathematics</w:t>
      </w:r>
      <w:r>
        <w:rPr>
          <w:rFonts w:ascii="Calibri" w:cs="Calibri" w:eastAsia="Calibri" w:hAnsi="Calibri"/>
          <w:sz w:val="20"/>
          <w:szCs w:val="20"/>
        </w:rPr>
        <w:t xml:space="preserve"> | Morningside University, Sioux City, Iowa</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mpanyName">
    <w:name w:val="Company Name"/>
    <w:basedOn w:val="Normal"/>
    <w:pPr>
      <w:spacing w:before="240" w:after="0"/>
    </w:pPr>
    <w:rPr>
      <w:rFonts w:ascii="Gill Sans MT" w:cs="Gill Sans MT" w:eastAsia="Gill Sans MT" w:hAnsi="Gill Sans MT"/>
      <w:color w:val="537685"/>
      <w:sz w:val="20"/>
      <w:szCs w:val="20"/>
    </w:rPr>
  </w:style>
  <w:style w:type="paragraph" w:styleId="companyDesc">
    <w:name w:val="Company Description"/>
    <w:basedOn w:val="Normal"/>
    <w:pPr>
      <w:spacing w:before="0" w:after="0"/>
    </w:pPr>
    <w:rPr>
      <w:rFonts w:ascii="Calibri" w:cs="Calibri" w:eastAsia="Calibri" w:hAnsi="Calibri"/>
      <w:i/>
      <w:iCs/>
      <w:color w:val="000000"/>
      <w:sz w:val="20"/>
      <w:szCs w:val="20"/>
    </w:rPr>
  </w:style>
  <w:style w:type="paragraph" w:styleId="dates">
    <w:name w:val="Dates"/>
    <w:basedOn w:val="Normal"/>
    <w:pPr>
      <w:spacing w:before="0" w:after="120"/>
    </w:pPr>
    <w:rPr>
      <w:rFonts w:ascii="Calibri" w:cs="Calibri" w:eastAsia="Calibri" w:hAnsi="Calibri"/>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2026-02-02T15:25:26.603Z</dcterms:created>
  <dcterms:modified xsi:type="dcterms:W3CDTF">2026-02-02T15:25:26.608Z</dcterms:modified>
</cp:coreProperties>
</file>

<file path=docProps/custom.xml><?xml version="1.0" encoding="utf-8"?>
<Properties xmlns="http://schemas.openxmlformats.org/officeDocument/2006/custom-properties" xmlns:vt="http://schemas.openxmlformats.org/officeDocument/2006/docPropsVTypes"/>
</file>