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Times New Roman" w:cs="Times New Roman" w:eastAsia="Times New Roman" w:hAnsi="Times New Roman"/>
          <w:b/>
          <w:bCs/>
          <w:color w:val="1B263B"/>
          <w:sz w:val="60"/>
          <w:szCs w:val="60"/>
        </w:rPr>
        <w:t xml:space="preserve">NetSim DDoS Lab</w:t>
      </w:r>
    </w:p>
    <w:p>
      <w:pPr>
        <w:spacing w:after="0"/>
        <w:jc w:val="center"/>
      </w:pPr>
      <w:r>
        <w:rPr>
          <w:rFonts w:ascii="Times New Roman" w:cs="Times New Roman" w:eastAsia="Times New Roman" w:hAnsi="Times New Roman"/>
          <w:i/>
          <w:iCs/>
          <w:color w:val="415A77"/>
          <w:sz w:val="24"/>
          <w:szCs w:val="24"/>
        </w:rPr>
        <w:t xml:space="preserve">Simulation interactive d’attaques par déni de service distribué</w:t>
      </w:r>
    </w:p>
    <w:p>
      <w:pPr>
        <w:spacing w:after="420"/>
      </w:pPr>
    </w:p>
    <w:p>
      <w:pPr>
        <w:spacing w:after="0" w:before="0"/>
      </w:pPr>
    </w:p>
    <w:p>
      <w:pPr>
        <w:spacing w:after="420"/>
      </w:pPr>
    </w:p>
    <w:p>
      <w:pPr>
        <w:spacing w:after="60"/>
        <w:jc w:val="center"/>
      </w:pPr>
      <w:r>
        <w:rPr>
          <w:rFonts w:ascii="Times New Roman" w:cs="Times New Roman" w:eastAsia="Times New Roman" w:hAnsi="Times New Roman"/>
          <w:color w:val="1A1A1A"/>
          <w:sz w:val="26"/>
          <w:szCs w:val="26"/>
        </w:rPr>
        <w:t xml:space="preserve">Rapport technique</w:t>
      </w:r>
    </w:p>
    <w:p>
      <w:pPr>
        <w:spacing w:after="40"/>
        <w:jc w:val="center"/>
      </w:pPr>
      <w:r>
        <w:rPr>
          <w:rFonts w:ascii="Times New Roman" w:cs="Times New Roman" w:eastAsia="Times New Roman" w:hAnsi="Times New Roman"/>
          <w:color w:val="778DA9"/>
          <w:sz w:val="20"/>
          <w:szCs w:val="20"/>
        </w:rPr>
        <w:t xml:space="preserve">Moteur : Node.js • Socket.IO • Express</w:t>
      </w:r>
    </w:p>
    <w:p>
      <w:pPr>
        <w:spacing w:after="700"/>
      </w:pPr>
    </w:p>
    <w:p>
      <w:pPr>
        <w:spacing w:after="40"/>
        <w:jc w:val="center"/>
      </w:pPr>
      <w:r>
        <w:rPr>
          <w:rFonts w:ascii="Times New Roman" w:cs="Times New Roman" w:eastAsia="Times New Roman" w:hAnsi="Times New Roman"/>
          <w:b/>
          <w:bCs/>
          <w:color w:val="1B263B"/>
          <w:sz w:val="22"/>
          <w:szCs w:val="22"/>
        </w:rPr>
        <w:t xml:space="preserve">Lazurka Maxime, Bouderra Ayman, Aon Ahmed, Alahyane Osama</w:t>
      </w:r>
    </w:p>
    <w:p>
      <w:pPr>
        <w:spacing w:after="40"/>
        <w:jc w:val="center"/>
      </w:pPr>
      <w:r>
        <w:rPr>
          <w:rFonts w:ascii="Times New Roman" w:cs="Times New Roman" w:eastAsia="Times New Roman" w:hAnsi="Times New Roman"/>
          <w:color w:val="1A1A1A"/>
          <w:sz w:val="20"/>
          <w:szCs w:val="20"/>
        </w:rPr>
        <w:t xml:space="preserve">ISEP — Année universitaire 2025–2026</w:t>
      </w:r>
    </w:p>
    <w:p>
      <w:pPr>
        <w:pageBreakBefore/>
      </w:pPr>
      <w:r>
        <w:br/>
      </w:r>
    </w:p>
    <w:p>
      <w:pPr>
        <w:pStyle w:val="Heading1"/>
        <w:spacing w:after="200" w:before="400"/>
      </w:pPr>
      <w:r>
        <w:rPr>
          <w:rFonts w:ascii="Times New Roman" w:cs="Times New Roman" w:eastAsia="Times New Roman" w:hAnsi="Times New Roman"/>
          <w:b/>
          <w:bCs/>
          <w:color w:val="1B263B"/>
          <w:sz w:val="32"/>
          <w:szCs w:val="32"/>
        </w:rPr>
        <w:t xml:space="preserve">1. Introduction</w:t>
      </w:r>
    </w:p>
    <w:p>
      <w:pPr>
        <w:spacing w:after="100" w:before="40" w:line="320"/>
        <w:jc w:val="both"/>
      </w:pPr>
      <w:r>
        <w:rPr>
          <w:rFonts w:ascii="Times New Roman" w:cs="Times New Roman" w:eastAsia="Times New Roman" w:hAnsi="Times New Roman"/>
          <w:color w:val="1A1A1A"/>
          <w:sz w:val="22"/>
          <w:szCs w:val="22"/>
        </w:rPr>
        <w:t xml:space="preserve">Quand on nous a proposé ce sujet de projet sur les attaques DDoS, on a tout de suite été motivés. C’est un sujet dont on entend beaucoup parler dans l’actualité -- les cyberattaques contre les hôpitaux, les administrations, les sites e-commerce -- mais qu’on n’avait jamais eu l’occasion d’étudier concrètement. L’idée de construire notre propre simulateur pour voir les mécanismes « de l’intérieur » nous a tout de suite parlé.</w:t>
      </w:r>
    </w:p>
    <w:p>
      <w:pPr>
        <w:spacing w:after="100" w:before="40" w:line="320"/>
        <w:jc w:val="both"/>
      </w:pPr>
      <w:r>
        <w:rPr>
          <w:rFonts w:ascii="Times New Roman" w:cs="Times New Roman" w:eastAsia="Times New Roman" w:hAnsi="Times New Roman"/>
          <w:color w:val="1A1A1A"/>
          <w:sz w:val="22"/>
          <w:szCs w:val="22"/>
        </w:rPr>
        <w:t xml:space="preserve">Une attaque par déni de service distribué (DDoS) vise à rendre une ressource informatique indisponible en la submergeant de trafic malveillant provenant de multiples sources. Concrètement, au lieu d’un seul attaquant, on parle d’un botnet -- tout un réseau de machines compromises qui attaquent en même temps.</w:t>
      </w:r>
    </w:p>
    <w:p>
      <w:pPr>
        <w:spacing w:after="100" w:before="40" w:line="320"/>
        <w:jc w:val="both"/>
      </w:pPr>
      <w:r>
        <w:rPr>
          <w:rFonts w:ascii="Times New Roman" w:cs="Times New Roman" w:eastAsia="Times New Roman" w:hAnsi="Times New Roman"/>
          <w:color w:val="1A1A1A"/>
          <w:sz w:val="22"/>
          <w:szCs w:val="22"/>
        </w:rPr>
        <w:t xml:space="preserve">On a développé un simulateur interactif qui permet de visualiser en temps réel comment se comportent différents types d’attaques DDoS et quel impact elles ont sur un serveur cible. Le but est purement pédagogique -- comprendre le fonctionnement pour mieux savoir se défendre.</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1 — Interface principale du simulateur NetSim DDoS Lab. La topologie reseau s’affiche au centre, les metriques en temps reel a droite, le panneau de controle des attaques en haut.</w:t>
      </w:r>
    </w:p>
    <w:p>
      <w:pPr>
        <w:pStyle w:val="Heading2"/>
        <w:spacing w:after="120" w:before="280"/>
      </w:pPr>
      <w:r>
        <w:rPr>
          <w:rFonts w:ascii="Times New Roman" w:cs="Times New Roman" w:eastAsia="Times New Roman" w:hAnsi="Times New Roman"/>
          <w:b/>
          <w:bCs/>
          <w:color w:val="415A77"/>
          <w:sz w:val="26"/>
          <w:szCs w:val="26"/>
        </w:rPr>
        <w:t xml:space="preserve">1.1 Contexte et enjeux</w:t>
      </w:r>
    </w:p>
    <w:p>
      <w:pPr>
        <w:spacing w:after="100" w:before="40" w:line="320"/>
        <w:jc w:val="both"/>
      </w:pPr>
      <w:r>
        <w:rPr>
          <w:rFonts w:ascii="Times New Roman" w:cs="Times New Roman" w:eastAsia="Times New Roman" w:hAnsi="Times New Roman"/>
          <w:color w:val="1A1A1A"/>
          <w:sz w:val="22"/>
          <w:szCs w:val="22"/>
        </w:rPr>
        <w:t xml:space="preserve">D’après ce qu’on a pu lire dans les rapports du CERT-FR et les guides de l’ANSSI, les attaques DDoS sont de plus en plus fréquentes et puissantes -- on parle régulièrement de plusieurs térabit par seconde désormais. Les motivations sont variées : racket, politique, ou simple test de la part de hackers qui veulent voir jusqu’où ils peuvent aller. La France est d’ailleurs l’un des pays les plus ciblés en Europe.</w:t>
      </w:r>
    </w:p>
    <w:p>
      <w:pPr>
        <w:spacing w:after="100" w:before="40" w:line="320"/>
        <w:jc w:val="both"/>
      </w:pPr>
      <w:r>
        <w:rPr>
          <w:rFonts w:ascii="Times New Roman" w:cs="Times New Roman" w:eastAsia="Times New Roman" w:hAnsi="Times New Roman"/>
          <w:color w:val="1A1A1A"/>
          <w:sz w:val="22"/>
          <w:szCs w:val="22"/>
        </w:rPr>
        <w:t xml:space="preserve">D’ailleurs, pendant nos recherches, on est tombé sur des chiffres qui nous ont marqués : le coût moyen d’une attaque DDoS pour une entreprise peut dépasser le million d’euros quand on compte la perte de chiffre d’affaires, les rançons et les coûts de remise en route.</w:t>
      </w:r>
    </w:p>
    <w:p>
      <w:pPr>
        <w:pStyle w:val="Heading1"/>
        <w:spacing w:after="200" w:before="400"/>
      </w:pPr>
      <w:r>
        <w:rPr>
          <w:rFonts w:ascii="Times New Roman" w:cs="Times New Roman" w:eastAsia="Times New Roman" w:hAnsi="Times New Roman"/>
          <w:b/>
          <w:bCs/>
          <w:color w:val="1B263B"/>
          <w:sz w:val="32"/>
          <w:szCs w:val="32"/>
        </w:rPr>
        <w:t xml:space="preserve">2. Architecture du simulateur</w:t>
      </w:r>
    </w:p>
    <w:p>
      <w:pPr>
        <w:spacing w:after="100" w:before="40" w:line="320"/>
        <w:jc w:val="both"/>
      </w:pPr>
      <w:r>
        <w:rPr>
          <w:rFonts w:ascii="Times New Roman" w:cs="Times New Roman" w:eastAsia="Times New Roman" w:hAnsi="Times New Roman"/>
          <w:color w:val="1A1A1A"/>
          <w:sz w:val="22"/>
          <w:szCs w:val="22"/>
        </w:rPr>
        <w:t xml:space="preserve">Le simulateur NetSim DDoS est construit autour d’un moteur de simulation réseau en JavaScript (Node.js). On a choisi cette techno parce qu’on la maîtrisait déjà un peu et que Socket.IO -- la librairie qu’on utilise pour le temps réel -- est super bien documentée.</w:t>
      </w:r>
    </w:p>
    <w:p>
      <w:pPr>
        <w:spacing w:after="100" w:before="40" w:line="320"/>
        <w:jc w:val="both"/>
      </w:pPr>
      <w:r>
        <w:rPr>
          <w:rFonts w:ascii="Times New Roman" w:cs="Times New Roman" w:eastAsia="Times New Roman" w:hAnsi="Times New Roman"/>
          <w:color w:val="1A1A1A"/>
          <w:sz w:val="22"/>
          <w:szCs w:val="22"/>
        </w:rPr>
        <w:t xml:space="preserve">Le premier défi technique qu’on a rencontré, c’était de faire communiquer le navigateur et le serveur en temps réel. On a hésité entre utiliser des requêtes HTTP classiques (polling) ou passer par WebSocket. Socket.IO était un bon compromis : il gère la reconnexion automatique et utilise WebSocket quand c’est disponible, avec un fallback polling si nécessaire. Pratique quand on développe sur un VPS.</w:t>
      </w:r>
    </w:p>
    <w:p>
      <w:pPr>
        <w:spacing w:after="100" w:before="40" w:line="320"/>
        <w:jc w:val="both"/>
      </w:pPr>
      <w:r>
        <w:rPr>
          <w:rFonts w:ascii="Times New Roman" w:cs="Times New Roman" w:eastAsia="Times New Roman" w:hAnsi="Times New Roman"/>
          <w:color w:val="1A1A1A"/>
          <w:sz w:val="22"/>
          <w:szCs w:val="22"/>
        </w:rPr>
        <w:t xml:space="preserve">Ce qui nous a posé le plus de problèmes, c’est la synchronisation des animations avec les données réseau. Les paquets animés sur le canvas doivent correspondre aux métriques qu’on affiche à côté -- si le décalage est trop grand, on perd l’effet pédagogique. On a fini par trouver un rythme de « tick » à 100 ms qui marche bien.</w:t>
      </w:r>
    </w:p>
    <w:p>
      <w:pPr>
        <w:pStyle w:val="Heading2"/>
        <w:spacing w:after="120" w:before="280"/>
      </w:pPr>
      <w:r>
        <w:rPr>
          <w:rFonts w:ascii="Times New Roman" w:cs="Times New Roman" w:eastAsia="Times New Roman" w:hAnsi="Times New Roman"/>
          <w:b/>
          <w:bCs/>
          <w:color w:val="415A77"/>
          <w:sz w:val="26"/>
          <w:szCs w:val="26"/>
        </w:rPr>
        <w:t xml:space="preserve">2.1 Topologie simulée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Deux postes clients (PC1, PC2) qui génèrent du trafic légitime : requêtes HTTP, paquets ARP, requêtes DNS.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Un routeur central qui assure la commutation des paquets.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Un serveur web -- c’est la cible des attaques.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Un nœud attaquant qu’on peut activer pour déclencher les différents types d’attaques.</w:t>
      </w:r>
    </w:p>
    <w:p>
      <w:pPr>
        <w:pStyle w:val="Heading2"/>
        <w:spacing w:after="120" w:before="280"/>
      </w:pPr>
      <w:r>
        <w:rPr>
          <w:rFonts w:ascii="Times New Roman" w:cs="Times New Roman" w:eastAsia="Times New Roman" w:hAnsi="Times New Roman"/>
          <w:b/>
          <w:bCs/>
          <w:color w:val="415A77"/>
          <w:sz w:val="26"/>
          <w:szCs w:val="26"/>
        </w:rPr>
        <w:t xml:space="preserve">2.2 Métriques en temps réel</w:t>
      </w:r>
    </w:p>
    <w:p>
      <w:pPr>
        <w:spacing w:after="100" w:before="40" w:line="320"/>
        <w:jc w:val="both"/>
      </w:pPr>
      <w:r>
        <w:rPr>
          <w:rFonts w:ascii="Times New Roman" w:cs="Times New Roman" w:eastAsia="Times New Roman" w:hAnsi="Times New Roman"/>
          <w:color w:val="1A1A1A"/>
          <w:sz w:val="22"/>
          <w:szCs w:val="22"/>
        </w:rPr>
        <w:t xml:space="preserve">On a dû choisir quelles métriques afficher pour que ce soit utile sans être noyé d’informations. Voici ce qu’on a retenu :</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Métrique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Description</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packetsPerSec</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total de paquets par seconde</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synPerSec</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de paquets SYN par seconde</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udpPerSec</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de datagrammes UDP par seconde</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httpPerSec</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 de requêtes HTTP par seconde</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connectionBacklog</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Taille de la file d’attente (SYN backlog)</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bandwidthPercent</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Utilisation de la bande passante</w:t>
            </w:r>
          </w:p>
        </w:tc>
      </w:tr>
      <w:tr>
        <w:tc>
          <w:tcPr>
            <w:tcW w:type="dxa" w:w="3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cpuLoad</w:t>
            </w:r>
          </w:p>
        </w:tc>
        <w:tc>
          <w:tcPr>
            <w:tcW w:type="dxa" w:w="5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Charge CPU simulée du serveur</w:t>
            </w:r>
          </w:p>
        </w:tc>
      </w:tr>
    </w:tbl>
    <w:p>
      <w:pPr>
        <w:spacing w:after="140"/>
      </w:pPr>
    </w:p>
    <w:p>
      <w:pPr>
        <w:pStyle w:val="Heading1"/>
        <w:spacing w:after="200" w:before="400"/>
      </w:pPr>
      <w:r>
        <w:rPr>
          <w:rFonts w:ascii="Times New Roman" w:cs="Times New Roman" w:eastAsia="Times New Roman" w:hAnsi="Times New Roman"/>
          <w:b/>
          <w:bCs/>
          <w:color w:val="1B263B"/>
          <w:sz w:val="32"/>
          <w:szCs w:val="32"/>
        </w:rPr>
        <w:t xml:space="preserve">3. Attaques DDoS implémentées</w:t>
      </w:r>
    </w:p>
    <w:p>
      <w:pPr>
        <w:pStyle w:val="Heading2"/>
        <w:spacing w:after="120" w:before="280"/>
      </w:pPr>
      <w:r>
        <w:rPr>
          <w:rFonts w:ascii="Times New Roman" w:cs="Times New Roman" w:eastAsia="Times New Roman" w:hAnsi="Times New Roman"/>
          <w:b/>
          <w:bCs/>
          <w:color w:val="415A77"/>
          <w:sz w:val="26"/>
          <w:szCs w:val="26"/>
        </w:rPr>
        <w:t xml:space="preserve">3.1 SYN Flood</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SYN Flood exploite le handshake TCP en trois étapes. En temps normal, le client envoie un SYN, le serveur répond par SYN-ACK en réservant une place dans sa file d’attente, et le client termine par un ACK. Là, l’attaquant envoie des milliers de SYN avec des adresses IP forgées, et le serveur se retrouve à attendre des ACK qui n’arriveront jamais. Résultat : la file d’attente se sature en quelques secondes.</w:t>
      </w:r>
    </w:p>
    <w:p>
      <w:pPr>
        <w:spacing w:after="100" w:before="40" w:line="320"/>
        <w:jc w:val="both"/>
      </w:pPr>
      <w:r>
        <w:rPr>
          <w:rFonts w:ascii="Times New Roman" w:cs="Times New Roman" w:eastAsia="Times New Roman" w:hAnsi="Times New Roman"/>
          <w:color w:val="1A1A1A"/>
          <w:sz w:val="22"/>
          <w:szCs w:val="22"/>
        </w:rPr>
        <w:t xml:space="preserve">Quand on a lancé l’attaque pour la première fois, on a été vraiment surpris de voir à quelle vitesse le backlog saturait -- en moins de trois secondes, la file était pleine et les connexions légitimes étaient refusées. Ça donne une idée de l’efficacité redoutable de cette technique.</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2 — Attaque SYN Flood en cours. Le backlog de connexions augmente rapidement, la bande passante sature et les alertes de detection s’activent.</w:t>
      </w:r>
    </w:p>
    <w:p>
      <w:pPr>
        <w:pStyle w:val="Heading3"/>
        <w:spacing w:after="80" w:before="200"/>
      </w:pPr>
      <w:r>
        <w:rPr>
          <w:rFonts w:ascii="Times New Roman" w:cs="Times New Roman" w:eastAsia="Times New Roman" w:hAnsi="Times New Roman"/>
          <w:b/>
          <w:bCs/>
          <w:color w:val="1A1A1A"/>
          <w:sz w:val="22"/>
          <w:szCs w:val="22"/>
        </w:rPr>
        <w:t xml:space="preserve">Détection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Pic de paquets SYN -- plusieurs milliers par seconde alors que d’habitude on en a quelques dizaines.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Déséquilibre flagrant entre le nombre de SYN entrants et les ACK reçus.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Backlog proche de la saturation -- c’est le signe le plus visuel dans notre simulateur.</w:t>
      </w:r>
    </w:p>
    <w:p>
      <w:pPr>
        <w:pStyle w:val="Heading3"/>
        <w:spacing w:after="80" w:before="200"/>
      </w:pPr>
      <w:r>
        <w:rPr>
          <w:rFonts w:ascii="Times New Roman" w:cs="Times New Roman" w:eastAsia="Times New Roman" w:hAnsi="Times New Roman"/>
          <w:b/>
          <w:bCs/>
          <w:color w:val="1A1A1A"/>
          <w:sz w:val="22"/>
          <w:szCs w:val="22"/>
        </w:rPr>
        <w:t xml:space="preserve">Prévention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Description</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SYN Cookies</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Le noyau ne réserve pas de place avant d’avoir reçu l’ACK. Très efficace.</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Backlog élargi</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On peut augmenter tcp_max_syn_backlog et somaxconn pour gagner du temps.</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Limiter le nombre de SYN par seconde et par IP source.</w:t>
            </w:r>
          </w:p>
        </w:tc>
      </w:tr>
      <w:tr>
        <w:tc>
          <w:tcPr>
            <w:tcW w:type="dxa" w:w="3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Reverse proxy / CDN</w:t>
            </w:r>
          </w:p>
        </w:tc>
        <w:tc>
          <w:tcPr>
            <w:tcW w:type="dxa" w:w="5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Cloudflare, AWS Shield absorbent le trafic avant qu’il n’arrive au serveur.</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3.2 Port Scan</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Le port scan n’est pas une attaque DDoS en soi, mais plutôt une technique de reconnaissance qu’on utilise en amont pour repérer les failles. Les types les plus courants sont le SYN scan (half-open), le connect scan, l’UDP scan, et les scans FIN/NULL/Xmas qui utilisent des combinaisons de flags bizarres pour tromper les pare-feux.</w:t>
      </w:r>
    </w:p>
    <w:p>
      <w:pPr>
        <w:spacing w:after="100" w:before="40" w:line="320"/>
        <w:jc w:val="both"/>
      </w:pPr>
      <w:r>
        <w:rPr>
          <w:rFonts w:ascii="Times New Roman" w:cs="Times New Roman" w:eastAsia="Times New Roman" w:hAnsi="Times New Roman"/>
          <w:color w:val="1A1A1A"/>
          <w:sz w:val="22"/>
          <w:szCs w:val="22"/>
        </w:rPr>
        <w:t xml:space="preserve">Dans un contexte DDoS, le port scan distribué permet de cartographier l’infrastructure cible sans se faire repérer -- chaque bot ne scanne qu’une petite partie.</w:t>
      </w:r>
    </w:p>
    <w:p>
      <w:pPr>
        <w:pStyle w:val="Heading3"/>
        <w:spacing w:after="80" w:before="200"/>
      </w:pPr>
      <w:r>
        <w:rPr>
          <w:rFonts w:ascii="Times New Roman" w:cs="Times New Roman" w:eastAsia="Times New Roman" w:hAnsi="Times New Roman"/>
          <w:b/>
          <w:bCs/>
          <w:color w:val="1A1A1A"/>
          <w:sz w:val="22"/>
          <w:szCs w:val="22"/>
        </w:rPr>
        <w:t xml:space="preserve">Détection et prévention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 de détection</w:t>
            </w:r>
          </w:p>
        </w:tc>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Mesure de prévention</w:t>
            </w:r>
          </w:p>
        </w:tc>
      </w:tr>
      <w:tr>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Connexions incomplètes (SYN sans ACK)</w:t>
            </w:r>
          </w:p>
        </w:tc>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Pare-feu restrictif</w:t>
            </w:r>
          </w:p>
        </w:tc>
      </w:tr>
      <w:tr>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Séquences de ports inhabituelles</w:t>
            </w:r>
          </w:p>
        </w:tc>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 par IP</w:t>
            </w:r>
          </w:p>
        </w:tc>
      </w:tr>
      <w:tr>
        <w:tc>
          <w:tcPr>
            <w:tcW w:type="dxa" w:w="4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Outils : psad, Snort, Suricata</w:t>
            </w:r>
          </w:p>
        </w:tc>
        <w:tc>
          <w:tcPr>
            <w:tcW w:type="dxa" w:w="4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Port knocking et fail2ban</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3.3 UDP Flood</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L’UDP Flood est redoutable parce que le protocole UDP n’a pas d’état -- le serveur reçoit un paquet et doit le traiter sans pouvoir vérifier d’où il vient. L’attaquant envoie des tonnes de datagrammes sur des ports aléatoires, et le serveur doit répondre avec des ICMP « Destination Unreachable » pour chaque paquet reçu sur un port fermé.</w:t>
      </w:r>
    </w:p>
    <w:p>
      <w:pPr>
        <w:spacing w:after="100" w:before="40" w:line="320"/>
        <w:jc w:val="both"/>
      </w:pPr>
      <w:r>
        <w:rPr>
          <w:rFonts w:ascii="Times New Roman" w:cs="Times New Roman" w:eastAsia="Times New Roman" w:hAnsi="Times New Roman"/>
          <w:color w:val="1A1A1A"/>
          <w:sz w:val="22"/>
          <w:szCs w:val="22"/>
        </w:rPr>
        <w:t xml:space="preserve">Ce qu’on a trouvé intéressant en testant, c’est que l’UDP Flood fait rapidement grimper la bande passante à 100% alors que le CPU du serveur reste relativement bas -- ce qui rend l’attaque difficile à distinguer d’un pic de trafic normal pour quelqu’un qui ne regarde que la charge processeur.</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3 — Attaque UDP Flood en cours. Le nombre de datagrammes UDP par seconde explose, la bande passante approche les 100%.</w:t>
      </w:r>
    </w:p>
    <w:p>
      <w:pPr>
        <w:pStyle w:val="Heading3"/>
        <w:spacing w:after="80" w:before="200"/>
      </w:pPr>
      <w:r>
        <w:rPr>
          <w:rFonts w:ascii="Times New Roman" w:cs="Times New Roman" w:eastAsia="Times New Roman" w:hAnsi="Times New Roman"/>
          <w:b/>
          <w:bCs/>
          <w:color w:val="1A1A1A"/>
          <w:sz w:val="22"/>
          <w:szCs w:val="22"/>
        </w:rPr>
        <w:t xml:space="preserve">Détection et prévention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 de détection</w:t>
            </w:r>
          </w:p>
        </w:tc>
        <w:tc>
          <w:tcPr>
            <w:tcW w:type="dxa" w:w="4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Mesure de prévention</w:t>
            </w:r>
          </w:p>
        </w:tc>
      </w:tr>
      <w:tr>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Hausse brutale du trafic UDP</w:t>
            </w:r>
          </w:p>
        </w:tc>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Filtrage UDP au pare-feu</w:t>
            </w:r>
          </w:p>
        </w:tc>
      </w:tr>
      <w:tr>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Ports cibles aléatoires</w:t>
            </w:r>
          </w:p>
        </w:tc>
        <w:tc>
          <w:tcPr>
            <w:tcW w:type="dxa" w:w="4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 du débit UDP par source</w:t>
            </w:r>
          </w:p>
        </w:tc>
      </w:tr>
      <w:tr>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Nombreux ICMP Unreachable en sortie</w:t>
            </w:r>
          </w:p>
        </w:tc>
        <w:tc>
          <w:tcPr>
            <w:tcW w:type="dxa" w:w="4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CDN anti-DDoS (Cloudflare, AWS Shield)</w:t>
            </w:r>
          </w:p>
        </w:tc>
      </w:tr>
      <w:tr>
        <w:tc>
          <w:tcPr>
            <w:tcW w:type="dxa" w:w="4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Déséquilibre entrée/sortie</w:t>
            </w:r>
          </w:p>
        </w:tc>
        <w:tc>
          <w:tcPr>
            <w:tcW w:type="dxa" w:w="4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Routage Anycast</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3.4 Amplification DNS</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L’amplification DNS, c’est un peu l’arme ultime des attaques par réflexion. L’idée est simple : envoyer une petite requête (40 octets) à un serveur DNS public en faisant croire qu’elle vient de la victime. Le serveur DNS répond alors à la victime avec une réponse 50 à 100 fois plus grosse. 40 octets envoyés, 4 000 reçus -- le ratio est impressionnant.</w:t>
      </w:r>
    </w:p>
    <w:p>
      <w:pPr>
        <w:spacing w:after="100" w:before="40" w:line="320"/>
        <w:jc w:val="both"/>
      </w:pPr>
      <w:r>
        <w:rPr>
          <w:rFonts w:ascii="Times New Roman" w:cs="Times New Roman" w:eastAsia="Times New Roman" w:hAnsi="Times New Roman"/>
          <w:color w:val="1A1A1A"/>
          <w:sz w:val="22"/>
          <w:szCs w:val="22"/>
        </w:rPr>
        <w:t xml:space="preserve">Ce qui nous a le plus frappé en étudiant cette attaque, c’est qu’elle ne nécessite presque pas de ressources de la part de l’attaquant. Avec une petite connexion, on peut générer des dizaines de gigabits par seconde en exploitant des milliers de serveurs DNS mal configurés.</w:t>
      </w:r>
    </w:p>
    <w:p>
      <w:pPr>
        <w:pStyle w:val="Heading3"/>
        <w:spacing w:after="80" w:before="200"/>
      </w:pPr>
      <w:r>
        <w:rPr>
          <w:rFonts w:ascii="Times New Roman" w:cs="Times New Roman" w:eastAsia="Times New Roman" w:hAnsi="Times New Roman"/>
          <w:b/>
          <w:bCs/>
          <w:color w:val="1A1A1A"/>
          <w:sz w:val="22"/>
          <w:szCs w:val="22"/>
        </w:rPr>
        <w:t xml:space="preserve">Facteurs d’amplification</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500"/>
      </w:tblGrid>
      <w:tr>
        <w:trPr>
          <w:tblHeader/>
        </w:trPr>
        <w:tc>
          <w:tcPr>
            <w:tcW w:type="dxa" w:w="3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Protocole</w:t>
            </w:r>
          </w:p>
        </w:tc>
        <w:tc>
          <w:tcPr>
            <w:tcW w:type="dxa" w:w="2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Port</w:t>
            </w:r>
          </w:p>
        </w:tc>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Facteur d’amplification</w:t>
            </w:r>
          </w:p>
        </w:tc>
      </w:tr>
      <w:tr>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DNS</w:t>
            </w:r>
          </w:p>
        </w:tc>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53</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50 a 100x</w:t>
            </w:r>
          </w:p>
        </w:tc>
      </w:tr>
      <w:tr>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NTP</w:t>
            </w:r>
          </w:p>
        </w:tc>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123</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Jusqu’a 556x</w:t>
            </w:r>
          </w:p>
        </w:tc>
      </w:tr>
      <w:tr>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SSDP</w:t>
            </w:r>
          </w:p>
        </w:tc>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1900</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Environ 30x</w:t>
            </w:r>
          </w:p>
        </w:tc>
      </w:tr>
      <w:tr>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Memcached</w:t>
            </w:r>
          </w:p>
        </w:tc>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11211</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Jusqu’a 50 000x (aujourd’hui mitige)</w:t>
            </w:r>
          </w:p>
        </w:tc>
      </w:tr>
      <w:tr>
        <w:tc>
          <w:tcPr>
            <w:tcW w:type="dxa" w:w="30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CHARGEN</w:t>
            </w:r>
          </w:p>
        </w:tc>
        <w:tc>
          <w:tcPr>
            <w:tcW w:type="dxa" w:w="2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19</w:t>
            </w:r>
          </w:p>
        </w:tc>
        <w:tc>
          <w:tcPr>
            <w:tcW w:type="dxa" w:w="3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Environ 358x</w:t>
            </w:r>
          </w:p>
        </w:tc>
      </w:tr>
    </w:tbl>
    <w:p>
      <w:pPr>
        <w:spacing w:after="140"/>
      </w:pP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4 — Attaque par amplification DNS en cours. Les requetes DNS forgees inondent le serveur avec un facteur d’amplification important.</w:t>
      </w:r>
    </w:p>
    <w:p>
      <w:pPr>
        <w:pStyle w:val="Heading3"/>
        <w:spacing w:after="80" w:before="200"/>
      </w:pPr>
      <w:r>
        <w:rPr>
          <w:rFonts w:ascii="Times New Roman" w:cs="Times New Roman" w:eastAsia="Times New Roman" w:hAnsi="Times New Roman"/>
          <w:b/>
          <w:bCs/>
          <w:color w:val="1A1A1A"/>
          <w:sz w:val="22"/>
          <w:szCs w:val="22"/>
        </w:rPr>
        <w:t xml:space="preserve">Détection et prévention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Trafic DNS massif arrivant sur la cible sans qu’elle ait émis de requêtes.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Paquets DNS anormalement gros (requêtes ANY avec EDNS0).</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Prévention : fermer les résolveurs DNS ouverts, appliquer BCP38, utiliser Anycast DNS.</w:t>
      </w:r>
    </w:p>
    <w:p>
      <w:pPr>
        <w:pStyle w:val="Heading2"/>
        <w:spacing w:after="120" w:before="280"/>
      </w:pPr>
      <w:r>
        <w:rPr>
          <w:rFonts w:ascii="Times New Roman" w:cs="Times New Roman" w:eastAsia="Times New Roman" w:hAnsi="Times New Roman"/>
          <w:b/>
          <w:bCs/>
          <w:color w:val="415A77"/>
          <w:sz w:val="26"/>
          <w:szCs w:val="26"/>
        </w:rPr>
        <w:t xml:space="preserve">3.5 Attaque par fragmentation (Teardrop)</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Teardrop, c’est une technique assez vieille (années 90) qui exploite des bugs dans le réassemblage des fragments IP. L’attaquant envoie des fragments qui se chevauchent volontairement, et certains OS anciens -- Linux avant 2.0.33, Windows 95/NT -- plantent carrément en essayant de les réassembler.</w:t>
      </w:r>
    </w:p>
    <w:p>
      <w:pPr>
        <w:spacing w:after="100" w:before="40" w:line="320"/>
        <w:jc w:val="both"/>
      </w:pPr>
      <w:r>
        <w:rPr>
          <w:rFonts w:ascii="Times New Roman" w:cs="Times New Roman" w:eastAsia="Times New Roman" w:hAnsi="Times New Roman"/>
          <w:color w:val="1A1A1A"/>
          <w:sz w:val="22"/>
          <w:szCs w:val="22"/>
        </w:rPr>
        <w:t xml:space="preserve">On a quand même inclus cette attaque dans le rapport parce qu’elle illustre bien comment une vulnérabilité au niveau IP peut rendre un système entier hors service. Les systèmes modernes ne sont plus concernés, mais le principe reste instructif.</w:t>
      </w:r>
    </w:p>
    <w:p>
      <w:pPr>
        <w:pStyle w:val="Heading2"/>
        <w:spacing w:after="120" w:before="280"/>
      </w:pPr>
      <w:r>
        <w:rPr>
          <w:rFonts w:ascii="Times New Roman" w:cs="Times New Roman" w:eastAsia="Times New Roman" w:hAnsi="Times New Roman"/>
          <w:b/>
          <w:bCs/>
          <w:color w:val="415A77"/>
          <w:sz w:val="26"/>
          <w:szCs w:val="26"/>
        </w:rPr>
        <w:t xml:space="preserve">3.6 HTTP Flood</w:t>
      </w:r>
    </w:p>
    <w:p>
      <w:pPr>
        <w:pStyle w:val="Heading3"/>
        <w:spacing w:after="80" w:before="200"/>
      </w:pPr>
      <w:r>
        <w:rPr>
          <w:rFonts w:ascii="Times New Roman" w:cs="Times New Roman" w:eastAsia="Times New Roman" w:hAnsi="Times New Roman"/>
          <w:b/>
          <w:bCs/>
          <w:color w:val="1A1A1A"/>
          <w:sz w:val="22"/>
          <w:szCs w:val="22"/>
        </w:rPr>
        <w:t xml:space="preserve">Principe technique</w:t>
      </w:r>
    </w:p>
    <w:p>
      <w:pPr>
        <w:spacing w:after="100" w:before="40" w:line="320"/>
        <w:jc w:val="both"/>
      </w:pPr>
      <w:r>
        <w:rPr>
          <w:rFonts w:ascii="Times New Roman" w:cs="Times New Roman" w:eastAsia="Times New Roman" w:hAnsi="Times New Roman"/>
          <w:color w:val="1A1A1A"/>
          <w:sz w:val="22"/>
          <w:szCs w:val="22"/>
        </w:rPr>
        <w:t xml:space="preserve">L’attaque HTTP Flood cible la couche application (Layer 7). Contrairement aux attaques précédentes qui sont « volumétriques », celle-ci vise à épuiser les ressources applicatives du serveur -- CPU, mémoire, connexions base de données.</w:t>
      </w:r>
    </w:p>
    <w:p>
      <w:pPr>
        <w:spacing w:after="100" w:before="40" w:line="320"/>
        <w:jc w:val="both"/>
      </w:pPr>
      <w:r>
        <w:rPr>
          <w:rFonts w:ascii="Times New Roman" w:cs="Times New Roman" w:eastAsia="Times New Roman" w:hAnsi="Times New Roman"/>
          <w:color w:val="1A1A1A"/>
          <w:sz w:val="22"/>
          <w:szCs w:val="22"/>
        </w:rPr>
        <w:t xml:space="preserve">Le vrai problème avec cette attaque, c’est qu’elle est super difficile à détecter parce que chaque requête prise individuellement est parfaitement légitime. C’est le volume agrégé qui pose problème. Pendant nos tests, on a vu le CPU monter à plus de 90% sans que le nombre de paquets réseau soit particulièrement élevé -- le goulot d’étranglement était le serveur web, pas le réseau.</w:t>
      </w:r>
    </w:p>
    <w:p>
      <w:pPr>
        <w:spacing w:after="140"/>
      </w:pPr>
    </w:p>
    <w:p>
      <w:pPr>
        <w:spacing w:after="60" w:before="120"/>
        <w:jc w:val="center"/>
      </w:pPr>
      <w:r>
        <w:drawing>
          <wp:inline distT="0" distB="0" distL="0" distR="0">
            <wp:extent cx="71437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143750" cy="4019550"/>
                    </a:xfrm>
                    <a:prstGeom prst="rect">
                      <a:avLst/>
                    </a:prstGeom>
                  </pic:spPr>
                </pic:pic>
              </a:graphicData>
            </a:graphic>
          </wp:inline>
        </w:drawing>
      </w:r>
    </w:p>
    <w:p>
      <w:pPr>
        <w:spacing w:after="200" w:before="0"/>
        <w:jc w:val="center"/>
      </w:pPr>
      <w:r>
        <w:rPr>
          <w:rFonts w:ascii="Times New Roman" w:cs="Times New Roman" w:eastAsia="Times New Roman" w:hAnsi="Times New Roman"/>
          <w:i/>
          <w:iCs/>
          <w:color w:val="778DA9"/>
          <w:sz w:val="18"/>
          <w:szCs w:val="18"/>
        </w:rPr>
        <w:t xml:space="preserve">Figure 5 — Attaque HTTP Flood en cours. Le nombre de requetes HTTP par seconde s’envole, la charge CPU simulee atteint des niveaux critiques.</w:t>
      </w:r>
    </w:p>
    <w:p>
      <w:pPr>
        <w:pStyle w:val="Heading3"/>
        <w:spacing w:after="80" w:before="200"/>
      </w:pPr>
      <w:r>
        <w:rPr>
          <w:rFonts w:ascii="Times New Roman" w:cs="Times New Roman" w:eastAsia="Times New Roman" w:hAnsi="Times New Roman"/>
          <w:b/>
          <w:bCs/>
          <w:color w:val="1A1A1A"/>
          <w:sz w:val="22"/>
          <w:szCs w:val="22"/>
        </w:rPr>
        <w:t xml:space="preserve">Variantes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Variante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Description</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Slowloris</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Connexions ouvertes avec des headers incomplets</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HTTP GET Flood</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Requetes sur des pages lourdes ou dynamiques</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HTTP POST Flood</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Requetes avec corps volumineux</w:t>
            </w:r>
          </w:p>
        </w:tc>
      </w:tr>
      <w:tr>
        <w:tc>
          <w:tcPr>
            <w:tcW w:type="dxa" w:w="3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Cache bypass</w:t>
            </w:r>
          </w:p>
        </w:tc>
        <w:tc>
          <w:tcPr>
            <w:tcW w:type="dxa" w:w="55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Requetes aleatoires pour contourner les caches CDN</w:t>
            </w:r>
          </w:p>
        </w:tc>
      </w:tr>
    </w:tbl>
    <w:p>
      <w:pPr>
        <w:spacing w:after="140"/>
      </w:pPr>
    </w:p>
    <w:p>
      <w:pPr>
        <w:pStyle w:val="Heading3"/>
        <w:spacing w:after="80" w:before="200"/>
      </w:pPr>
      <w:r>
        <w:rPr>
          <w:rFonts w:ascii="Times New Roman" w:cs="Times New Roman" w:eastAsia="Times New Roman" w:hAnsi="Times New Roman"/>
          <w:b/>
          <w:bCs/>
          <w:color w:val="1A1A1A"/>
          <w:sz w:val="22"/>
          <w:szCs w:val="22"/>
        </w:rPr>
        <w:t xml:space="preserve">Détection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Augmentation soudaine du nombre de requêtes HTTP (x10 a x100).</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User-Agents suspects ou identiques -- signe d’un botnet mal configuré.</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Taux d’erreur 5xx en hausse et latence applicative anormale.</w:t>
      </w:r>
    </w:p>
    <w:p>
      <w:pPr>
        <w:pStyle w:val="Heading3"/>
        <w:spacing w:after="80" w:before="200"/>
      </w:pPr>
      <w:r>
        <w:rPr>
          <w:rFonts w:ascii="Times New Roman" w:cs="Times New Roman" w:eastAsia="Times New Roman" w:hAnsi="Times New Roman"/>
          <w:b/>
          <w:bCs/>
          <w:color w:val="1A1A1A"/>
          <w:sz w:val="22"/>
          <w:szCs w:val="22"/>
        </w:rPr>
        <w:t xml:space="preserve">Prévention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Rate limiting par IP, session et URI.</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WAF pour l’analyse comportementale HTTP.</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Challenge CAPTCHA ou JavaScript pour filtrer les bots.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Reverse proxy distribué (Cloudflare, AWS WAF, Imperva).</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Mise en cache agressive (Redis, Varnish, Cloudflare CDN).</w:t>
      </w:r>
    </w:p>
    <w:p>
      <w:pPr>
        <w:pStyle w:val="Heading1"/>
        <w:spacing w:after="200" w:before="400"/>
      </w:pPr>
      <w:r>
        <w:rPr>
          <w:rFonts w:ascii="Times New Roman" w:cs="Times New Roman" w:eastAsia="Times New Roman" w:hAnsi="Times New Roman"/>
          <w:b/>
          <w:bCs/>
          <w:color w:val="1B263B"/>
          <w:sz w:val="32"/>
          <w:szCs w:val="32"/>
        </w:rPr>
        <w:t xml:space="preserve">4. Détection des attaques DDoS</w:t>
      </w:r>
    </w:p>
    <w:p>
      <w:pPr>
        <w:pStyle w:val="Heading2"/>
        <w:spacing w:after="120" w:before="280"/>
      </w:pPr>
      <w:r>
        <w:rPr>
          <w:rFonts w:ascii="Times New Roman" w:cs="Times New Roman" w:eastAsia="Times New Roman" w:hAnsi="Times New Roman"/>
          <w:b/>
          <w:bCs/>
          <w:color w:val="415A77"/>
          <w:sz w:val="26"/>
          <w:szCs w:val="26"/>
        </w:rPr>
        <w:t xml:space="preserve">4.1 Approche multi-couche</w:t>
      </w:r>
    </w:p>
    <w:p>
      <w:pPr>
        <w:spacing w:after="100" w:before="40" w:line="320"/>
        <w:jc w:val="both"/>
      </w:pPr>
      <w:r>
        <w:rPr>
          <w:rFonts w:ascii="Times New Roman" w:cs="Times New Roman" w:eastAsia="Times New Roman" w:hAnsi="Times New Roman"/>
          <w:color w:val="1A1A1A"/>
          <w:sz w:val="22"/>
          <w:szCs w:val="22"/>
        </w:rPr>
        <w:t xml:space="preserve">On s’est rendu compte en testant le simulateur qu’aucune métrique prise isolément ne suffit à détecter une attaque. Le bandwidth à 100%, ça peut être un gros téléchargement. Le CPU à 90%, ça peut être un pic d’utilisation normal. C’est la combinaison des signaux qui permet de poser un diagnostic fiable.</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000"/>
      </w:tblGrid>
      <w:tr>
        <w:trPr>
          <w:tblHeader/>
        </w:trPr>
        <w:tc>
          <w:tcPr>
            <w:tcW w:type="dxa" w:w="2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Niveau</w:t>
            </w:r>
          </w:p>
        </w:tc>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Méthode</w:t>
            </w:r>
          </w:p>
        </w:tc>
        <w:tc>
          <w:tcPr>
            <w:tcW w:type="dxa" w:w="3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Outils</w:t>
            </w:r>
          </w:p>
        </w:tc>
      </w:tr>
      <w:tr>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Reseau</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Analyse de trafic (NetFlow, sFlow)</w:t>
            </w:r>
          </w:p>
        </w:tc>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PRTG, Zabbix, ntopng</w:t>
            </w:r>
          </w:p>
        </w:tc>
      </w:tr>
      <w:tr>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Systeme</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Metriques CPU, memoire, backlog</w:t>
            </w:r>
          </w:p>
        </w:tc>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Prometheus, Grafana</w:t>
            </w:r>
          </w:p>
        </w:tc>
      </w:tr>
      <w:tr>
        <w:tc>
          <w:tcPr>
            <w:tcW w:type="dxa" w:w="2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Application</w:t>
            </w:r>
          </w:p>
        </w:tc>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Logs, temps de reponse</w:t>
            </w:r>
          </w:p>
        </w:tc>
        <w:tc>
          <w:tcPr>
            <w:tcW w:type="dxa" w:w="3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Datadog, ELK Stack</w:t>
            </w:r>
          </w:p>
        </w:tc>
      </w:tr>
      <w:tr>
        <w:tc>
          <w:tcPr>
            <w:tcW w:type="dxa" w:w="2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Pare-feu</w:t>
            </w:r>
          </w:p>
        </w:tc>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Regles de filtrage</w:t>
            </w:r>
          </w:p>
        </w:tc>
        <w:tc>
          <w:tcPr>
            <w:tcW w:type="dxa" w:w="3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iptables, pfSense</w:t>
            </w:r>
          </w:p>
        </w:tc>
      </w:tr>
      <w:tr>
        <w:tc>
          <w:tcPr>
            <w:tcW w:type="dxa" w:w="2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WAF</w:t>
            </w:r>
          </w:p>
        </w:tc>
        <w:tc>
          <w:tcPr>
            <w:tcW w:type="dxa" w:w="3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Analyse HTTP</w:t>
            </w:r>
          </w:p>
        </w:tc>
        <w:tc>
          <w:tcPr>
            <w:tcW w:type="dxa" w:w="30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ModSecurity, Cloudflare WAF</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4.2 Indicateurs de compromission</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Volume de trafic x10 a x1000 par rapport a la normale.</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Taux de SYN &gt; 70% du trafic total.</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Augmentation brutale du trafic UDP ou DNS.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Erreurs 5xx &gt; 10%.</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Latence multipliee par 5.</w:t>
      </w:r>
    </w:p>
    <w:p>
      <w:pPr>
        <w:pStyle w:val="Heading1"/>
        <w:spacing w:after="200" w:before="400"/>
      </w:pPr>
      <w:r>
        <w:rPr>
          <w:rFonts w:ascii="Times New Roman" w:cs="Times New Roman" w:eastAsia="Times New Roman" w:hAnsi="Times New Roman"/>
          <w:b/>
          <w:bCs/>
          <w:color w:val="1B263B"/>
          <w:sz w:val="32"/>
          <w:szCs w:val="32"/>
        </w:rPr>
        <w:t xml:space="preserve">5. Conduite a tenir pour le RSSI</w:t>
      </w:r>
    </w:p>
    <w:p>
      <w:pPr>
        <w:spacing w:after="100" w:before="40" w:line="320"/>
        <w:jc w:val="both"/>
      </w:pPr>
      <w:r>
        <w:rPr>
          <w:rFonts w:ascii="Times New Roman" w:cs="Times New Roman" w:eastAsia="Times New Roman" w:hAnsi="Times New Roman"/>
          <w:color w:val="1A1A1A"/>
          <w:sz w:val="22"/>
          <w:szCs w:val="22"/>
        </w:rPr>
        <w:t xml:space="preserve">On s’est basés sur les guides CERTFR-2024-RFX-010-2 et CERTFR-2024-RFX-009-2 pour rédiger cette section. Ce qui ressort de ces documents, c’est que la préparation est au moins aussi importante que la réaction elle-même.</w:t>
      </w:r>
    </w:p>
    <w:p>
      <w:pPr>
        <w:pStyle w:val="Heading2"/>
        <w:spacing w:after="120" w:before="280"/>
      </w:pPr>
      <w:r>
        <w:rPr>
          <w:rFonts w:ascii="Times New Roman" w:cs="Times New Roman" w:eastAsia="Times New Roman" w:hAnsi="Times New Roman"/>
          <w:b/>
          <w:bCs/>
          <w:color w:val="415A77"/>
          <w:sz w:val="26"/>
          <w:szCs w:val="26"/>
        </w:rPr>
        <w:t xml:space="preserve">5.1 Phase préparatoire</w:t>
      </w:r>
    </w:p>
    <w:p>
      <w:pPr>
        <w:spacing w:after="100" w:before="40" w:line="320"/>
        <w:jc w:val="both"/>
      </w:pPr>
      <w:r>
        <w:rPr>
          <w:rFonts w:ascii="Times New Roman" w:cs="Times New Roman" w:eastAsia="Times New Roman" w:hAnsi="Times New Roman"/>
          <w:color w:val="1A1A1A"/>
          <w:sz w:val="22"/>
          <w:szCs w:val="22"/>
        </w:rPr>
        <w:t xml:space="preserve">Avant l’attaque, le RSSI doit avoir fait ses devoirs : cartographie du SI, baseline de trafic, seuils d’alerte, contrat anti-DDoS, PCA/PRA testé, templates de communication prêts. Tout ça paraît évident sur le papier, mais dans la réalité beaucoup d’entreprises n’ont que la moitié de ces mesures en place.</w:t>
      </w:r>
    </w:p>
    <w:p>
      <w:pPr>
        <w:pStyle w:val="Heading2"/>
        <w:spacing w:after="120" w:before="280"/>
      </w:pPr>
      <w:r>
        <w:rPr>
          <w:rFonts w:ascii="Times New Roman" w:cs="Times New Roman" w:eastAsia="Times New Roman" w:hAnsi="Times New Roman"/>
          <w:b/>
          <w:bCs/>
          <w:color w:val="415A77"/>
          <w:sz w:val="26"/>
          <w:szCs w:val="26"/>
        </w:rPr>
        <w:t xml:space="preserve">5.2 Phase de détection</w:t>
      </w:r>
    </w:p>
    <w:p>
      <w:pPr>
        <w:spacing w:after="100" w:before="40" w:line="320"/>
        <w:jc w:val="both"/>
      </w:pPr>
      <w:r>
        <w:rPr>
          <w:rFonts w:ascii="Times New Roman" w:cs="Times New Roman" w:eastAsia="Times New Roman" w:hAnsi="Times New Roman"/>
          <w:color w:val="1A1A1A"/>
          <w:sz w:val="22"/>
          <w:szCs w:val="22"/>
        </w:rPr>
        <w:t xml:space="preserve">Les premières minutes sont cruciales. La procédure recommande : confirmer l’attaque, la caractériser, contacter le FAI, déclencher le service anti-DDoS, protéger les services critiques, communiquer en interne, et déclarer au CERT-FR. Ce qui nous a surpris, c’est le nombre d’actions à mener en parallèle -- c’est là qu’un plan bien rodé fait la différence.</w:t>
      </w:r>
    </w:p>
    <w:p>
      <w:pPr>
        <w:pStyle w:val="Heading2"/>
        <w:spacing w:after="120" w:before="280"/>
      </w:pPr>
      <w:r>
        <w:rPr>
          <w:rFonts w:ascii="Times New Roman" w:cs="Times New Roman" w:eastAsia="Times New Roman" w:hAnsi="Times New Roman"/>
          <w:b/>
          <w:bCs/>
          <w:color w:val="415A77"/>
          <w:sz w:val="26"/>
          <w:szCs w:val="26"/>
        </w:rPr>
        <w:t xml:space="preserve">5.3 Phase de mitigation</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tblGrid>
      <w:tr>
        <w:trPr>
          <w:tblHeader/>
        </w:trPr>
        <w:tc>
          <w:tcPr>
            <w:tcW w:type="dxa" w:w="5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Action</w:t>
            </w:r>
          </w:p>
        </w:tc>
        <w:tc>
          <w:tcPr>
            <w:tcW w:type="dxa" w:w="20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Delai</w:t>
            </w:r>
          </w:p>
        </w:tc>
      </w:tr>
      <w:tr>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Filtrage d’ingress</w:t>
            </w:r>
          </w:p>
        </w:tc>
        <w:tc>
          <w:tcPr>
            <w:tcW w:type="dxa" w:w="2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Quelques minutes</w:t>
            </w:r>
          </w:p>
        </w:tc>
      </w:tr>
      <w:tr>
        <w:tc>
          <w:tcPr>
            <w:tcW w:type="dxa" w:w="5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Rate limiting agressif</w:t>
            </w:r>
          </w:p>
        </w:tc>
        <w:tc>
          <w:tcPr>
            <w:tcW w:type="dxa" w:w="2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Immediat</w:t>
            </w:r>
          </w:p>
        </w:tc>
      </w:tr>
      <w:tr>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Blackholing / Null routing</w:t>
            </w:r>
          </w:p>
        </w:tc>
        <w:tc>
          <w:tcPr>
            <w:tcW w:type="dxa" w:w="2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Si attaque trop volumineuse</w:t>
            </w:r>
          </w:p>
        </w:tc>
      </w:tr>
      <w:tr>
        <w:tc>
          <w:tcPr>
            <w:tcW w:type="dxa" w:w="5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Basculement DNS anti-DDoS</w:t>
            </w:r>
          </w:p>
        </w:tc>
        <w:tc>
          <w:tcPr>
            <w:tcW w:type="dxa" w:w="20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5 a 15 minutes</w:t>
            </w:r>
          </w:p>
        </w:tc>
      </w:tr>
      <w:tr>
        <w:tc>
          <w:tcPr>
            <w:tcW w:type="dxa" w:w="5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Scale-up horizontal</w:t>
            </w:r>
          </w:p>
        </w:tc>
        <w:tc>
          <w:tcPr>
            <w:tcW w:type="dxa" w:w="20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Auto-scaling</w:t>
            </w:r>
          </w:p>
        </w:tc>
      </w:tr>
      <w:tr>
        <w:tc>
          <w:tcPr>
            <w:tcW w:type="dxa" w:w="50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CAPTCHA / JS Challenge</w:t>
            </w:r>
          </w:p>
        </w:tc>
        <w:tc>
          <w:tcPr>
            <w:tcW w:type="dxa" w:w="2000"/>
            <w:tcBorders>
              <w:top w:val="none" w:color="FFFFFF" w:sz="0"/>
              <w:left w:val="none" w:color="FFFFFF" w:sz="0"/>
              <w:bottom w:val="single" w:color="1B263B" w:sz="1"/>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Cas du HTTP flood</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5.4 Phase post-attaque</w:t>
      </w:r>
    </w:p>
    <w:p>
      <w:pPr>
        <w:spacing w:after="100" w:before="40" w:line="320"/>
        <w:jc w:val="both"/>
      </w:pPr>
      <w:r>
        <w:rPr>
          <w:rFonts w:ascii="Times New Roman" w:cs="Times New Roman" w:eastAsia="Times New Roman" w:hAnsi="Times New Roman"/>
          <w:color w:val="1A1A1A"/>
          <w:sz w:val="22"/>
          <w:szCs w:val="22"/>
        </w:rPr>
        <w:t xml:space="preserve">Une fois l’attaque terminée, il faut analyser les logs, identifier les vulnérabilités exploitées, mettre à jour le plan de réponse, transmettre les éléments au CERT-FR et faire un bilan chiffré. C’est cette dernière étape qu’on trouve la plus importante -- sans suivi, on refera les mêmes erreurs.</w:t>
      </w:r>
    </w:p>
    <w:p>
      <w:pPr>
        <w:pStyle w:val="Heading1"/>
        <w:spacing w:after="200" w:before="400"/>
      </w:pPr>
      <w:r>
        <w:rPr>
          <w:rFonts w:ascii="Times New Roman" w:cs="Times New Roman" w:eastAsia="Times New Roman" w:hAnsi="Times New Roman"/>
          <w:b/>
          <w:bCs/>
          <w:color w:val="1B263B"/>
          <w:sz w:val="32"/>
          <w:szCs w:val="32"/>
        </w:rPr>
        <w:t xml:space="preserve">6. Impact de l’IA sur les attaques DDoS</w:t>
      </w:r>
    </w:p>
    <w:p>
      <w:pPr>
        <w:spacing w:after="100" w:before="40" w:line="320"/>
        <w:jc w:val="both"/>
      </w:pPr>
      <w:r>
        <w:rPr>
          <w:rFonts w:ascii="Times New Roman" w:cs="Times New Roman" w:eastAsia="Times New Roman" w:hAnsi="Times New Roman"/>
          <w:color w:val="1A1A1A"/>
          <w:sz w:val="22"/>
          <w:szCs w:val="22"/>
        </w:rPr>
        <w:t xml:space="preserve">Pour être honnête, c’est un aspect qu’on a surtout étudié dans la littérature et les articles spécialisés parce qu’on n’a pas d’IA sous la main pour tester concrètement. Mais le constat est clair : l’IA transforme la donne.</w:t>
      </w:r>
    </w:p>
    <w:p>
      <w:pPr>
        <w:spacing w:after="100" w:before="40" w:line="320"/>
        <w:jc w:val="both"/>
      </w:pPr>
      <w:r>
        <w:rPr>
          <w:rFonts w:ascii="Times New Roman" w:cs="Times New Roman" w:eastAsia="Times New Roman" w:hAnsi="Times New Roman"/>
          <w:color w:val="1A1A1A"/>
          <w:sz w:val="22"/>
          <w:szCs w:val="22"/>
        </w:rPr>
        <w:t xml:space="preserve">Les botnets modernes peuvent désormais ajuster leur stratégie d’attaque en temps réel -- analyser ce qui marche, changer de vecteur automatiquement, ralentir quand la détection s’intensifie. Les LLM comme GPT ou Claude peuvent générer un trafic HTTP qui imite parfaitement un comportement humain -- User-Agents variés, navigation crédible, pauses réalistes. De quoi rendre les détections classiques bien moins efficaces.</w:t>
      </w:r>
    </w:p>
    <w:p>
      <w:pPr>
        <w:spacing w:after="100" w:before="40" w:line="320"/>
        <w:jc w:val="both"/>
      </w:pPr>
      <w:r>
        <w:rPr>
          <w:rFonts w:ascii="Times New Roman" w:cs="Times New Roman" w:eastAsia="Times New Roman" w:hAnsi="Times New Roman"/>
          <w:color w:val="1A1A1A"/>
          <w:sz w:val="22"/>
          <w:szCs w:val="22"/>
        </w:rPr>
        <w:t xml:space="preserve">Côté architecture, les botnets évoluent aussi : on passe de réseaux IoT centralisés (comme Mirai) à des réseaux P2P décentralisés (Hajime) où il n’y a plus de point de contrôle unique à détruire. Ajoutez à ça des attaques multi-vecteurs qui combinent SYN, UDP et HTTP en même temps, et vous obtenez des attaques beaucoup plus difficiles à mitiger.</w:t>
      </w:r>
    </w:p>
    <w:p>
      <w:pPr>
        <w:pStyle w:val="Heading1"/>
        <w:spacing w:after="200" w:before="400"/>
      </w:pPr>
      <w:r>
        <w:rPr>
          <w:rFonts w:ascii="Times New Roman" w:cs="Times New Roman" w:eastAsia="Times New Roman" w:hAnsi="Times New Roman"/>
          <w:b/>
          <w:bCs/>
          <w:color w:val="1B263B"/>
          <w:sz w:val="32"/>
          <w:szCs w:val="32"/>
        </w:rPr>
        <w:t xml:space="preserve">7. Impact de l’IA sur la détection</w:t>
      </w:r>
    </w:p>
    <w:p>
      <w:pPr>
        <w:spacing w:after="100" w:before="40" w:line="320"/>
        <w:jc w:val="both"/>
      </w:pPr>
      <w:r>
        <w:rPr>
          <w:rFonts w:ascii="Times New Roman" w:cs="Times New Roman" w:eastAsia="Times New Roman" w:hAnsi="Times New Roman"/>
          <w:color w:val="1A1A1A"/>
          <w:sz w:val="22"/>
          <w:szCs w:val="22"/>
        </w:rPr>
        <w:t xml:space="preserve">Si l’IA renforce les attaquants, elle est aussi une arme pour les défenseurs. Les approches de machine learning -- surtout les méthodes non supervisées comme les auto-encodeurs -- permettent de détecter des anomalies qu’on n’aurait jamais codées en règles à la main.</w:t>
      </w:r>
    </w:p>
    <w:p>
      <w:pPr>
        <w:spacing w:after="100" w:before="40" w:line="320"/>
        <w:jc w:val="both"/>
      </w:pPr>
      <w:r>
        <w:rPr>
          <w:rFonts w:ascii="Times New Roman" w:cs="Times New Roman" w:eastAsia="Times New Roman" w:hAnsi="Times New Roman"/>
          <w:color w:val="1A1A1A"/>
          <w:sz w:val="22"/>
          <w:szCs w:val="22"/>
        </w:rPr>
        <w:t xml:space="preserve">Concrètement, on distingue deux grandes familles : l’apprentissage supervisé (Random Forest, SVM, réseaux de neurones) qui donne d’excellents résultats sur les attaques connues mais rate les nouvelles variantes, et l’apprentissage non supervisé (auto-encodeurs, DBSCAN, Isolation Forest) qui peut détecter du jamais-vu mais avec plus de faux positifs.</w:t>
      </w:r>
    </w:p>
    <w:p>
      <w:pPr>
        <w:spacing w:after="100" w:before="40" w:line="320"/>
        <w:jc w:val="both"/>
      </w:pPr>
      <w:r>
        <w:rPr>
          <w:rFonts w:ascii="Times New Roman" w:cs="Times New Roman" w:eastAsia="Times New Roman" w:hAnsi="Times New Roman"/>
          <w:color w:val="1A1A1A"/>
          <w:sz w:val="22"/>
          <w:szCs w:val="22"/>
        </w:rPr>
        <w:t xml:space="preserve">Dans le commerce, les grands fournisseurs de cloud intègrent tous ces techniques : Cloudflare fait du ML pour la classification automatique, AWS Shield fait de la détection comportementale, Darktrace utilise des auto-encodeurs. Et c’est une course permanente -- les attaquants adaptent leurs méthodes, les modèles doivent être réentraînés en continu.</w:t>
      </w:r>
    </w:p>
    <w:p>
      <w:pPr>
        <w:pStyle w:val="Heading1"/>
        <w:spacing w:after="200" w:before="400"/>
      </w:pPr>
      <w:r>
        <w:rPr>
          <w:rFonts w:ascii="Times New Roman" w:cs="Times New Roman" w:eastAsia="Times New Roman" w:hAnsi="Times New Roman"/>
          <w:b/>
          <w:bCs/>
          <w:color w:val="1B263B"/>
          <w:sz w:val="32"/>
          <w:szCs w:val="32"/>
        </w:rPr>
        <w:t xml:space="preserve">8. Références</w:t>
      </w:r>
    </w:p>
    <w:p>
      <w:pPr>
        <w:pStyle w:val="Heading2"/>
        <w:spacing w:after="120" w:before="280"/>
      </w:pPr>
      <w:r>
        <w:rPr>
          <w:rFonts w:ascii="Times New Roman" w:cs="Times New Roman" w:eastAsia="Times New Roman" w:hAnsi="Times New Roman"/>
          <w:b/>
          <w:bCs/>
          <w:color w:val="415A77"/>
          <w:sz w:val="26"/>
          <w:szCs w:val="26"/>
        </w:rPr>
        <w:t xml:space="preserve">Guides officiels</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Référence</w:t>
            </w:r>
          </w:p>
        </w:tc>
        <w:tc>
          <w:tcPr>
            <w:tcW w:type="dxa" w:w="5500"/>
            <w:tcBorders>
              <w:top w:val="single" w:color="1B263B" w:sz="2"/>
              <w:left w:val="none" w:color="FFFFFF" w:sz="0"/>
              <w:bottom w:val="single" w:color="1B263B" w:sz="2"/>
              <w:right w:val="none" w:color="FFFFFF" w:sz="0"/>
            </w:tcBorders>
            <w:shd w:fill="1B263B" w:val="clear"/>
            <w:tcMar>
              <w:top w:type="dxa" w:w="60"/>
              <w:left w:type="dxa" w:w="100"/>
              <w:bottom w:type="dxa" w:w="60"/>
              <w:right w:type="dxa" w:w="100"/>
            </w:tcMar>
          </w:tcPr>
          <w:p>
            <w:pPr>
              <w:spacing w:after="0"/>
            </w:pPr>
            <w:r>
              <w:rPr>
                <w:rFonts w:ascii="Times New Roman" w:cs="Times New Roman" w:eastAsia="Times New Roman" w:hAnsi="Times New Roman"/>
                <w:b/>
                <w:bCs/>
                <w:color w:val="FFFFFF"/>
                <w:sz w:val="20"/>
                <w:szCs w:val="20"/>
              </w:rPr>
              <w:t xml:space="preserve">Titre</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CERTFR-2026-CTI-002</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Menaces et tendances cyber 2026</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CERTFR-2024-RFX-010-2</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Recommandations pour la gestion de crise cyber</w:t>
            </w:r>
          </w:p>
        </w:tc>
      </w:tr>
      <w:tr>
        <w:tc>
          <w:tcPr>
            <w:tcW w:type="dxa" w:w="3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CERTFR-2024-RFX-009-2</w:t>
            </w:r>
          </w:p>
        </w:tc>
        <w:tc>
          <w:tcPr>
            <w:tcW w:type="dxa" w:w="5500"/>
            <w:tcBorders>
              <w:top w:val="none" w:color="FFFFFF" w:sz="0"/>
              <w:left w:val="none" w:color="FFFFFF" w:sz="0"/>
              <w:bottom w:val="none" w:color="FFFFFF" w:sz="0"/>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Guide de réponse aux incidents</w:t>
            </w:r>
          </w:p>
        </w:tc>
      </w:tr>
      <w:tr>
        <w:tc>
          <w:tcPr>
            <w:tcW w:type="dxa" w:w="3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ANSSI</w:t>
            </w:r>
          </w:p>
        </w:tc>
        <w:tc>
          <w:tcPr>
            <w:tcW w:type="dxa" w:w="5500"/>
            <w:tcBorders>
              <w:top w:val="none" w:color="FFFFFF" w:sz="0"/>
              <w:left w:val="none" w:color="FFFFFF" w:sz="0"/>
              <w:bottom w:val="none" w:color="FFFFFF" w:sz="0"/>
              <w:right w:val="none" w:color="FFFFFF" w:sz="0"/>
            </w:tcBorders>
            <w:shd w:fill="EDEFF2"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Guide DDoS — Recommandations</w:t>
            </w:r>
          </w:p>
        </w:tc>
      </w:tr>
      <w:tr>
        <w:tc>
          <w:tcPr>
            <w:tcW w:type="dxa" w:w="3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Cybermalveillance.gouv.fr</w:t>
            </w:r>
          </w:p>
        </w:tc>
        <w:tc>
          <w:tcPr>
            <w:tcW w:type="dxa" w:w="5500"/>
            <w:tcBorders>
              <w:top w:val="none" w:color="FFFFFF" w:sz="0"/>
              <w:left w:val="none" w:color="FFFFFF" w:sz="0"/>
              <w:bottom w:val="single" w:color="1B263B" w:sz="1"/>
              <w:right w:val="none" w:color="FFFFFF" w:sz="0"/>
            </w:tcBorders>
            <w:shd w:fill="FFFFFF" w:val="clear"/>
            <w:tcMar>
              <w:top w:type="dxa" w:w="50"/>
              <w:left w:type="dxa" w:w="100"/>
              <w:bottom w:type="dxa" w:w="50"/>
              <w:right w:type="dxa" w:w="100"/>
            </w:tcMar>
          </w:tcPr>
          <w:p>
            <w:pPr>
              <w:spacing w:after="0"/>
            </w:pPr>
            <w:r>
              <w:rPr>
                <w:rFonts w:ascii="Times New Roman" w:cs="Times New Roman" w:eastAsia="Times New Roman" w:hAnsi="Times New Roman"/>
                <w:color w:val="1A1A1A"/>
                <w:sz w:val="20"/>
                <w:szCs w:val="20"/>
              </w:rPr>
              <w:t xml:space="preserve">Fiche réflexe DDoS</w:t>
            </w:r>
          </w:p>
        </w:tc>
      </w:tr>
    </w:tbl>
    <w:p>
      <w:pPr>
        <w:spacing w:after="140"/>
      </w:pPr>
    </w:p>
    <w:p>
      <w:pPr>
        <w:pStyle w:val="Heading2"/>
        <w:spacing w:after="120" w:before="280"/>
      </w:pPr>
      <w:r>
        <w:rPr>
          <w:rFonts w:ascii="Times New Roman" w:cs="Times New Roman" w:eastAsia="Times New Roman" w:hAnsi="Times New Roman"/>
          <w:b/>
          <w:bCs/>
          <w:color w:val="415A77"/>
          <w:sz w:val="26"/>
          <w:szCs w:val="26"/>
        </w:rPr>
        <w:t xml:space="preserve">RFC et standards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791 — Internet Protocol.</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9293 — Transmission Control Protocol (TCP).</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768 — User Datagram Protocol (UDP).</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1035 — Domain Names (DNS).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2827 / BCP 38 — Network Ingress Filtering.</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RFC 4987 — TCP SYN Flooding Attacks.</w:t>
      </w:r>
    </w:p>
    <w:p>
      <w:pPr>
        <w:pStyle w:val="Heading2"/>
        <w:spacing w:after="120" w:before="280"/>
      </w:pPr>
      <w:r>
        <w:rPr>
          <w:rFonts w:ascii="Times New Roman" w:cs="Times New Roman" w:eastAsia="Times New Roman" w:hAnsi="Times New Roman"/>
          <w:b/>
          <w:bCs/>
          <w:color w:val="415A77"/>
          <w:sz w:val="26"/>
          <w:szCs w:val="26"/>
        </w:rPr>
        <w:t xml:space="preserve">Lectures complémentaires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OWASP : DDoS Prevention Cheat Sheet.</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MITRE ATT&amp;CK : TA0040 -- Impact (techniques DDoS).</w:t>
      </w:r>
    </w:p>
    <w:p>
      <w:pPr>
        <w:pStyle w:val="ListParagraph"/>
        <w:numPr>
          <w:ilvl w:val="0"/>
          <w:numId w:val="2"/>
        </w:numPr>
        <w:spacing w:after="30" w:before="30" w:line="300"/>
      </w:pPr>
      <w:r>
        <w:rPr>
          <w:rFonts w:ascii="Times New Roman" w:cs="Times New Roman" w:eastAsia="Times New Roman" w:hAnsi="Times New Roman"/>
          <w:color w:val="1A1A1A"/>
          <w:sz w:val="22"/>
          <w:szCs w:val="22"/>
        </w:rPr>
        <w:t xml:space="preserve">NIST SP 800-61 Rev.2 : Computer Security Incident Handling Guide.</w:t>
      </w:r>
    </w:p>
    <w:p>
      <w:pPr>
        <w:spacing w:after="420"/>
      </w:pPr>
    </w:p>
    <w:p>
      <w:pPr>
        <w:spacing w:after="100" w:before="40" w:line="320"/>
        <w:jc w:val="both"/>
      </w:pPr>
      <w:r>
        <w:rPr>
          <w:rFonts w:ascii="Times New Roman" w:cs="Times New Roman" w:eastAsia="Times New Roman" w:hAnsi="Times New Roman"/>
          <w:color w:val="1A1A1A"/>
          <w:sz w:val="22"/>
          <w:szCs w:val="22"/>
        </w:rPr>
        <w:t xml:space="preserve">Ce projet est un outil pédagogique destiné à l’apprentissage des mécanismes des attaques DDoS. Il ne doit pas être utilisé pour mener des attaques réelles -- c’est illégal et on l’a bien compris.</w:t>
      </w:r>
    </w:p>
    <w:sectPr>
      <w:headerReference w:type="default" r:id="rId7"/>
      <w:footerReference w:type="default" r:id="rId8"/>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Times New Roman" w:cs="Times New Roman" w:eastAsia="Times New Roman" w:hAnsi="Times New Roman"/>
        <w:color w:val="888888"/>
        <w:sz w:val="16"/>
        <w:szCs w:val="16"/>
      </w:rPr>
      <w:t xml:space="preserve">Lazurka, Bouderra, Aon, Alahyane — ISEP 2025–2026 — </w:t>
    </w:r>
    <w:r>
      <w:rPr>
        <w:rFonts w:ascii="Times New Roman" w:cs="Times New Roman" w:eastAsia="Times New Roman" w:hAnsi="Times New Roman"/>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0"/>
      <w:gridCol w:w="7872"/>
    </w:tblGrid>
    <w:tr>
      <w:tc>
        <w:tcPr>
          <w:tcW w:type="dxa" w:w="12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jc w:val="left"/>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952500"/>
                        </a:xfrm>
                        <a:prstGeom prst="rect">
                          <a:avLst/>
                        </a:prstGeom>
                      </pic:spPr>
                    </pic:pic>
                  </a:graphicData>
                </a:graphic>
              </wp:inline>
            </w:drawing>
          </w:r>
        </w:p>
      </w:tc>
      <w:tc>
        <w:tcPr>
          <w:tcW w:type="dxa" w:w="787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jc w:val="right"/>
          </w:pPr>
          <w:r>
            <w:rPr>
              <w:rFonts w:ascii="Times New Roman" w:cs="Times New Roman" w:eastAsia="Times New Roman" w:hAnsi="Times New Roman"/>
              <w:i/>
              <w:iCs/>
              <w:color w:val="778DA9"/>
              <w:sz w:val="16"/>
              <w:szCs w:val="16"/>
            </w:rPr>
            <w:t xml:space="preserve">NetSim DDoS Lab — ISEP 2025–2026</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olor w:val="1B263B"/>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color w:val="415A77"/>
      <w:sz w:val="26"/>
      <w:szCs w:val="26"/>
    </w:rPr>
  </w:style>
  <w:style w:type="paragraph" w:styleId="Heading3">
    <w:name w:val="Heading 3"/>
    <w:basedOn w:val="Normal"/>
    <w:next w:val="Normal"/>
    <w:qFormat/>
    <w:pPr>
      <w:spacing w:after="80" w:before="200"/>
      <w:outlineLvl w:val="2"/>
    </w:pPr>
    <w:rPr>
      <w:rFonts w:ascii="Times New Roman" w:cs="Times New Roman" w:eastAsia="Times New Roman" w:hAnsi="Times New Roman"/>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817a2bac63097f7cbcd93d8b49420b4bea3131.undefined"/><Relationship Id="rId10" Type="http://schemas.openxmlformats.org/officeDocument/2006/relationships/image" Target="media/5288470ca59bb94a85ee828167f627103113b2eb.undefined"/><Relationship Id="rId11" Type="http://schemas.openxmlformats.org/officeDocument/2006/relationships/image" Target="media/84875b36d3f4825f378ee5b8fa316df2f82ff7fa.undefined"/><Relationship Id="rId12" Type="http://schemas.openxmlformats.org/officeDocument/2006/relationships/image" Target="media/e8af8be250341151a8217580ef59acae8a7f38af.undefined"/><Relationship Id="rId13" Type="http://schemas.openxmlformats.org/officeDocument/2006/relationships/image" Target="media/3e3e9a7353a86c1a970afa670b58553163966263.undefined"/><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03978b57df89bfcb7f736e8c49444696087353c.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2026-05-26T10:28:30.015Z</dcterms:created>
  <dcterms:modified xsi:type="dcterms:W3CDTF">2026-05-26T10:28:30.016Z</dcterms:modified>
</cp:coreProperties>
</file>

<file path=docProps/custom.xml><?xml version="1.0" encoding="utf-8"?>
<Properties xmlns="http://schemas.openxmlformats.org/officeDocument/2006/custom-properties" xmlns:vt="http://schemas.openxmlformats.org/officeDocument/2006/docPropsVTypes"/>
</file>