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Times New Roman" w:cs="Times New Roman" w:eastAsia="Times New Roman" w:hAnsi="Times New Roman"/>
          <w:b/>
          <w:bCs/>
          <w:color w:val="1B263B"/>
          <w:sz w:val="60"/>
          <w:szCs w:val="60"/>
        </w:rPr>
        <w:t xml:space="preserve">NetSim DDoS Lab</w:t>
      </w:r>
    </w:p>
    <w:p>
      <w:pPr>
        <w:spacing w:after="0"/>
        <w:jc w:val="center"/>
      </w:pPr>
      <w:r>
        <w:rPr>
          <w:rFonts w:ascii="Times New Roman" w:cs="Times New Roman" w:eastAsia="Times New Roman" w:hAnsi="Times New Roman"/>
          <w:i/>
          <w:iCs/>
          <w:color w:val="415A77"/>
          <w:sz w:val="24"/>
          <w:szCs w:val="24"/>
        </w:rPr>
        <w:t xml:space="preserve">Simulation interactive d’attaques par déni de service distribué</w:t>
      </w:r>
    </w:p>
    <w:p>
      <w:pPr>
        <w:spacing w:after="420"/>
      </w:pPr>
    </w:p>
    <w:p>
      <w:pPr>
        <w:spacing w:after="0" w:before="0"/>
      </w:pPr>
    </w:p>
    <w:p>
      <w:pPr>
        <w:spacing w:after="420"/>
      </w:pPr>
    </w:p>
    <w:p>
      <w:pPr>
        <w:spacing w:after="60"/>
        <w:jc w:val="center"/>
      </w:pPr>
      <w:r>
        <w:rPr>
          <w:rFonts w:ascii="Times New Roman" w:cs="Times New Roman" w:eastAsia="Times New Roman" w:hAnsi="Times New Roman"/>
          <w:color w:val="1A1A1A"/>
          <w:sz w:val="26"/>
          <w:szCs w:val="26"/>
        </w:rPr>
        <w:t xml:space="preserve">Rapport technique</w:t>
      </w:r>
    </w:p>
    <w:p>
      <w:pPr>
        <w:spacing w:after="40"/>
        <w:jc w:val="center"/>
      </w:pPr>
      <w:r>
        <w:rPr>
          <w:rFonts w:ascii="Times New Roman" w:cs="Times New Roman" w:eastAsia="Times New Roman" w:hAnsi="Times New Roman"/>
          <w:color w:val="778DA9"/>
          <w:sz w:val="20"/>
          <w:szCs w:val="20"/>
        </w:rPr>
        <w:t xml:space="preserve">Moteur : Node.js • Socket.IO • Express</w:t>
      </w:r>
    </w:p>
    <w:p>
      <w:pPr>
        <w:spacing w:after="700"/>
      </w:pPr>
    </w:p>
    <w:p>
      <w:pPr>
        <w:spacing w:after="40"/>
        <w:jc w:val="center"/>
      </w:pPr>
      <w:r>
        <w:rPr>
          <w:rFonts w:ascii="Times New Roman" w:cs="Times New Roman" w:eastAsia="Times New Roman" w:hAnsi="Times New Roman"/>
          <w:b/>
          <w:bCs/>
          <w:color w:val="1B263B"/>
          <w:sz w:val="22"/>
          <w:szCs w:val="22"/>
        </w:rPr>
        <w:t xml:space="preserve">Lazurka Maxime, Bouderra Ayman, Aon Ahmed, Alahyane Osama</w:t>
      </w:r>
    </w:p>
    <w:p>
      <w:pPr>
        <w:spacing w:after="40"/>
        <w:jc w:val="center"/>
      </w:pPr>
      <w:r>
        <w:rPr>
          <w:rFonts w:ascii="Times New Roman" w:cs="Times New Roman" w:eastAsia="Times New Roman" w:hAnsi="Times New Roman"/>
          <w:color w:val="1A1A1A"/>
          <w:sz w:val="20"/>
          <w:szCs w:val="20"/>
        </w:rPr>
        <w:t xml:space="preserve">ISEP — Année universitaire 2025–2026</w:t>
      </w:r>
    </w:p>
    <w:p>
      <w:pPr>
        <w:pageBreakBefore/>
      </w:pPr>
      <w:r>
        <w:br/>
      </w:r>
    </w:p>
    <w:p>
      <w:pPr>
        <w:pStyle w:val="Heading1"/>
        <w:spacing w:after="200" w:before="400"/>
      </w:pPr>
      <w:r>
        <w:rPr>
          <w:rFonts w:ascii="Times New Roman" w:cs="Times New Roman" w:eastAsia="Times New Roman" w:hAnsi="Times New Roman"/>
          <w:b/>
          <w:bCs/>
          <w:color w:val="1B263B"/>
          <w:sz w:val="32"/>
          <w:szCs w:val="32"/>
        </w:rPr>
        <w:t xml:space="preserve">1. Introduction</w:t>
      </w:r>
    </w:p>
    <w:p>
      <w:pPr>
        <w:spacing w:after="100" w:before="40" w:line="320"/>
        <w:jc w:val="both"/>
      </w:pPr>
      <w:r>
        <w:rPr>
          <w:rFonts w:ascii="Times New Roman" w:cs="Times New Roman" w:eastAsia="Times New Roman" w:hAnsi="Times New Roman"/>
          <w:color w:val="1A1A1A"/>
          <w:sz w:val="22"/>
          <w:szCs w:val="22"/>
        </w:rPr>
        <w:t xml:space="preserve">Une attaque par déni de service distribué (DDoS) vise à rendre une ressource informatique indisponible pour ses utilisateurs légitimes en la submergeant de trafic malveillant provenant de multiples sources simultanées.</w:t>
      </w:r>
    </w:p>
    <w:p>
      <w:pPr>
        <w:spacing w:after="100" w:before="40" w:line="320"/>
        <w:jc w:val="both"/>
      </w:pPr>
      <w:r>
        <w:rPr>
          <w:rFonts w:ascii="Times New Roman" w:cs="Times New Roman" w:eastAsia="Times New Roman" w:hAnsi="Times New Roman"/>
          <w:color w:val="1A1A1A"/>
          <w:sz w:val="22"/>
          <w:szCs w:val="22"/>
        </w:rPr>
        <w:t xml:space="preserve">Contrairement à une attaque DoS classique reposant sur une source unique, l’attaque DDoS exploite un botnet, c’est-à-dire un réseau de machines compromises — ordinateurs, serveurs ou objets connectés — pour générer un volume de requêtes bien au-delà de ce qu’une seule machine pourrait produire.</w:t>
      </w:r>
    </w:p>
    <w:p>
      <w:pPr>
        <w:spacing w:after="100" w:before="40" w:line="320"/>
        <w:jc w:val="both"/>
      </w:pPr>
      <w:r>
        <w:rPr>
          <w:rFonts w:ascii="Times New Roman" w:cs="Times New Roman" w:eastAsia="Times New Roman" w:hAnsi="Times New Roman"/>
          <w:color w:val="1A1A1A"/>
          <w:sz w:val="22"/>
          <w:szCs w:val="22"/>
        </w:rPr>
        <w:t xml:space="preserve">Ce projet met en œuvre un simulateur réseau interactif permettant de visualiser en temps réel le comportement de différentes attaques DDoS et leur impact sur l’infrastructure cible, dans une perspective strictement pédagogique.</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1 — Interface principale du simulateur NetSim DDoS Lab. La topologie réseau s’affiche au centre, les métriques en temps réel à droite, et le panneau de contrôle des attaques en haut.</w:t>
      </w:r>
    </w:p>
    <w:p>
      <w:pPr>
        <w:pStyle w:val="Heading2"/>
        <w:spacing w:after="120" w:before="280"/>
      </w:pPr>
      <w:r>
        <w:rPr>
          <w:rFonts w:ascii="Times New Roman" w:cs="Times New Roman" w:eastAsia="Times New Roman" w:hAnsi="Times New Roman"/>
          <w:b/>
          <w:bCs/>
          <w:color w:val="415A77"/>
          <w:sz w:val="26"/>
          <w:szCs w:val="26"/>
        </w:rPr>
        <w:t xml:space="preserve">1.1 Contexte et enjeux</w:t>
      </w:r>
    </w:p>
    <w:p>
      <w:pPr>
        <w:spacing w:after="100" w:before="40" w:line="320"/>
        <w:jc w:val="both"/>
      </w:pPr>
      <w:r>
        <w:rPr>
          <w:rFonts w:ascii="Times New Roman" w:cs="Times New Roman" w:eastAsia="Times New Roman" w:hAnsi="Times New Roman"/>
          <w:color w:val="1A1A1A"/>
          <w:sz w:val="22"/>
          <w:szCs w:val="22"/>
        </w:rPr>
        <w:t xml:space="preserve">Selon le CERT-FR (CERTFR-2026-CTI-002) et le guide de l’ANSSI sur les attaques DDoS, plusieurs tendances majeures caractérisent le paysage actuel des menaces :</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Le volume des attaques DDoS ne cesse de croître, dépassant régulièrement le térabit par seconde.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Les motivations sont variées : cybercriminalité avec demande de rançon, hacktivisme, déstabilisation d’acteurs publics ou privés, et parfois simple test de capacité.</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Le coût moyen d’une attaque DDoS pour une entreprise est estimé entre 20 000 € et plusieurs millions d’euros.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La France figure parmi les pays les plus ciblés en Europe.</w:t>
      </w:r>
    </w:p>
    <w:p>
      <w:pPr>
        <w:pStyle w:val="Heading1"/>
        <w:spacing w:after="200" w:before="400"/>
      </w:pPr>
      <w:r>
        <w:rPr>
          <w:rFonts w:ascii="Times New Roman" w:cs="Times New Roman" w:eastAsia="Times New Roman" w:hAnsi="Times New Roman"/>
          <w:b/>
          <w:bCs/>
          <w:color w:val="1B263B"/>
          <w:sz w:val="32"/>
          <w:szCs w:val="32"/>
        </w:rPr>
        <w:t xml:space="preserve">2. Architecture du simulateur</w:t>
      </w:r>
    </w:p>
    <w:p>
      <w:pPr>
        <w:spacing w:after="100" w:before="40" w:line="320"/>
        <w:jc w:val="both"/>
      </w:pPr>
      <w:r>
        <w:rPr>
          <w:rFonts w:ascii="Times New Roman" w:cs="Times New Roman" w:eastAsia="Times New Roman" w:hAnsi="Times New Roman"/>
          <w:color w:val="1A1A1A"/>
          <w:sz w:val="22"/>
          <w:szCs w:val="22"/>
        </w:rPr>
        <w:t xml:space="preserve">Le simulateur NetSim DDoS est construit autour d’un moteur de simulation réseau développé en JavaScript (Node.js). Il modélise une topologie réseau simplifiée, un générateur de trafic aléatoire et un système d’alertes en temps réel.</w:t>
      </w:r>
    </w:p>
    <w:p>
      <w:pPr>
        <w:pStyle w:val="Heading2"/>
        <w:spacing w:after="120" w:before="280"/>
      </w:pPr>
      <w:r>
        <w:rPr>
          <w:rFonts w:ascii="Times New Roman" w:cs="Times New Roman" w:eastAsia="Times New Roman" w:hAnsi="Times New Roman"/>
          <w:b/>
          <w:bCs/>
          <w:color w:val="415A77"/>
          <w:sz w:val="26"/>
          <w:szCs w:val="26"/>
        </w:rPr>
        <w:t xml:space="preserve">2.1 Topologie simulée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Deux postes clients (PC1, PC2) générant du trafic légitime : requêtes HTTP, paquets ARP, requêtes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routeur central assurant la commutation des paquets entre les nœuds.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serveur web constituant la cible des attaques.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nœud attaquant pouvant être activé pour déclencher les différents types d’attaques.</w:t>
      </w:r>
    </w:p>
    <w:p>
      <w:pPr>
        <w:pStyle w:val="Heading2"/>
        <w:spacing w:after="120" w:before="280"/>
      </w:pPr>
      <w:r>
        <w:rPr>
          <w:rFonts w:ascii="Times New Roman" w:cs="Times New Roman" w:eastAsia="Times New Roman" w:hAnsi="Times New Roman"/>
          <w:b/>
          <w:bCs/>
          <w:color w:val="415A77"/>
          <w:sz w:val="26"/>
          <w:szCs w:val="26"/>
        </w:rPr>
        <w:t xml:space="preserve">2.2 Métriques en temps réel</w:t>
      </w:r>
    </w:p>
    <w:p>
      <w:pPr>
        <w:spacing w:after="100" w:before="40" w:line="320"/>
        <w:jc w:val="both"/>
      </w:pPr>
      <w:r>
        <w:rPr>
          <w:rFonts w:ascii="Times New Roman" w:cs="Times New Roman" w:eastAsia="Times New Roman" w:hAnsi="Times New Roman"/>
          <w:color w:val="1A1A1A"/>
          <w:sz w:val="22"/>
          <w:szCs w:val="22"/>
        </w:rPr>
        <w:t xml:space="preserve">Le moteur calcule et expose en continu un ensemble de métriques permettant d’évaluer l’état du réseau :</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Métrique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packetsPerSec</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total de paquets par seconde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synPerSec</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paquets SYN par seconde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udpPerSec</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datagrammes UDP par seconde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httpPerSec</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requêtes HTTP par seconde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connectionBacklog</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Taille de la file d’attente (SYN backlog)</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bandwidthPercent</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Utilisation de la bande passante</w:t>
            </w:r>
          </w:p>
        </w:tc>
      </w:tr>
      <w:tr>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cpuLoad</w:t>
            </w:r>
          </w:p>
        </w:tc>
        <w:tc>
          <w:tcPr>
            <w:tcW w:type="dxa" w:w="5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Charge CPU simulée du serveur</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2.3 Flux de données</w:t>
      </w:r>
    </w:p>
    <w:p>
      <w:pPr>
        <w:spacing w:after="100" w:before="40" w:line="320"/>
        <w:jc w:val="both"/>
      </w:pPr>
      <w:r>
        <w:rPr>
          <w:rFonts w:ascii="Times New Roman" w:cs="Times New Roman" w:eastAsia="Times New Roman" w:hAnsi="Times New Roman"/>
          <w:color w:val="1A1A1A"/>
          <w:sz w:val="22"/>
          <w:szCs w:val="22"/>
        </w:rPr>
        <w:t xml:space="preserve">Le système repose sur une architecture client-serveur temps réel. Les clients web (navigateurs) se connectent via Socket.IO et reçoivent en continu l’état de la simulation. Le moteur gère la génération du trafic normal et d’attaque, et un système de détection basé sur des seuils émet des alertes en fonction du niveau de saturation.</w:t>
      </w:r>
    </w:p>
    <w:p>
      <w:pPr>
        <w:pStyle w:val="Heading1"/>
        <w:spacing w:after="200" w:before="400"/>
      </w:pPr>
      <w:r>
        <w:rPr>
          <w:rFonts w:ascii="Times New Roman" w:cs="Times New Roman" w:eastAsia="Times New Roman" w:hAnsi="Times New Roman"/>
          <w:b/>
          <w:bCs/>
          <w:color w:val="1B263B"/>
          <w:sz w:val="32"/>
          <w:szCs w:val="32"/>
        </w:rPr>
        <w:t xml:space="preserve">3. Attaques DDoS implémentées</w:t>
      </w:r>
    </w:p>
    <w:p>
      <w:pPr>
        <w:pStyle w:val="Heading2"/>
        <w:spacing w:after="120" w:before="280"/>
      </w:pPr>
      <w:r>
        <w:rPr>
          <w:rFonts w:ascii="Times New Roman" w:cs="Times New Roman" w:eastAsia="Times New Roman" w:hAnsi="Times New Roman"/>
          <w:b/>
          <w:bCs/>
          <w:color w:val="415A77"/>
          <w:sz w:val="26"/>
          <w:szCs w:val="26"/>
        </w:rPr>
        <w:t xml:space="preserve">3.1 Syn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SYN Flood exploite le mécanisme d’établissement de connexion TCP en trois étapes (three-way handshake). Dans une connexion légitime, le client envoie un paquet SYN, le serveur répond par un SYN-ACK en allouant une entrée dans sa file d’attente, puis le client finalise l’échange avec un ACK. Lors d’une attaque SYN Flood, l’attaquant envoie un flux massif de paquets SYN avec des adresses IP source forgées (spoofing). Le serveur répond à chaque SYN par un SYN-ACK vers une adresse qui n’existe pas, et les entrées restent dans le backlog jusqu’à expiration du délai. La file d’attente se sature, empêchant toute nouvelle connexion légitime.</w:t>
      </w:r>
    </w:p>
    <w:p>
      <w:pPr>
        <w:spacing w:after="100" w:before="40" w:line="320"/>
        <w:jc w:val="both"/>
      </w:pPr>
      <w:r>
        <w:rPr>
          <w:rFonts w:ascii="Times New Roman" w:cs="Times New Roman" w:eastAsia="Times New Roman" w:hAnsi="Times New Roman"/>
          <w:color w:val="1A1A1A"/>
          <w:sz w:val="22"/>
          <w:szCs w:val="22"/>
        </w:rPr>
        <w:t xml:space="preserve">Les SYN cookies (RFC 4987) constituent la méthode de mitigation la plus répandue : le noyau répond aux SYN sans allouer d’entrée dans le backlog tant que l’ACK n’est pas reçu.</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2 — Attaque SYN Flood en cours. Le backlog de connexions augmente rapidement, la bande passante sature et les alertes de détection s’activent.</w:t>
      </w:r>
    </w:p>
    <w:p>
      <w:pPr>
        <w:pStyle w:val="Heading3"/>
        <w:spacing w:after="80" w:before="200"/>
      </w:pPr>
      <w:r>
        <w:rPr>
          <w:rFonts w:ascii="Times New Roman" w:cs="Times New Roman" w:eastAsia="Times New Roman" w:hAnsi="Times New Roman"/>
          <w:b/>
          <w:bCs/>
          <w:color w:val="1A1A1A"/>
          <w:sz w:val="22"/>
          <w:szCs w:val="22"/>
        </w:rPr>
        <w:t xml:space="preserve">Détection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Pic anormal de paquets SYN (plusieurs milliers par seconde).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Déséquilibre entre SYN entrants et ACK reçus.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Backlog proche de la saturation.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Messages « possible SYN flooding » dans les logs système.</w:t>
      </w:r>
    </w:p>
    <w:p>
      <w:pPr>
        <w:pStyle w:val="Heading3"/>
        <w:spacing w:after="80" w:before="200"/>
      </w:pPr>
      <w:r>
        <w:rPr>
          <w:rFonts w:ascii="Times New Roman" w:cs="Times New Roman" w:eastAsia="Times New Roman" w:hAnsi="Times New Roman"/>
          <w:b/>
          <w:bCs/>
          <w:color w:val="1A1A1A"/>
          <w:sz w:val="22"/>
          <w:szCs w:val="22"/>
        </w:rPr>
        <w:t xml:space="preserve">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 Cookies</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Activation au niveau noyau (net.ipv4.tcp_syncookies=1). Aucune allocation avant ACK.</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Backlog élargi</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Augmentation de tcp_max_syn_backlog et somaxconn.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Limitation du nombre de SYN par seconde par IP source.</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Reverse proxy / CDN</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Cloudflare, AWS Shield, Akamai absorbent le trafic en amont.</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3.2 Port Scan</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Le port scan n’est pas une attaque DDoS au sens strict, mais une technique de reconnaissance fréquemment employée en amont pour identifier les services vulnérables. Les types de scans les plus courants sont : le SYN scan (half-open), le Connect scan, l’UDP scan, et les scans FIN/NULL/Xmas. Dans un contexte DDoS, un port scan distribué permet de cartographier l’infrastructure et d’identifier ses points faibles sans déclencher les détections.</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 de détection</w:t>
            </w:r>
          </w:p>
        </w:tc>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Mesure de prévention</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des connexions incomplètes</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Pare-feu restrictif bloquant les ports non nécessaires</w:t>
            </w:r>
          </w:p>
        </w:tc>
      </w:tr>
      <w:tr>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Séquences de ports inhabituelles</w:t>
            </w:r>
          </w:p>
        </w:tc>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par IP</w:t>
            </w:r>
          </w:p>
        </w:tc>
      </w:tr>
      <w:tr>
        <w:tc>
          <w:tcPr>
            <w:tcW w:type="dxa" w:w="4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Outils : psad, Snort, Suricata</w:t>
            </w:r>
          </w:p>
        </w:tc>
        <w:tc>
          <w:tcPr>
            <w:tcW w:type="dxa" w:w="4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Port knocking et fail2ban</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3.3 UDP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UDP Flood exploite le caractère sans état du protocole UDP : le serveur reçoit un datagramme et doit allouer des ressources pour le traiter sans pouvoir vérifier la légitimité de la source. L’attaquant envoie un grand nombre de datagrammes vers des ports aléatoires ou spécifiques. Le volume de paquets sature la bande passante et les ressources du serveur. Une variante courante est l’attaque par réflexion UDP, où l’attaquant utilise des services amplificateurs (NTP, SSDP) pour multiplier le trafic.</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3 — Attaque UDP Flood en cours. Le nombre de datagrammes UDP par seconde explose, et la bande passante approche les 100 %.</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 de détection</w:t>
            </w:r>
          </w:p>
        </w:tc>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Mesure de prévention</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Hausse brutale du trafic UDP</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Filtrage UDP au pare-feu</w:t>
            </w:r>
          </w:p>
        </w:tc>
      </w:tr>
      <w:tr>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Ports cibles aléatoires</w:t>
            </w:r>
          </w:p>
        </w:tc>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du débit UDP par source</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Nombreux ICMP Unreachable</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CDN anti-DDoS (Cloudflare, AWS Shield)</w:t>
            </w:r>
          </w:p>
        </w:tc>
      </w:tr>
      <w:tr>
        <w:tc>
          <w:tcPr>
            <w:tcW w:type="dxa" w:w="4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Déséquilibre entrée/sortie</w:t>
            </w:r>
          </w:p>
        </w:tc>
        <w:tc>
          <w:tcPr>
            <w:tcW w:type="dxa" w:w="4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Routage Anycast</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3.4 Amplification DNS</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par amplification DNS exploite le facteur d’amplification des serveurs DNS ouverts. Une requête DNS de type ANY avec DNSSEC (environ 40 octets) peut générer une réponse de plusieurs milliers d’octets, soit un facteur d’amplification de 50 à 100 fois. En forgeant l’IP source pour qu’elle corresponde à celle de la victime, l’attaquant peut concentrer un trafic considérable sur sa cible.</w:t>
      </w:r>
    </w:p>
    <w:p>
      <w:pPr>
        <w:pStyle w:val="Heading3"/>
        <w:spacing w:after="80" w:before="200"/>
      </w:pPr>
      <w:r>
        <w:rPr>
          <w:rFonts w:ascii="Times New Roman" w:cs="Times New Roman" w:eastAsia="Times New Roman" w:hAnsi="Times New Roman"/>
          <w:b/>
          <w:bCs/>
          <w:color w:val="1A1A1A"/>
          <w:sz w:val="22"/>
          <w:szCs w:val="22"/>
        </w:rPr>
        <w:t xml:space="preserve">Facteurs d’amplification</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00"/>
      </w:tblGrid>
      <w:tr>
        <w:trPr>
          <w:tblHeader/>
        </w:trPr>
        <w:tc>
          <w:tcPr>
            <w:tcW w:type="dxa" w:w="3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Protocole</w:t>
            </w:r>
          </w:p>
        </w:tc>
        <w:tc>
          <w:tcPr>
            <w:tcW w:type="dxa" w:w="2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Port</w:t>
            </w:r>
          </w:p>
        </w:tc>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Facteur d’amplification</w:t>
            </w:r>
          </w:p>
        </w:tc>
      </w:tr>
      <w:tr>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DNS</w:t>
            </w:r>
          </w:p>
        </w:tc>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53</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50 à 100×</w:t>
            </w:r>
          </w:p>
        </w:tc>
      </w:tr>
      <w:tr>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NTP</w:t>
            </w:r>
          </w:p>
        </w:tc>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123</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Jusqu’à 556×</w:t>
            </w:r>
          </w:p>
        </w:tc>
      </w:tr>
      <w:tr>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SSDP</w:t>
            </w:r>
          </w:p>
        </w:tc>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1900</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Environ 30×</w:t>
            </w:r>
          </w:p>
        </w:tc>
      </w:tr>
      <w:tr>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Memcached</w:t>
            </w:r>
          </w:p>
        </w:tc>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11211</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Jusqu’à 50 000× (aujourd’hui mitigé)</w:t>
            </w:r>
          </w:p>
        </w:tc>
      </w:tr>
      <w:tr>
        <w:tc>
          <w:tcPr>
            <w:tcW w:type="dxa" w:w="30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CHARGEN</w:t>
            </w:r>
          </w:p>
        </w:tc>
        <w:tc>
          <w:tcPr>
            <w:tcW w:type="dxa" w:w="2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19</w:t>
            </w:r>
          </w:p>
        </w:tc>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Environ 358×</w:t>
            </w:r>
          </w:p>
        </w:tc>
      </w:tr>
    </w:tbl>
    <w:p>
      <w:pPr>
        <w:spacing w:after="140"/>
      </w:pP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4 — Attaque par amplification DNS en cours. Les requêtes DNS forgées inondent le serveur avec un facteur d’amplification important.</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massive du trafic DNS en direction de la cible.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Réponses DNS sans requêtes correspondantes.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Paquets DNS de grande taille (requêtes ANY avec EDNS0).</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Prévention : fermeture des résolveurs ouverts, filtrage BCP38, Response Rate Limiting, Anycast DNS.</w:t>
      </w:r>
    </w:p>
    <w:p>
      <w:pPr>
        <w:pStyle w:val="Heading2"/>
        <w:spacing w:after="120" w:before="280"/>
      </w:pPr>
      <w:r>
        <w:rPr>
          <w:rFonts w:ascii="Times New Roman" w:cs="Times New Roman" w:eastAsia="Times New Roman" w:hAnsi="Times New Roman"/>
          <w:b/>
          <w:bCs/>
          <w:color w:val="415A77"/>
          <w:sz w:val="26"/>
          <w:szCs w:val="26"/>
        </w:rPr>
        <w:t xml:space="preserve">3.5 Attaque par fragmentation (Teardrop)</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Teardrop exploite des vulnérabilités dans le réassemblage des fragments IP. L’attaquant envoie des fragments volontairement chevauchés (overlapping) ou mal ordonnancés. Certains systèmes d’exploitation anciens (noyaux Linux antérieurs à 2.0.33, Windows 95/NT) ne géraient pas correctement ces chevauchements et pouvaient planter (kernel panic) ou corrompre la mémoire.</w:t>
      </w:r>
    </w:p>
    <w:p>
      <w:pPr>
        <w:spacing w:after="100" w:before="40" w:line="320"/>
        <w:jc w:val="both"/>
      </w:pPr>
      <w:r>
        <w:rPr>
          <w:rFonts w:ascii="Times New Roman" w:cs="Times New Roman" w:eastAsia="Times New Roman" w:hAnsi="Times New Roman"/>
          <w:color w:val="1A1A1A"/>
          <w:sz w:val="22"/>
          <w:szCs w:val="22"/>
        </w:rPr>
        <w:t xml:space="preserve">Les systèmes modernes ne sont plus vulnérables à cette attaque, qui conserve un intérêt principalement pédagogique. Les mesures de prévention incluent la mise à jour des systèmes et le filtrage des fragments anormaux au niveau du pare-feu.</w:t>
      </w:r>
    </w:p>
    <w:p>
      <w:pPr>
        <w:pStyle w:val="Heading2"/>
        <w:spacing w:after="120" w:before="280"/>
      </w:pPr>
      <w:r>
        <w:rPr>
          <w:rFonts w:ascii="Times New Roman" w:cs="Times New Roman" w:eastAsia="Times New Roman" w:hAnsi="Times New Roman"/>
          <w:b/>
          <w:bCs/>
          <w:color w:val="415A77"/>
          <w:sz w:val="26"/>
          <w:szCs w:val="26"/>
        </w:rPr>
        <w:t xml:space="preserve">3.6 HTTP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HTTP Flood (Layer 7 DDoS) cible la couche application du modèle OSI. Contrairement aux attaques volumétriques, elle vise à épuiser les ressources applicatives du serveur (CPU, mémoire, connexions base de données). Des bots envoient des requêtes HTTP GET/POST en apparence légitimes, mais dont le volume agrégé finit par saturer le serveur. La difficulté de détection réside dans le fait que chaque requête individuelle est parfaitement valide.</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5 — Attaque HTTP Flood en cours. Le nombre de requêtes HTTP par seconde s’envole, la charge CPU simulée atteint des niveaux critiques.</w:t>
      </w:r>
    </w:p>
    <w:p>
      <w:pPr>
        <w:pStyle w:val="Heading3"/>
        <w:spacing w:after="80" w:before="200"/>
      </w:pPr>
      <w:r>
        <w:rPr>
          <w:rFonts w:ascii="Times New Roman" w:cs="Times New Roman" w:eastAsia="Times New Roman" w:hAnsi="Times New Roman"/>
          <w:b/>
          <w:bCs/>
          <w:color w:val="1A1A1A"/>
          <w:sz w:val="22"/>
          <w:szCs w:val="22"/>
        </w:rPr>
        <w:t xml:space="preserve">Variantes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Variante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Slowloris</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Maintient des connexions ouvertes avec des headers incomplets</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 GET Flood</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Requêtes sur des pages lourdes ou dynamiques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 POST Flood</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Requêtes avec corps volumineux</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Cache bypass</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Requêtes aléatoires pour contourner les caches CDN</w:t>
            </w:r>
          </w:p>
        </w:tc>
      </w:tr>
    </w:tbl>
    <w:p>
      <w:pPr>
        <w:spacing w:after="140"/>
      </w:pPr>
    </w:p>
    <w:p>
      <w:pPr>
        <w:pStyle w:val="Heading3"/>
        <w:spacing w:after="80" w:before="200"/>
      </w:pPr>
      <w:r>
        <w:rPr>
          <w:rFonts w:ascii="Times New Roman" w:cs="Times New Roman" w:eastAsia="Times New Roman" w:hAnsi="Times New Roman"/>
          <w:b/>
          <w:bCs/>
          <w:color w:val="1A1A1A"/>
          <w:sz w:val="22"/>
          <w:szCs w:val="22"/>
        </w:rPr>
        <w:t xml:space="preserve">Détection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soudaine du nombre de requêtes HTTP (facteur 10 à 100).</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User-Agents suspects ou identiques.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d’erreur 5xx en hausse, latence applicative anormale.</w:t>
      </w:r>
    </w:p>
    <w:p>
      <w:pPr>
        <w:pStyle w:val="Heading3"/>
        <w:spacing w:after="80" w:before="200"/>
      </w:pPr>
      <w:r>
        <w:rPr>
          <w:rFonts w:ascii="Times New Roman" w:cs="Times New Roman" w:eastAsia="Times New Roman" w:hAnsi="Times New Roman"/>
          <w:b/>
          <w:bCs/>
          <w:color w:val="1A1A1A"/>
          <w:sz w:val="22"/>
          <w:szCs w:val="22"/>
        </w:rPr>
        <w:t xml:space="preserve">Prévention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Rate limiting par IP, session et URI.</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WAF (Web Application Firewall) pour l’analyse comportementale HTTP.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Challenge CAPTCHA ou JavaScript pour filtrer les bots.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Reverse proxy distribué (Cloudflare, AWS WAF, Imperva).</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Mise en cache agressive (Redis, Varnish, Cloudflare CDN).</w:t>
      </w:r>
    </w:p>
    <w:p>
      <w:pPr>
        <w:pStyle w:val="Heading1"/>
        <w:spacing w:after="200" w:before="400"/>
      </w:pPr>
      <w:r>
        <w:rPr>
          <w:rFonts w:ascii="Times New Roman" w:cs="Times New Roman" w:eastAsia="Times New Roman" w:hAnsi="Times New Roman"/>
          <w:b/>
          <w:bCs/>
          <w:color w:val="1B263B"/>
          <w:sz w:val="32"/>
          <w:szCs w:val="32"/>
        </w:rPr>
        <w:t xml:space="preserve">4. Détection des attaques DDoS</w:t>
      </w:r>
    </w:p>
    <w:p>
      <w:pPr>
        <w:pStyle w:val="Heading2"/>
        <w:spacing w:after="120" w:before="280"/>
      </w:pPr>
      <w:r>
        <w:rPr>
          <w:rFonts w:ascii="Times New Roman" w:cs="Times New Roman" w:eastAsia="Times New Roman" w:hAnsi="Times New Roman"/>
          <w:b/>
          <w:bCs/>
          <w:color w:val="415A77"/>
          <w:sz w:val="26"/>
          <w:szCs w:val="26"/>
        </w:rPr>
        <w:t xml:space="preserve">4.1 Approche multi-couche</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00"/>
      </w:tblGrid>
      <w:tr>
        <w:trPr>
          <w:tblHeader/>
        </w:trPr>
        <w:tc>
          <w:tcPr>
            <w:tcW w:type="dxa" w:w="2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Niveau</w:t>
            </w:r>
          </w:p>
        </w:tc>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w:t>
            </w:r>
          </w:p>
        </w:tc>
        <w:tc>
          <w:tcPr>
            <w:tcW w:type="dxa" w:w="3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Outils</w:t>
            </w:r>
          </w:p>
        </w:tc>
      </w:tr>
      <w:tr>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Réseau</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de trafic (NetFlow, sFlow)</w:t>
            </w:r>
          </w:p>
        </w:tc>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PRTG, Zabbix, ntopng</w:t>
            </w:r>
          </w:p>
        </w:tc>
      </w:tr>
      <w:tr>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Système</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Métriques CPU, mémoire, backlog</w:t>
            </w:r>
          </w:p>
        </w:tc>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Prometheus, Grafana</w:t>
            </w:r>
          </w:p>
        </w:tc>
      </w:tr>
      <w:tr>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Application</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Logs, temps de réponse</w:t>
            </w:r>
          </w:p>
        </w:tc>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Datadog, ELK Stack</w:t>
            </w:r>
          </w:p>
        </w:tc>
      </w:tr>
      <w:tr>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Pare-feu</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Règles de filtrage</w:t>
            </w:r>
          </w:p>
        </w:tc>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iptables, pfSense</w:t>
            </w:r>
          </w:p>
        </w:tc>
      </w:tr>
      <w:tr>
        <w:tc>
          <w:tcPr>
            <w:tcW w:type="dxa" w:w="2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WAF</w:t>
            </w:r>
          </w:p>
        </w:tc>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HTTP</w:t>
            </w:r>
          </w:p>
        </w:tc>
        <w:tc>
          <w:tcPr>
            <w:tcW w:type="dxa" w:w="30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ModSecurity, Cloudflare WAF</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4.2 Indicateurs de compromission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Volume de trafic anormal (x10 à x1000 par rapport à la baseline).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 paquets SYN supérieur à 70 % du trafic total.</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brutale du trafic UDP ou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d’erreur 5xx supérieur à 10 %.</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Latence réseau et applicative multipliée par 5.</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Backlog de connexions proche de la saturation.</w:t>
      </w:r>
    </w:p>
    <w:p>
      <w:pPr>
        <w:pStyle w:val="Heading1"/>
        <w:spacing w:after="200" w:before="400"/>
      </w:pPr>
      <w:r>
        <w:rPr>
          <w:rFonts w:ascii="Times New Roman" w:cs="Times New Roman" w:eastAsia="Times New Roman" w:hAnsi="Times New Roman"/>
          <w:b/>
          <w:bCs/>
          <w:color w:val="1B263B"/>
          <w:sz w:val="32"/>
          <w:szCs w:val="32"/>
        </w:rPr>
        <w:t xml:space="preserve">5. Conduite à tenir pour le RSSI</w:t>
      </w:r>
    </w:p>
    <w:p>
      <w:pPr>
        <w:spacing w:after="100" w:before="40" w:line="320"/>
        <w:jc w:val="both"/>
      </w:pPr>
      <w:r>
        <w:rPr>
          <w:rFonts w:ascii="Times New Roman" w:cs="Times New Roman" w:eastAsia="Times New Roman" w:hAnsi="Times New Roman"/>
          <w:color w:val="1A1A1A"/>
          <w:sz w:val="22"/>
          <w:szCs w:val="22"/>
        </w:rPr>
        <w:t xml:space="preserve">Les recommandations qui suivent s’appuient sur les guides CERTFR-2024-RFX-010-2 et CERTFR-2024-RFX-009-2.</w:t>
      </w:r>
    </w:p>
    <w:p>
      <w:pPr>
        <w:pStyle w:val="Heading2"/>
        <w:spacing w:after="120" w:before="280"/>
      </w:pPr>
      <w:r>
        <w:rPr>
          <w:rFonts w:ascii="Times New Roman" w:cs="Times New Roman" w:eastAsia="Times New Roman" w:hAnsi="Times New Roman"/>
          <w:b/>
          <w:bCs/>
          <w:color w:val="415A77"/>
          <w:sz w:val="26"/>
          <w:szCs w:val="26"/>
        </w:rPr>
        <w:t xml:space="preserve">5.1 Phase préparatoire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Cartographier le système d’information (actifs critiques, dépendances, FAI).</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Établir une baseline du trafic normal.</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Définir des seuils d’alerte (50 %, 70 %, 90 % de saturation).</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Souscrire un service de mitigation anti-DDoS.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Rédiger et tester un PCA/PRA incluant le scénario DDoS.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Préparer des templates de communication.</w:t>
      </w:r>
    </w:p>
    <w:p>
      <w:pPr>
        <w:pStyle w:val="Heading2"/>
        <w:spacing w:after="120" w:before="280"/>
      </w:pPr>
      <w:r>
        <w:rPr>
          <w:rFonts w:ascii="Times New Roman" w:cs="Times New Roman" w:eastAsia="Times New Roman" w:hAnsi="Times New Roman"/>
          <w:b/>
          <w:bCs/>
          <w:color w:val="415A77"/>
          <w:sz w:val="26"/>
          <w:szCs w:val="26"/>
        </w:rPr>
        <w:t xml:space="preserve">5.2 Phase de détection</w:t>
      </w:r>
    </w:p>
    <w:p>
      <w:pPr>
        <w:spacing w:after="100" w:before="40" w:line="320"/>
        <w:jc w:val="both"/>
      </w:pPr>
      <w:r>
        <w:rPr>
          <w:rFonts w:ascii="Times New Roman" w:cs="Times New Roman" w:eastAsia="Times New Roman" w:hAnsi="Times New Roman"/>
          <w:color w:val="1A1A1A"/>
          <w:sz w:val="22"/>
          <w:szCs w:val="22"/>
        </w:rPr>
        <w:t xml:space="preserve">Les premières minutes sont cruciales :</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Activer le plan de réponse.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Confirmer l’attaque (éliminer les fausses causes).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Caractériser l’attaque (type, volume, vecteur, source).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Contacter le FAI ou l’hébergeur.</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Déclencher le service anti-DDoS.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Protéger les services critiques (QoS).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Communiquer en interne.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Déclarer au CERT-FR.</w:t>
      </w:r>
    </w:p>
    <w:p>
      <w:pPr>
        <w:pStyle w:val="Heading2"/>
        <w:spacing w:after="120" w:before="280"/>
      </w:pPr>
      <w:r>
        <w:rPr>
          <w:rFonts w:ascii="Times New Roman" w:cs="Times New Roman" w:eastAsia="Times New Roman" w:hAnsi="Times New Roman"/>
          <w:b/>
          <w:bCs/>
          <w:color w:val="415A77"/>
          <w:sz w:val="26"/>
          <w:szCs w:val="26"/>
        </w:rPr>
        <w:t xml:space="preserve">5.3 Phase de mitigation</w:t>
      </w:r>
    </w:p>
    <w:p>
      <w:pPr>
        <w:spacing w:after="0"/>
      </w:pP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tblGrid>
      <w:tr>
        <w:trPr>
          <w:tblHeader/>
        </w:trPr>
        <w:tc>
          <w:tcPr>
            <w:tcW w:type="dxa" w:w="5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Action</w:t>
            </w:r>
          </w:p>
        </w:tc>
        <w:tc>
          <w:tcPr>
            <w:tcW w:type="dxa" w:w="2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Délai</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Filtrage d’ingress</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Quelques minutes</w:t>
            </w:r>
          </w:p>
        </w:tc>
      </w:tr>
      <w:tr>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agressif</w:t>
            </w:r>
          </w:p>
        </w:tc>
        <w:tc>
          <w:tcPr>
            <w:tcW w:type="dxa" w:w="2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Immédiat</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Blackholing / Null routing</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Si attaque trop volumineuse</w:t>
            </w:r>
          </w:p>
        </w:tc>
      </w:tr>
      <w:tr>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Basculement DNS anti-DDoS</w:t>
            </w:r>
          </w:p>
        </w:tc>
        <w:tc>
          <w:tcPr>
            <w:tcW w:type="dxa" w:w="2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 à 15 minutes</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Scale-up horizontal</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Auto-scaling</w:t>
            </w:r>
          </w:p>
        </w:tc>
      </w:tr>
      <w:tr>
        <w:tc>
          <w:tcPr>
            <w:tcW w:type="dxa" w:w="5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CAPTCHA / JS Challenge</w:t>
            </w:r>
          </w:p>
        </w:tc>
        <w:tc>
          <w:tcPr>
            <w:tcW w:type="dxa" w:w="2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Cas du HTTP flood</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5.4 Phase post-attaque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Analyser les logs et métriques.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Identifier les vulnérabilités exploitées.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Mettre à jour le plan de réponse.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Transmettre les éléments au CERT-FR.</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Réaliser un bilan chiffré de l’attaque.</w:t>
      </w:r>
    </w:p>
    <w:p>
      <w:pPr>
        <w:pStyle w:val="Heading1"/>
        <w:spacing w:after="200" w:before="400"/>
      </w:pPr>
      <w:r>
        <w:rPr>
          <w:rFonts w:ascii="Times New Roman" w:cs="Times New Roman" w:eastAsia="Times New Roman" w:hAnsi="Times New Roman"/>
          <w:b/>
          <w:bCs/>
          <w:color w:val="1B263B"/>
          <w:sz w:val="32"/>
          <w:szCs w:val="32"/>
        </w:rPr>
        <w:t xml:space="preserve">6. Impact de l’IA sur les attaques DDoS</w:t>
      </w:r>
    </w:p>
    <w:p>
      <w:pPr>
        <w:pStyle w:val="Heading2"/>
        <w:spacing w:after="120" w:before="280"/>
      </w:pPr>
      <w:r>
        <w:rPr>
          <w:rFonts w:ascii="Times New Roman" w:cs="Times New Roman" w:eastAsia="Times New Roman" w:hAnsi="Times New Roman"/>
          <w:b/>
          <w:bCs/>
          <w:color w:val="415A77"/>
          <w:sz w:val="26"/>
          <w:szCs w:val="26"/>
        </w:rPr>
        <w:t xml:space="preserve">6.1 Automatisation intelligente</w:t>
      </w:r>
    </w:p>
    <w:p>
      <w:pPr>
        <w:spacing w:after="100" w:before="40" w:line="320"/>
        <w:jc w:val="both"/>
      </w:pPr>
      <w:r>
        <w:rPr>
          <w:rFonts w:ascii="Times New Roman" w:cs="Times New Roman" w:eastAsia="Times New Roman" w:hAnsi="Times New Roman"/>
          <w:color w:val="1A1A1A"/>
          <w:sz w:val="22"/>
          <w:szCs w:val="22"/>
        </w:rPr>
        <w:t xml:space="preserve">Les botnets pilotés par intelligence artificielle peuvent ajuster dynamiquement leur stratégie d’attaque : analyse en temps réel de l’efficacité, changement automatique de vecteur, contournement des défenses, rotation des IP pour éviter les blacklists.</w:t>
      </w:r>
    </w:p>
    <w:p>
      <w:pPr>
        <w:pStyle w:val="Heading2"/>
        <w:spacing w:after="120" w:before="280"/>
      </w:pPr>
      <w:r>
        <w:rPr>
          <w:rFonts w:ascii="Times New Roman" w:cs="Times New Roman" w:eastAsia="Times New Roman" w:hAnsi="Times New Roman"/>
          <w:b/>
          <w:bCs/>
          <w:color w:val="415A77"/>
          <w:sz w:val="26"/>
          <w:szCs w:val="26"/>
        </w:rPr>
        <w:t xml:space="preserve">6.2 Génération de trafic par LLM</w:t>
      </w:r>
    </w:p>
    <w:p>
      <w:pPr>
        <w:spacing w:after="100" w:before="40" w:line="320"/>
        <w:jc w:val="both"/>
      </w:pPr>
      <w:r>
        <w:rPr>
          <w:rFonts w:ascii="Times New Roman" w:cs="Times New Roman" w:eastAsia="Times New Roman" w:hAnsi="Times New Roman"/>
          <w:color w:val="1A1A1A"/>
          <w:sz w:val="22"/>
          <w:szCs w:val="22"/>
        </w:rPr>
        <w:t xml:space="preserve">Les grands modèles de langage (GPT, Claude, Llama) permettent de générer des requêtes HTTP imitant parfaitement le comportement humain : User-Agents diversifiés, parcours de navigation crédibles, temps de pause réalistes. Cette évolution rend la distinction entre trafic légitime et malveillant beaucoup plus difficile.</w:t>
      </w:r>
    </w:p>
    <w:p>
      <w:pPr>
        <w:pStyle w:val="Heading2"/>
        <w:spacing w:after="120" w:before="280"/>
      </w:pPr>
      <w:r>
        <w:rPr>
          <w:rFonts w:ascii="Times New Roman" w:cs="Times New Roman" w:eastAsia="Times New Roman" w:hAnsi="Times New Roman"/>
          <w:b/>
          <w:bCs/>
          <w:color w:val="415A77"/>
          <w:sz w:val="26"/>
          <w:szCs w:val="26"/>
        </w:rPr>
        <w:t xml:space="preserve">6.3 Évolution des botnets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rPr>
          <w:tblHeader/>
        </w:trPr>
        <w:tc>
          <w:tcPr>
            <w:tcW w:type="dxa" w:w="4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Évolution</w:t>
            </w:r>
          </w:p>
        </w:tc>
        <w:tc>
          <w:tcPr>
            <w:tcW w:type="dxa" w:w="5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Impact</w:t>
            </w:r>
          </w:p>
        </w:tc>
      </w:tr>
      <w:tr>
        <w:tc>
          <w:tcPr>
            <w:tcW w:type="dxa" w:w="4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Botnets IoT → Botnets IA</w:t>
            </w:r>
          </w:p>
        </w:tc>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Coordination intelligente des actions</w:t>
            </w:r>
          </w:p>
        </w:tc>
      </w:tr>
      <w:tr>
        <w:tc>
          <w:tcPr>
            <w:tcW w:type="dxa" w:w="4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Architecture P2P décentralisée</w:t>
            </w:r>
          </w:p>
        </w:tc>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Plus de point de contrôle central à détruire</w:t>
            </w:r>
          </w:p>
        </w:tc>
      </w:tr>
      <w:tr>
        <w:tc>
          <w:tcPr>
            <w:tcW w:type="dxa" w:w="4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Apprentissage par renforcement</w:t>
            </w:r>
          </w:p>
        </w:tc>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Optimisation continue de l’attaque</w:t>
            </w:r>
          </w:p>
        </w:tc>
      </w:tr>
      <w:tr>
        <w:tc>
          <w:tcPr>
            <w:tcW w:type="dxa" w:w="4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Attaques multi-vecteurs</w:t>
            </w:r>
          </w:p>
        </w:tc>
        <w:tc>
          <w:tcPr>
            <w:tcW w:type="dxa" w:w="5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 + UDP + HTTP combinés et coordonnés</w:t>
            </w:r>
          </w:p>
        </w:tc>
      </w:tr>
    </w:tbl>
    <w:p>
      <w:pPr>
        <w:spacing w:after="140"/>
      </w:pPr>
    </w:p>
    <w:p>
      <w:pPr>
        <w:pStyle w:val="Heading1"/>
        <w:spacing w:after="200" w:before="400"/>
      </w:pPr>
      <w:r>
        <w:rPr>
          <w:rFonts w:ascii="Times New Roman" w:cs="Times New Roman" w:eastAsia="Times New Roman" w:hAnsi="Times New Roman"/>
          <w:b/>
          <w:bCs/>
          <w:color w:val="1B263B"/>
          <w:sz w:val="32"/>
          <w:szCs w:val="32"/>
        </w:rPr>
        <w:t xml:space="preserve">7. Impact de l’IA sur la détection</w:t>
      </w:r>
    </w:p>
    <w:p>
      <w:pPr>
        <w:pStyle w:val="Heading2"/>
        <w:spacing w:after="120" w:before="280"/>
      </w:pPr>
      <w:r>
        <w:rPr>
          <w:rFonts w:ascii="Times New Roman" w:cs="Times New Roman" w:eastAsia="Times New Roman" w:hAnsi="Times New Roman"/>
          <w:b/>
          <w:bCs/>
          <w:color w:val="415A77"/>
          <w:sz w:val="26"/>
          <w:szCs w:val="26"/>
        </w:rPr>
        <w:t xml:space="preserve">7.1 Apprentissage supervisé</w:t>
      </w:r>
    </w:p>
    <w:p>
      <w:pPr>
        <w:spacing w:after="100" w:before="40" w:line="320"/>
        <w:jc w:val="both"/>
      </w:pPr>
      <w:r>
        <w:rPr>
          <w:rFonts w:ascii="Times New Roman" w:cs="Times New Roman" w:eastAsia="Times New Roman" w:hAnsi="Times New Roman"/>
          <w:color w:val="1A1A1A"/>
          <w:sz w:val="22"/>
          <w:szCs w:val="22"/>
        </w:rPr>
        <w:t xml:space="preserve">L’apprentissage supervisé consiste à entraîner un modèle sur des données labellisées (trafic normal vs trafic d’attaque). Les algorithmes les plus employés sont Random Forest, SVM, XGBoost et les réseaux de neurones. Cette approche offre une précision élevée sur les attaques connues, mais ne permet pas de détecter les variantes zero-day.</w:t>
      </w:r>
    </w:p>
    <w:p>
      <w:pPr>
        <w:pStyle w:val="Heading2"/>
        <w:spacing w:after="120" w:before="280"/>
      </w:pPr>
      <w:r>
        <w:rPr>
          <w:rFonts w:ascii="Times New Roman" w:cs="Times New Roman" w:eastAsia="Times New Roman" w:hAnsi="Times New Roman"/>
          <w:b/>
          <w:bCs/>
          <w:color w:val="415A77"/>
          <w:sz w:val="26"/>
          <w:szCs w:val="26"/>
        </w:rPr>
        <w:t xml:space="preserve">7.2 Apprentissage non supervisé</w:t>
      </w:r>
    </w:p>
    <w:p>
      <w:pPr>
        <w:spacing w:after="100" w:before="40" w:line="320"/>
        <w:jc w:val="both"/>
      </w:pPr>
      <w:r>
        <w:rPr>
          <w:rFonts w:ascii="Times New Roman" w:cs="Times New Roman" w:eastAsia="Times New Roman" w:hAnsi="Times New Roman"/>
          <w:color w:val="1A1A1A"/>
          <w:sz w:val="22"/>
          <w:szCs w:val="22"/>
        </w:rPr>
        <w:t xml:space="preserve">Les auto-encodeurs, DBSCAN et Isolation Forest permettent de détecter des anomalies sans connaissance préalable des attaques. Ces méthodes identifient les comportements inconnus ou émergents, au prix d’un taux de faux positifs généralement plus élevé.</w:t>
      </w:r>
    </w:p>
    <w:p>
      <w:pPr>
        <w:pStyle w:val="Heading2"/>
        <w:spacing w:after="120" w:before="280"/>
      </w:pPr>
      <w:r>
        <w:rPr>
          <w:rFonts w:ascii="Times New Roman" w:cs="Times New Roman" w:eastAsia="Times New Roman" w:hAnsi="Times New Roman"/>
          <w:b/>
          <w:bCs/>
          <w:color w:val="415A77"/>
          <w:sz w:val="26"/>
          <w:szCs w:val="26"/>
        </w:rPr>
        <w:t xml:space="preserve">7.3 Deep Learning en temps réel</w:t>
      </w:r>
    </w:p>
    <w:p>
      <w:pPr>
        <w:spacing w:after="100" w:before="40" w:line="320"/>
        <w:jc w:val="both"/>
      </w:pPr>
      <w:r>
        <w:rPr>
          <w:rFonts w:ascii="Times New Roman" w:cs="Times New Roman" w:eastAsia="Times New Roman" w:hAnsi="Times New Roman"/>
          <w:color w:val="1A1A1A"/>
          <w:sz w:val="22"/>
          <w:szCs w:val="22"/>
        </w:rPr>
        <w:t xml:space="preserve">Les architectures CNN (extraction de motifs spatiaux) couplées aux LSTM (analyse séquentielle) permettent une analyse de flux réseau en temps réel avec une détection en quelques secondes. Ces modèles sont déployés chez la plupart des grands fournisseurs de cloud.</w:t>
      </w:r>
    </w:p>
    <w:p>
      <w:pPr>
        <w:pStyle w:val="Heading2"/>
        <w:spacing w:after="120" w:before="280"/>
      </w:pPr>
      <w:r>
        <w:rPr>
          <w:rFonts w:ascii="Times New Roman" w:cs="Times New Roman" w:eastAsia="Times New Roman" w:hAnsi="Times New Roman"/>
          <w:b/>
          <w:bCs/>
          <w:color w:val="415A77"/>
          <w:sz w:val="26"/>
          <w:szCs w:val="26"/>
        </w:rPr>
        <w:t xml:space="preserve">7.4 Solutions du marché</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Solution</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Approche technologique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Cloudflare</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Machine learning pour la classification automatique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AWS Shield Advanced</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Détection comportementale + règles heuristiques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Google Cloud Armor</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Adaptive Protection (ML)</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Darktrace</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Auto-encodeurs pour la détection d’anomalies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Radware</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Détection comportementale</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Akamai Prolexic</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prédictive et apprentissage continu</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7.5 Course aux armements IA</w:t>
      </w:r>
    </w:p>
    <w:p>
      <w:pPr>
        <w:spacing w:after="100" w:before="40" w:line="320"/>
        <w:jc w:val="both"/>
      </w:pPr>
      <w:r>
        <w:rPr>
          <w:rFonts w:ascii="Times New Roman" w:cs="Times New Roman" w:eastAsia="Times New Roman" w:hAnsi="Times New Roman"/>
          <w:color w:val="1A1A1A"/>
          <w:sz w:val="22"/>
          <w:szCs w:val="22"/>
        </w:rPr>
        <w:t xml:space="preserve">L’avenir de la lutte anti-DDoS s’apparente à une course aux armements entre attaquants et défenseurs. Les premiers utilisent l’IA pour adapter leurs attaques en temps réel et contourner les modèles de détection. Les seconds déploient des systèmes de réponse automatique, de réentraînement continu et de honeypots intelligents. L’issue de cette compétition dépendra en grande partie de la qualité des données d’entraînement et de la rapidité d’adaptation des modèles.</w:t>
      </w:r>
    </w:p>
    <w:p>
      <w:pPr>
        <w:pStyle w:val="Heading1"/>
        <w:spacing w:after="200" w:before="400"/>
      </w:pPr>
      <w:r>
        <w:rPr>
          <w:rFonts w:ascii="Times New Roman" w:cs="Times New Roman" w:eastAsia="Times New Roman" w:hAnsi="Times New Roman"/>
          <w:b/>
          <w:bCs/>
          <w:color w:val="1B263B"/>
          <w:sz w:val="32"/>
          <w:szCs w:val="32"/>
        </w:rPr>
        <w:t xml:space="preserve">8. Références</w:t>
      </w:r>
    </w:p>
    <w:p>
      <w:pPr>
        <w:pStyle w:val="Heading2"/>
        <w:spacing w:after="120" w:before="280"/>
      </w:pPr>
      <w:r>
        <w:rPr>
          <w:rFonts w:ascii="Times New Roman" w:cs="Times New Roman" w:eastAsia="Times New Roman" w:hAnsi="Times New Roman"/>
          <w:b/>
          <w:bCs/>
          <w:color w:val="415A77"/>
          <w:sz w:val="26"/>
          <w:szCs w:val="26"/>
        </w:rPr>
        <w:t xml:space="preserve">Guides officiels</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Référence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Titre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CERTFR-2026-CTI-002</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Menaces et tendances cyber 2026</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CERTFR-2024-RFX-010-2</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Recommandations pour la gestion de crise cyber</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CERTFR-2024-RFX-009-2</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Guide de réponse aux incidents</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ANSSI</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Guide DDoS — Recommandations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Cybermalveillance.gouv.fr</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Fiche réflexe DDoS</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Akamai</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What is DDoS — Glossaire</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RFC et standards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791 — Internet Protocol (fragmentation IP).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9293 — Transmission Control Protocol (TCP).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768 — User Datagram Protocol (UDP).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1035 — Domain Names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2827 / BCP 38 — Network Ingress Filtering.</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4987 — TCP SYN Flooding Attacks and Common Mitigations.</w:t>
      </w:r>
    </w:p>
    <w:p>
      <w:pPr>
        <w:pStyle w:val="Heading2"/>
        <w:spacing w:after="120" w:before="280"/>
      </w:pPr>
      <w:r>
        <w:rPr>
          <w:rFonts w:ascii="Times New Roman" w:cs="Times New Roman" w:eastAsia="Times New Roman" w:hAnsi="Times New Roman"/>
          <w:b/>
          <w:bCs/>
          <w:color w:val="415A77"/>
          <w:sz w:val="26"/>
          <w:szCs w:val="26"/>
        </w:rPr>
        <w:t xml:space="preserve">Lectures complémentaires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OWASP : DDoS Prevention Cheat Sheet.</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CISA : Understanding and Responding to DDoS Attacks.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MITRE ATT&amp;CK : TA0040 — Impact (techniques DDoS).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NIST SP 800-61 Rev.2 : Computer Security Incident Handling Guide.</w:t>
      </w:r>
    </w:p>
    <w:p>
      <w:pPr>
        <w:spacing w:after="420"/>
      </w:pPr>
    </w:p>
    <w:p>
      <w:pPr>
        <w:spacing w:after="100" w:before="40" w:line="320"/>
        <w:jc w:val="both"/>
      </w:pPr>
      <w:r>
        <w:rPr>
          <w:rFonts w:ascii="Times New Roman" w:cs="Times New Roman" w:eastAsia="Times New Roman" w:hAnsi="Times New Roman"/>
          <w:color w:val="1A1A1A"/>
          <w:sz w:val="22"/>
          <w:szCs w:val="22"/>
        </w:rPr>
        <w:t xml:space="preserve">Ce projet est un outil pédagogique destiné à l’apprentissage des mécanismes des attaques DDoS. Il ne doit en aucun cas être utilisé pour mener des attaques réelles, ce qui est illégal dans la grande majorité des juridictions.</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Times New Roman" w:cs="Times New Roman" w:eastAsia="Times New Roman" w:hAnsi="Times New Roman"/>
        <w:color w:val="888888"/>
        <w:sz w:val="16"/>
        <w:szCs w:val="16"/>
      </w:rPr>
      <w:t xml:space="preserve">Lazurka, Bouderra, Aon, Alahyane — ISEP 2025–2026 —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7872"/>
    </w:tblGrid>
    <w:tr>
      <w:tc>
        <w:tcPr>
          <w:tcW w:type="dxa" w:w="1200"/>
          <w:tcBorders>
            <w:top w:val="none" w:sz="0"/>
            <w:left w:val="none" w:sz="0"/>
            <w:bottom w:val="none" w:sz="0"/>
            <w:right w:val="none" w:sz="0"/>
          </w:tcBorders>
          <w:tcMar>
            <w:top w:type="dxa" w:w="0"/>
            <w:left w:type="dxa" w:w="0"/>
            <w:bottom w:type="dxa" w:w="0"/>
            <w:right w:type="dxa" w:w="0"/>
          </w:tcMar>
        </w:tcPr>
        <w:p>
          <w:pPr>
            <w:spacing w:after="0" w:before="0"/>
            <w:jc w:val="left"/>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952500"/>
                        </a:xfrm>
                        <a:prstGeom prst="rect">
                          <a:avLst/>
                        </a:prstGeom>
                      </pic:spPr>
                    </pic:pic>
                  </a:graphicData>
                </a:graphic>
              </wp:inline>
            </w:drawing>
          </w:r>
        </w:p>
      </w:tc>
      <w:tc>
        <w:tcPr>
          <w:tcW w:type="dxa" w:w="7872"/>
          <w:tcBorders>
            <w:top w:val="none" w:sz="0"/>
            <w:left w:val="none" w:sz="0"/>
            <w:bottom w:val="none" w:sz="0"/>
            <w:right w:val="none" w:sz="0"/>
          </w:tcBorders>
          <w:tcMar>
            <w:top w:type="dxa" w:w="0"/>
            <w:left w:type="dxa" w:w="0"/>
            <w:bottom w:type="dxa" w:w="0"/>
            <w:right w:type="dxa" w:w="0"/>
          </w:tcMar>
        </w:tcPr>
        <w:p>
          <w:pPr>
            <w:spacing w:after="0" w:before="0"/>
            <w:jc w:val="right"/>
          </w:pPr>
          <w:r>
            <w:rPr>
              <w:rFonts w:ascii="Times New Roman" w:cs="Times New Roman" w:eastAsia="Times New Roman" w:hAnsi="Times New Roman"/>
              <w:i/>
              <w:iCs/>
              <w:color w:val="778DA9"/>
              <w:sz w:val="16"/>
              <w:szCs w:val="16"/>
            </w:rPr>
            <w:t xml:space="preserve">NetSim DDoS Lab — ISEP 2025–2026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1B263B"/>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415A77"/>
      <w:sz w:val="26"/>
      <w:szCs w:val="26"/>
    </w:rPr>
  </w:style>
  <w:style w:type="paragraph" w:styleId="Heading3">
    <w:name w:val="Heading 3"/>
    <w:basedOn w:val="Normal"/>
    <w:next w:val="Normal"/>
    <w:qFormat/>
    <w:pPr>
      <w:spacing w:after="80" w:before="200"/>
      <w:outlineLvl w:val="2"/>
    </w:pPr>
    <w:rPr>
      <w:rFonts w:ascii="Times New Roman" w:cs="Times New Roman" w:eastAsia="Times New Roman" w:hAnsi="Times New Roman"/>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817a2bac63097f7cbcd93d8b49420b4bea3131.undefined"/><Relationship Id="rId10" Type="http://schemas.openxmlformats.org/officeDocument/2006/relationships/image" Target="media/5288470ca59bb94a85ee828167f627103113b2eb.undefined"/><Relationship Id="rId11" Type="http://schemas.openxmlformats.org/officeDocument/2006/relationships/image" Target="media/84875b36d3f4825f378ee5b8fa316df2f82ff7fa.undefined"/><Relationship Id="rId12" Type="http://schemas.openxmlformats.org/officeDocument/2006/relationships/image" Target="media/e8af8be250341151a8217580ef59acae8a7f38af.undefined"/><Relationship Id="rId13" Type="http://schemas.openxmlformats.org/officeDocument/2006/relationships/image" Target="media/3e3e9a7353a86c1a970afa670b58553163966263.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03978b57df89bfcb7f736e8c49444696087353c.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2026-05-26T10:13:48.823Z</dcterms:created>
  <dcterms:modified xsi:type="dcterms:W3CDTF">2026-05-26T10:13:48.824Z</dcterms:modified>
</cp:coreProperties>
</file>

<file path=docProps/custom.xml><?xml version="1.0" encoding="utf-8"?>
<Properties xmlns="http://schemas.openxmlformats.org/officeDocument/2006/custom-properties" xmlns:vt="http://schemas.openxmlformats.org/officeDocument/2006/docPropsVTypes"/>
</file>