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Revisão ranger 2024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13: Relentless Hunter: </w:t>
      </w:r>
      <w:r w:rsidDel="00000000" w:rsidR="00000000" w:rsidRPr="00000000">
        <w:rPr>
          <w:rtl w:val="0"/>
        </w:rPr>
        <w:t xml:space="preserve">Seu Hunter’s mark pode dividir concentração com outros feitiços.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