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 celestial (apenas 2014)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Radiant soul</w:t>
      </w:r>
    </w:p>
    <w:p w:rsidR="00000000" w:rsidDel="00000000" w:rsidP="00000000" w:rsidRDefault="00000000" w:rsidRPr="00000000" w14:paraId="00000004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Quando causar* dano radiante ou de fogo ou causar uma cura, adicione sua carisma ao dano (este efeito não pode ocorrer mais de uma vez por turno).</w:t>
        <w:br w:type="textWrapping"/>
        <w:t xml:space="preserve">- Eldritch blast agora causa dano radiante, fogo ou energia (force), você escolhe antes da rolagem de dados.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