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B73"/>
          <w:sz w:val="36"/>
          <w:szCs w:val="36"/>
        </w:rPr>
        <w:t xml:space="preserve">AI Act risk level assessment questionnaire</w:t>
      </w:r>
    </w:p>
    <w:p>
      <w:pPr>
        <w:spacing w:after="80"/>
      </w:pPr>
      <w:r>
        <w:rPr>
          <w:rFonts w:ascii="Arial" w:cs="Arial" w:eastAsia="Arial" w:hAnsi="Arial"/>
          <w:b/>
          <w:bCs/>
          <w:sz w:val="26"/>
          <w:szCs w:val="26"/>
        </w:rPr>
        <w:t xml:space="preserve">AI Register entry — ALINA (AI Legal Intelligence Assistant)</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draft for submission to Corporate IT Governance (GovIS2 AI Register section). Prepared 29/09/2026.</w:t>
      </w:r>
    </w:p>
    <w:p>
      <w:pPr>
        <w:spacing w:after="120"/>
      </w:pPr>
      <w:r>
        <w:rPr>
          <w:rFonts w:ascii="Arial" w:cs="Arial" w:eastAsia="Arial" w:hAnsi="Arial"/>
          <w:b/>
          <w:bCs/>
          <w:sz w:val="20"/>
          <w:szCs w:val="20"/>
        </w:rPr>
        <w:t xml:space="preserve">Basis: </w:t>
      </w:r>
      <w:r>
        <w:rPr>
          <w:rFonts w:ascii="Arial" w:cs="Arial" w:eastAsia="Arial" w:hAnsi="Arial"/>
          <w:sz w:val="20"/>
          <w:szCs w:val="20"/>
        </w:rPr>
        <w:t xml:space="preserve">the AI Act risk level assessment questionnaire as submitted for the "AI Form Filling" prototype (EU Survey contribution 1d68e583-3254-4298-8f19-7e0d6c1560e4, 17/10/2025), adapted to the scope and purposes of ALINA using the ALINA Architecture Overview Document V1.0 of 18/09/2026 (AOD) and the ALINA source repository README. Section references in the form "AOD §x.y" point to that document.</w:t>
      </w:r>
    </w:p>
    <w:p>
      <w:pPr>
        <w:spacing w:after="120"/>
      </w:pPr>
      <w:r>
        <w:rPr>
          <w:rFonts w:ascii="Arial" w:cs="Arial" w:eastAsia="Arial" w:hAnsi="Arial"/>
          <w:b/>
          <w:bCs/>
          <w:sz w:val="20"/>
          <w:szCs w:val="20"/>
        </w:rPr>
        <w:t xml:space="preserve">How to use this document: </w:t>
      </w:r>
      <w:r>
        <w:rPr>
          <w:rFonts w:ascii="Arial" w:cs="Arial" w:eastAsia="Arial" w:hAnsi="Arial"/>
          <w:sz w:val="20"/>
          <w:szCs w:val="20"/>
        </w:rPr>
        <w:t xml:space="preserve">the questionnaire is answered online in EU Survey by the System Owner. The answers below are pre-filled with their justification so that the survey can be completed directly, and so that the reasoning is on record for the governance body. Items marked "to confirm" in Section A must be settled before submission.</w:t>
      </w:r>
    </w:p>
    <w:p>
      <w:pPr>
        <w:pStyle w:val="Heading1"/>
        <w:spacing w:after="160" w:before="360"/>
      </w:pPr>
      <w:r>
        <w:rPr>
          <w:rFonts w:ascii="Arial" w:cs="Arial" w:eastAsia="Arial" w:hAnsi="Arial"/>
          <w:b/>
          <w:bCs/>
          <w:color w:val="1F3B73"/>
          <w:sz w:val="30"/>
          <w:szCs w:val="30"/>
        </w:rPr>
        <w:t xml:space="preserve">A. Points to confirm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5126"/>
        <w:gridCol w:w="1500"/>
      </w:tblGrid>
      <w:tr>
        <w:trPr>
          <w:tblHeader/>
        </w:trPr>
        <w:tc>
          <w:tcPr>
            <w:tcW w:type="dxa" w:w="5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w:t>
            </w:r>
          </w:p>
        </w:tc>
        <w:tc>
          <w:tcPr>
            <w:tcW w:type="dxa" w:w="19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Item</w:t>
            </w:r>
          </w:p>
        </w:tc>
        <w:tc>
          <w:tcPr>
            <w:tcW w:type="dxa" w:w="5126"/>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Proposed value / position</w:t>
            </w:r>
          </w:p>
        </w:tc>
        <w:tc>
          <w:tcPr>
            <w:tcW w:type="dxa" w:w="15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Owner</w:t>
            </w:r>
          </w:p>
        </w:tc>
      </w:tr>
      <w:tr>
        <w:trPr>
          <w:tblHeader w:val="off"/>
        </w:trPr>
        <w:tc>
          <w:tcPr>
            <w:tcW w:type="dxa" w:w="500"/>
            <w:tcMar>
              <w:top w:type="dxa" w:w="80"/>
              <w:left w:type="dxa" w:w="100"/>
              <w:bottom w:type="dxa" w:w="80"/>
              <w:right w:type="dxa" w:w="100"/>
            </w:tcMar>
          </w:tcPr>
          <w:p>
            <w:pPr>
              <w:spacing w:after="0"/>
            </w:pPr>
            <w:r>
              <w:rPr>
                <w:rFonts w:ascii="Arial" w:cs="Arial" w:eastAsia="Arial" w:hAnsi="Arial"/>
                <w:sz w:val="20"/>
                <w:szCs w:val="20"/>
              </w:rPr>
              <w:t xml:space="preserve">1</w:t>
            </w:r>
          </w:p>
        </w:tc>
        <w:tc>
          <w:tcPr>
            <w:tcW w:type="dxa" w:w="1900"/>
            <w:tcMar>
              <w:top w:type="dxa" w:w="80"/>
              <w:left w:type="dxa" w:w="100"/>
              <w:bottom w:type="dxa" w:w="80"/>
              <w:right w:type="dxa" w:w="100"/>
            </w:tcMar>
          </w:tcPr>
          <w:p>
            <w:pPr>
              <w:spacing w:after="0"/>
            </w:pPr>
            <w:r>
              <w:rPr>
                <w:rFonts w:ascii="Arial" w:cs="Arial" w:eastAsia="Arial" w:hAnsi="Arial"/>
                <w:sz w:val="20"/>
                <w:szCs w:val="20"/>
              </w:rPr>
              <w:t xml:space="preserve">Name as in GovIS2</w:t>
            </w:r>
          </w:p>
        </w:tc>
        <w:tc>
          <w:tcPr>
            <w:tcW w:type="dxa" w:w="5126"/>
            <w:tcMar>
              <w:top w:type="dxa" w:w="80"/>
              <w:left w:type="dxa" w:w="100"/>
              <w:bottom w:type="dxa" w:w="80"/>
              <w:right w:type="dxa" w:w="100"/>
            </w:tcMar>
          </w:tcPr>
          <w:p>
            <w:pPr>
              <w:spacing w:after="0"/>
            </w:pPr>
            <w:r>
              <w:rPr>
                <w:rFonts w:ascii="Arial" w:cs="Arial" w:eastAsia="Arial" w:hAnsi="Arial"/>
                <w:sz w:val="20"/>
                <w:szCs w:val="20"/>
              </w:rPr>
              <w:t xml:space="preserve">ALINA — AI Legal Intelligence Assistant. Confirm the exact name under which the exploratory activity is encoded in GovIS2.</w:t>
            </w:r>
          </w:p>
        </w:tc>
        <w:tc>
          <w:tcPr>
            <w:tcW w:type="dxa" w:w="1500"/>
            <w:tcMar>
              <w:top w:type="dxa" w:w="80"/>
              <w:left w:type="dxa" w:w="100"/>
              <w:bottom w:type="dxa" w:w="80"/>
              <w:right w:type="dxa" w:w="100"/>
            </w:tcMar>
          </w:tcPr>
          <w:p>
            <w:pPr>
              <w:spacing w:after="0"/>
            </w:pPr>
            <w:r>
              <w:rPr>
                <w:rFonts w:ascii="Arial" w:cs="Arial" w:eastAsia="Arial" w:hAnsi="Arial"/>
                <w:sz w:val="20"/>
                <w:szCs w:val="20"/>
              </w:rPr>
              <w:t xml:space="preserve">DIGIT.R3</w:t>
            </w:r>
          </w:p>
        </w:tc>
      </w:tr>
      <w:tr>
        <w:trPr>
          <w:tblHeader w:val="off"/>
        </w:trPr>
        <w:tc>
          <w:tcPr>
            <w:tcW w:type="dxa" w:w="500"/>
            <w:tcMar>
              <w:top w:type="dxa" w:w="80"/>
              <w:left w:type="dxa" w:w="100"/>
              <w:bottom w:type="dxa" w:w="80"/>
              <w:right w:type="dxa" w:w="100"/>
            </w:tcMar>
          </w:tcPr>
          <w:p>
            <w:pPr>
              <w:spacing w:after="0"/>
            </w:pPr>
            <w:r>
              <w:rPr>
                <w:rFonts w:ascii="Arial" w:cs="Arial" w:eastAsia="Arial" w:hAnsi="Arial"/>
                <w:sz w:val="20"/>
                <w:szCs w:val="20"/>
              </w:rPr>
              <w:t xml:space="preserve">2</w:t>
            </w:r>
          </w:p>
        </w:tc>
        <w:tc>
          <w:tcPr>
            <w:tcW w:type="dxa" w:w="1900"/>
            <w:tcMar>
              <w:top w:type="dxa" w:w="80"/>
              <w:left w:type="dxa" w:w="100"/>
              <w:bottom w:type="dxa" w:w="80"/>
              <w:right w:type="dxa" w:w="100"/>
            </w:tcMar>
          </w:tcPr>
          <w:p>
            <w:pPr>
              <w:spacing w:after="0"/>
            </w:pPr>
            <w:r>
              <w:rPr>
                <w:rFonts w:ascii="Arial" w:cs="Arial" w:eastAsia="Arial" w:hAnsi="Arial"/>
                <w:sz w:val="20"/>
                <w:szCs w:val="20"/>
              </w:rPr>
              <w:t xml:space="preserve">GovIS2 sequence number</w:t>
            </w:r>
          </w:p>
        </w:tc>
        <w:tc>
          <w:tcPr>
            <w:tcW w:type="dxa" w:w="5126"/>
            <w:tcMar>
              <w:top w:type="dxa" w:w="80"/>
              <w:left w:type="dxa" w:w="100"/>
              <w:bottom w:type="dxa" w:w="80"/>
              <w:right w:type="dxa" w:w="100"/>
            </w:tcMar>
          </w:tcPr>
          <w:p>
            <w:pPr>
              <w:spacing w:after="0"/>
            </w:pPr>
            <w:r>
              <w:rPr>
                <w:rFonts w:ascii="Arial" w:cs="Arial" w:eastAsia="Arial" w:hAnsi="Arial"/>
                <w:sz w:val="20"/>
                <w:szCs w:val="20"/>
              </w:rPr>
              <w:t xml:space="preserve">Not known to the author of this draft. The AI Form Filling entry used an innovation identifier (INV-70); ALINA was launched as an exploratory activity under the digital innovation framework and is expected to carry an identifier of the same INV- series.</w:t>
            </w:r>
          </w:p>
        </w:tc>
        <w:tc>
          <w:tcPr>
            <w:tcW w:type="dxa" w:w="1500"/>
            <w:tcMar>
              <w:top w:type="dxa" w:w="80"/>
              <w:left w:type="dxa" w:w="100"/>
              <w:bottom w:type="dxa" w:w="80"/>
              <w:right w:type="dxa" w:w="100"/>
            </w:tcMar>
          </w:tcPr>
          <w:p>
            <w:pPr>
              <w:spacing w:after="0"/>
            </w:pPr>
            <w:r>
              <w:rPr>
                <w:rFonts w:ascii="Arial" w:cs="Arial" w:eastAsia="Arial" w:hAnsi="Arial"/>
                <w:sz w:val="20"/>
                <w:szCs w:val="20"/>
              </w:rPr>
              <w:t xml:space="preserve">DIGIT.R3 / DIGIT.B1</w:t>
            </w:r>
          </w:p>
        </w:tc>
      </w:tr>
      <w:tr>
        <w:trPr>
          <w:tblHeader w:val="off"/>
        </w:trPr>
        <w:tc>
          <w:tcPr>
            <w:tcW w:type="dxa" w:w="500"/>
            <w:tcMar>
              <w:top w:type="dxa" w:w="80"/>
              <w:left w:type="dxa" w:w="100"/>
              <w:bottom w:type="dxa" w:w="80"/>
              <w:right w:type="dxa" w:w="100"/>
            </w:tcMar>
          </w:tcPr>
          <w:p>
            <w:pPr>
              <w:spacing w:after="0"/>
            </w:pPr>
            <w:r>
              <w:rPr>
                <w:rFonts w:ascii="Arial" w:cs="Arial" w:eastAsia="Arial" w:hAnsi="Arial"/>
                <w:sz w:val="20"/>
                <w:szCs w:val="20"/>
              </w:rPr>
              <w:t xml:space="preserve">3</w:t>
            </w:r>
          </w:p>
        </w:tc>
        <w:tc>
          <w:tcPr>
            <w:tcW w:type="dxa" w:w="1900"/>
            <w:tcMar>
              <w:top w:type="dxa" w:w="80"/>
              <w:left w:type="dxa" w:w="100"/>
              <w:bottom w:type="dxa" w:w="80"/>
              <w:right w:type="dxa" w:w="100"/>
            </w:tcMar>
          </w:tcPr>
          <w:p>
            <w:pPr>
              <w:spacing w:after="0"/>
            </w:pPr>
            <w:r>
              <w:rPr>
                <w:rFonts w:ascii="Arial" w:cs="Arial" w:eastAsia="Arial" w:hAnsi="Arial"/>
                <w:sz w:val="20"/>
                <w:szCs w:val="20"/>
              </w:rPr>
              <w:t xml:space="preserve">AI System Owner</w:t>
            </w:r>
          </w:p>
        </w:tc>
        <w:tc>
          <w:tcPr>
            <w:tcW w:type="dxa" w:w="5126"/>
            <w:tcMar>
              <w:top w:type="dxa" w:w="80"/>
              <w:left w:type="dxa" w:w="100"/>
              <w:bottom w:type="dxa" w:w="80"/>
              <w:right w:type="dxa" w:w="100"/>
            </w:tcMar>
          </w:tcPr>
          <w:p>
            <w:pPr>
              <w:spacing w:after="0"/>
            </w:pPr>
            <w:r>
              <w:rPr>
                <w:rFonts w:ascii="Arial" w:cs="Arial" w:eastAsia="Arial" w:hAnsi="Arial"/>
                <w:sz w:val="20"/>
                <w:szCs w:val="20"/>
              </w:rPr>
              <w:t xml:space="preserve">The AOD (§1.3, §2.2) designates DG DIGIT Unit B.1 as System Owner and DG DIGIT Unit R.3 as business and data owner (Project Owner: Victor BOULANGER). The named System Owner was still an open point in the AOD. The questionnaire must be completed by the System Owner.</w:t>
            </w:r>
          </w:p>
        </w:tc>
        <w:tc>
          <w:tcPr>
            <w:tcW w:type="dxa" w:w="1500"/>
            <w:tcMar>
              <w:top w:type="dxa" w:w="80"/>
              <w:left w:type="dxa" w:w="100"/>
              <w:bottom w:type="dxa" w:w="80"/>
              <w:right w:type="dxa" w:w="100"/>
            </w:tcMar>
          </w:tcPr>
          <w:p>
            <w:pPr>
              <w:spacing w:after="0"/>
            </w:pPr>
            <w:r>
              <w:rPr>
                <w:rFonts w:ascii="Arial" w:cs="Arial" w:eastAsia="Arial" w:hAnsi="Arial"/>
                <w:sz w:val="20"/>
                <w:szCs w:val="20"/>
              </w:rPr>
              <w:t xml:space="preserve">DIGIT.B1</w:t>
            </w:r>
          </w:p>
        </w:tc>
      </w:tr>
      <w:tr>
        <w:trPr>
          <w:tblHeader w:val="off"/>
        </w:trPr>
        <w:tc>
          <w:tcPr>
            <w:tcW w:type="dxa" w:w="500"/>
            <w:tcMar>
              <w:top w:type="dxa" w:w="80"/>
              <w:left w:type="dxa" w:w="100"/>
              <w:bottom w:type="dxa" w:w="80"/>
              <w:right w:type="dxa" w:w="100"/>
            </w:tcMar>
          </w:tcPr>
          <w:p>
            <w:pPr>
              <w:spacing w:after="0"/>
            </w:pPr>
            <w:r>
              <w:rPr>
                <w:rFonts w:ascii="Arial" w:cs="Arial" w:eastAsia="Arial" w:hAnsi="Arial"/>
                <w:sz w:val="20"/>
                <w:szCs w:val="20"/>
              </w:rPr>
              <w:t xml:space="preserve">4</w:t>
            </w:r>
          </w:p>
        </w:tc>
        <w:tc>
          <w:tcPr>
            <w:tcW w:type="dxa" w:w="1900"/>
            <w:tcMar>
              <w:top w:type="dxa" w:w="80"/>
              <w:left w:type="dxa" w:w="100"/>
              <w:bottom w:type="dxa" w:w="80"/>
              <w:right w:type="dxa" w:w="100"/>
            </w:tcMar>
          </w:tcPr>
          <w:p>
            <w:pPr>
              <w:spacing w:after="0"/>
            </w:pPr>
            <w:r>
              <w:rPr>
                <w:rFonts w:ascii="Arial" w:cs="Arial" w:eastAsia="Arial" w:hAnsi="Arial"/>
                <w:sz w:val="20"/>
                <w:szCs w:val="20"/>
              </w:rPr>
              <w:t xml:space="preserve">Question 4 (GPAI model developed by the Commission)</w:t>
            </w:r>
          </w:p>
        </w:tc>
        <w:tc>
          <w:tcPr>
            <w:tcW w:type="dxa" w:w="5126"/>
            <w:tcMar>
              <w:top w:type="dxa" w:w="80"/>
              <w:left w:type="dxa" w:w="100"/>
              <w:bottom w:type="dxa" w:w="80"/>
              <w:right w:type="dxa" w:w="100"/>
            </w:tcMar>
          </w:tcPr>
          <w:p>
            <w:pPr>
              <w:spacing w:after="0"/>
            </w:pPr>
            <w:r>
              <w:rPr>
                <w:rFonts w:ascii="Arial" w:cs="Arial" w:eastAsia="Arial" w:hAnsi="Arial"/>
                <w:sz w:val="20"/>
                <w:szCs w:val="20"/>
              </w:rPr>
              <w:t xml:space="preserve">Answered Yes, following the AI Form Filling precedent, because GPT@EC is the Commission-managed model service and the sole generative model. GPT@EC exposes a third-party model under Commission management; if the question is to be read strictly as models trained by the Commission, the answer becomes No and the GPAI exemption statement no longer displays. Check with DIGIT-DATA-AI-POLICY-SERVICES if in doubt.</w:t>
            </w:r>
          </w:p>
        </w:tc>
        <w:tc>
          <w:tcPr>
            <w:tcW w:type="dxa" w:w="1500"/>
            <w:tcMar>
              <w:top w:type="dxa" w:w="80"/>
              <w:left w:type="dxa" w:w="100"/>
              <w:bottom w:type="dxa" w:w="80"/>
              <w:right w:type="dxa" w:w="100"/>
            </w:tcMar>
          </w:tcPr>
          <w:p>
            <w:pPr>
              <w:spacing w:after="0"/>
            </w:pPr>
            <w:r>
              <w:rPr>
                <w:rFonts w:ascii="Arial" w:cs="Arial" w:eastAsia="Arial" w:hAnsi="Arial"/>
                <w:sz w:val="20"/>
                <w:szCs w:val="20"/>
              </w:rPr>
              <w:t xml:space="preserve">Assessor</w:t>
            </w:r>
          </w:p>
        </w:tc>
      </w:tr>
      <w:tr>
        <w:trPr>
          <w:tblHeader w:val="off"/>
        </w:trPr>
        <w:tc>
          <w:tcPr>
            <w:tcW w:type="dxa" w:w="500"/>
            <w:tcMar>
              <w:top w:type="dxa" w:w="80"/>
              <w:left w:type="dxa" w:w="100"/>
              <w:bottom w:type="dxa" w:w="80"/>
              <w:right w:type="dxa" w:w="100"/>
            </w:tcMar>
          </w:tcPr>
          <w:p>
            <w:pPr>
              <w:spacing w:after="0"/>
            </w:pPr>
            <w:r>
              <w:rPr>
                <w:rFonts w:ascii="Arial" w:cs="Arial" w:eastAsia="Arial" w:hAnsi="Arial"/>
                <w:sz w:val="20"/>
                <w:szCs w:val="20"/>
              </w:rPr>
              <w:t xml:space="preserve">5</w:t>
            </w:r>
          </w:p>
        </w:tc>
        <w:tc>
          <w:tcPr>
            <w:tcW w:type="dxa" w:w="1900"/>
            <w:tcMar>
              <w:top w:type="dxa" w:w="80"/>
              <w:left w:type="dxa" w:w="100"/>
              <w:bottom w:type="dxa" w:w="80"/>
              <w:right w:type="dxa" w:w="100"/>
            </w:tcMar>
          </w:tcPr>
          <w:p>
            <w:pPr>
              <w:spacing w:after="0"/>
            </w:pPr>
            <w:r>
              <w:rPr>
                <w:rFonts w:ascii="Arial" w:cs="Arial" w:eastAsia="Arial" w:hAnsi="Arial"/>
                <w:sz w:val="20"/>
                <w:szCs w:val="20"/>
              </w:rPr>
              <w:t xml:space="preserve">System version described</w:t>
            </w:r>
          </w:p>
        </w:tc>
        <w:tc>
          <w:tcPr>
            <w:tcW w:type="dxa" w:w="5126"/>
            <w:tcMar>
              <w:top w:type="dxa" w:w="80"/>
              <w:left w:type="dxa" w:w="100"/>
              <w:bottom w:type="dxa" w:w="80"/>
              <w:right w:type="dxa" w:w="100"/>
            </w:tcMar>
          </w:tcPr>
          <w:p>
            <w:pPr>
              <w:spacing w:after="0"/>
            </w:pPr>
            <w:r>
              <w:rPr>
                <w:rFonts w:ascii="Arial" w:cs="Arial" w:eastAsia="Arial" w:hAnsi="Arial"/>
                <w:sz w:val="20"/>
                <w:szCs w:val="20"/>
              </w:rPr>
              <w:t xml:space="preserve">The answers describe the Phase 1 prototype as handed over (release V1.4, 14/09/2026, AOD). The source repository has since evolved for a possible follow-on pilot: authentication moved from Amazon Cognito to accounts managed inside the application, and a curated knowledge base (wiki) that the agent can read was added. Neither changes any answer below; decide whether to mention them in the description.</w:t>
            </w:r>
          </w:p>
        </w:tc>
        <w:tc>
          <w:tcPr>
            <w:tcW w:type="dxa" w:w="1500"/>
            <w:tcMar>
              <w:top w:type="dxa" w:w="80"/>
              <w:left w:type="dxa" w:w="100"/>
              <w:bottom w:type="dxa" w:w="80"/>
              <w:right w:type="dxa" w:w="100"/>
            </w:tcMar>
          </w:tcPr>
          <w:p>
            <w:pPr>
              <w:spacing w:after="0"/>
            </w:pPr>
            <w:r>
              <w:rPr>
                <w:rFonts w:ascii="Arial" w:cs="Arial" w:eastAsia="Arial" w:hAnsi="Arial"/>
                <w:sz w:val="20"/>
                <w:szCs w:val="20"/>
              </w:rPr>
              <w:t xml:space="preserve">DIGIT.R3</w:t>
            </w:r>
          </w:p>
        </w:tc>
      </w:tr>
      <w:tr>
        <w:trPr>
          <w:tblHeader w:val="off"/>
        </w:trPr>
        <w:tc>
          <w:tcPr>
            <w:tcW w:type="dxa" w:w="500"/>
            <w:tcMar>
              <w:top w:type="dxa" w:w="80"/>
              <w:left w:type="dxa" w:w="100"/>
              <w:bottom w:type="dxa" w:w="80"/>
              <w:right w:type="dxa" w:w="100"/>
            </w:tcMar>
          </w:tcPr>
          <w:p>
            <w:pPr>
              <w:spacing w:after="0"/>
            </w:pPr>
            <w:r>
              <w:rPr>
                <w:rFonts w:ascii="Arial" w:cs="Arial" w:eastAsia="Arial" w:hAnsi="Arial"/>
                <w:sz w:val="20"/>
                <w:szCs w:val="20"/>
              </w:rPr>
              <w:t xml:space="preserve">6</w:t>
            </w:r>
          </w:p>
        </w:tc>
        <w:tc>
          <w:tcPr>
            <w:tcW w:type="dxa" w:w="1900"/>
            <w:tcMar>
              <w:top w:type="dxa" w:w="80"/>
              <w:left w:type="dxa" w:w="100"/>
              <w:bottom w:type="dxa" w:w="80"/>
              <w:right w:type="dxa" w:w="100"/>
            </w:tcMar>
          </w:tcPr>
          <w:p>
            <w:pPr>
              <w:spacing w:after="0"/>
            </w:pPr>
            <w:r>
              <w:rPr>
                <w:rFonts w:ascii="Arial" w:cs="Arial" w:eastAsia="Arial" w:hAnsi="Arial"/>
                <w:sz w:val="20"/>
                <w:szCs w:val="20"/>
              </w:rPr>
              <w:t xml:space="preserve">Related AOD open points</w:t>
            </w:r>
          </w:p>
        </w:tc>
        <w:tc>
          <w:tcPr>
            <w:tcW w:type="dxa" w:w="5126"/>
            <w:tcMar>
              <w:top w:type="dxa" w:w="80"/>
              <w:left w:type="dxa" w:w="100"/>
              <w:bottom w:type="dxa" w:w="80"/>
              <w:right w:type="dxa" w:w="100"/>
            </w:tcMar>
          </w:tcPr>
          <w:p>
            <w:pPr>
              <w:spacing w:after="0"/>
            </w:pPr>
            <w:r>
              <w:rPr>
                <w:rFonts w:ascii="Arial" w:cs="Arial" w:eastAsia="Arial" w:hAnsi="Arial"/>
                <w:sz w:val="20"/>
                <w:szCs w:val="20"/>
              </w:rPr>
              <w:t xml:space="preserve">Confirmation that no DPO notification is required for the prototype (AOD §3.4.4); whether prompts and documents sent to GPT@EC and the retrieval platform are retained or used for training (AOD §3.4.5, §5.4); formal AI Act classification position (AOD §5.5). This questionnaire, once approved by the System Owner, records the classification position and closes that open point.</w:t>
            </w:r>
          </w:p>
        </w:tc>
        <w:tc>
          <w:tcPr>
            <w:tcW w:type="dxa" w:w="1500"/>
            <w:tcMar>
              <w:top w:type="dxa" w:w="80"/>
              <w:left w:type="dxa" w:w="100"/>
              <w:bottom w:type="dxa" w:w="80"/>
              <w:right w:type="dxa" w:w="100"/>
            </w:tcMar>
          </w:tcPr>
          <w:p>
            <w:pPr>
              <w:spacing w:after="0"/>
            </w:pPr>
            <w:r>
              <w:rPr>
                <w:rFonts w:ascii="Arial" w:cs="Arial" w:eastAsia="Arial" w:hAnsi="Arial"/>
                <w:sz w:val="20"/>
                <w:szCs w:val="20"/>
              </w:rPr>
              <w:t xml:space="preserve">DIGIT.R3 / DIGIT.B1</w:t>
            </w:r>
          </w:p>
        </w:tc>
      </w:tr>
    </w:tbl>
    <w:p>
      <w:pPr>
        <w:pStyle w:val="Heading1"/>
        <w:spacing w:after="160" w:before="360"/>
      </w:pPr>
      <w:r>
        <w:rPr>
          <w:rFonts w:ascii="Arial" w:cs="Arial" w:eastAsia="Arial" w:hAnsi="Arial"/>
          <w:b/>
          <w:bCs/>
          <w:color w:val="1F3B73"/>
          <w:sz w:val="30"/>
          <w:szCs w:val="30"/>
        </w:rPr>
        <w:t xml:space="preserve">B. Objective, instructions and applicability</w:t>
      </w:r>
    </w:p>
    <w:p>
      <w:pPr>
        <w:spacing w:after="120"/>
      </w:pPr>
      <w:r>
        <w:rPr>
          <w:rFonts w:ascii="Arial" w:cs="Arial" w:eastAsia="Arial" w:hAnsi="Arial"/>
          <w:sz w:val="20"/>
          <w:szCs w:val="20"/>
        </w:rPr>
        <w:t xml:space="preserve">The questionnaire determines the risk level of an AI system developed, deployed or operated by the Commission according to the AI Act (Regulation (EU) 2024/1689). It is filled in by the System Owner. Once the risk level is determined, the AI solutions management guidelines on the AI@EC portal give the applicable requirements and obligations. The risk level, and whether a general-purpose AI model with or without systemic risk is involved, are encoded in the AI Register section of GovIS2. Support: DIGIT-DATA-AI-POLICY-SERVICES@ec.europa.eu.</w:t>
      </w:r>
    </w:p>
    <w:p>
      <w:pPr>
        <w:spacing w:after="120"/>
      </w:pPr>
      <w:r>
        <w:rPr>
          <w:rFonts w:ascii="Arial" w:cs="Arial" w:eastAsia="Arial" w:hAnsi="Arial"/>
          <w:b/>
          <w:bCs/>
          <w:sz w:val="20"/>
          <w:szCs w:val="20"/>
        </w:rPr>
        <w:t xml:space="preserve">AI system definition (Article 3(1) AI Act): </w:t>
      </w:r>
      <w:r>
        <w:rPr>
          <w:rFonts w:ascii="Arial" w:cs="Arial" w:eastAsia="Arial" w:hAnsi="Arial"/>
          <w:sz w:val="20"/>
          <w:szCs w:val="20"/>
        </w:rPr>
        <w:t xml:space="preserve">a machine-based system designed to operate with varying levels of autonomy, that may exhibit adaptiveness after deployment, and that, for explicit or implicit objectives, infers from the input it receives how to generate outputs such as predictions, content, recommendations or decisions that can influence physical or virtual environments.</w:t>
      </w:r>
    </w:p>
    <w:p>
      <w:pPr>
        <w:spacing w:after="120"/>
      </w:pPr>
      <w:r>
        <w:rPr>
          <w:rFonts w:ascii="Arial" w:cs="Arial" w:eastAsia="Arial" w:hAnsi="Arial"/>
          <w:i/>
          <w:iCs/>
          <w:color w:val="555555"/>
          <w:sz w:val="18"/>
          <w:szCs w:val="18"/>
        </w:rPr>
        <w:t xml:space="preserve">Since the provisions of the AI Act cover the entire lifecycle of an AI system, exploratory activities under the digital innovation framework are also to be encoded. ALINA Phase 1 is such an exploratory activity.</w:t>
      </w:r>
    </w:p>
    <w:p>
      <w:pPr>
        <w:pStyle w:val="Heading1"/>
        <w:spacing w:after="160" w:before="360"/>
      </w:pPr>
      <w:r>
        <w:rPr>
          <w:rFonts w:ascii="Arial" w:cs="Arial" w:eastAsia="Arial" w:hAnsi="Arial"/>
          <w:b/>
          <w:bCs/>
          <w:color w:val="1F3B73"/>
          <w:sz w:val="30"/>
          <w:szCs w:val="30"/>
        </w:rPr>
        <w:t xml:space="preserve">C. AI system information</w:t>
      </w:r>
    </w:p>
    <w:p>
      <w:pPr>
        <w:pStyle w:val="Heading2"/>
        <w:spacing w:after="120" w:before="240"/>
      </w:pPr>
      <w:r>
        <w:rPr>
          <w:rFonts w:ascii="Arial" w:cs="Arial" w:eastAsia="Arial" w:hAnsi="Arial"/>
          <w:b/>
          <w:bCs/>
          <w:color w:val="1F3B73"/>
          <w:sz w:val="24"/>
          <w:szCs w:val="24"/>
        </w:rPr>
        <w:t xml:space="preserve">AI Solution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Information System item</w:t>
            </w:r>
          </w:p>
        </w:tc>
        <w:tc>
          <w:tcPr>
            <w:tcW w:type="dxa" w:w="5826"/>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Value</w:t>
            </w:r>
          </w:p>
        </w:tc>
      </w:tr>
      <w:tr>
        <w:trPr>
          <w:tblHeader w:val="off"/>
        </w:trPr>
        <w:tc>
          <w:tcPr>
            <w:tcW w:type="dxa" w:w="3200"/>
            <w:tcMar>
              <w:top w:type="dxa" w:w="80"/>
              <w:left w:type="dxa" w:w="100"/>
              <w:bottom w:type="dxa" w:w="80"/>
              <w:right w:type="dxa" w:w="100"/>
            </w:tcMar>
          </w:tcPr>
          <w:p>
            <w:pPr>
              <w:spacing w:after="0"/>
            </w:pPr>
            <w:r>
              <w:rPr>
                <w:rFonts w:ascii="Arial" w:cs="Arial" w:eastAsia="Arial" w:hAnsi="Arial"/>
                <w:sz w:val="20"/>
                <w:szCs w:val="20"/>
              </w:rPr>
              <w:t xml:space="preserve">Name (as in GovIS2)</w:t>
            </w:r>
          </w:p>
        </w:tc>
        <w:tc>
          <w:tcPr>
            <w:tcW w:type="dxa" w:w="5826"/>
            <w:tcMar>
              <w:top w:type="dxa" w:w="80"/>
              <w:left w:type="dxa" w:w="100"/>
              <w:bottom w:type="dxa" w:w="80"/>
              <w:right w:type="dxa" w:w="100"/>
            </w:tcMar>
          </w:tcPr>
          <w:p>
            <w:pPr>
              <w:spacing w:after="0"/>
            </w:pPr>
            <w:r>
              <w:rPr>
                <w:rFonts w:ascii="Arial" w:cs="Arial" w:eastAsia="Arial" w:hAnsi="Arial"/>
                <w:sz w:val="20"/>
                <w:szCs w:val="20"/>
              </w:rPr>
              <w:t xml:space="preserve">ALINA — AI Legal Intelligence Assistant (to confirm, Section A item 1)</w:t>
            </w:r>
          </w:p>
        </w:tc>
      </w:tr>
      <w:tr>
        <w:trPr>
          <w:tblHeader w:val="off"/>
        </w:trPr>
        <w:tc>
          <w:tcPr>
            <w:tcW w:type="dxa" w:w="3200"/>
            <w:tcMar>
              <w:top w:type="dxa" w:w="80"/>
              <w:left w:type="dxa" w:w="100"/>
              <w:bottom w:type="dxa" w:w="80"/>
              <w:right w:type="dxa" w:w="100"/>
            </w:tcMar>
          </w:tcPr>
          <w:p>
            <w:pPr>
              <w:spacing w:after="0"/>
            </w:pPr>
            <w:r>
              <w:rPr>
                <w:rFonts w:ascii="Arial" w:cs="Arial" w:eastAsia="Arial" w:hAnsi="Arial"/>
                <w:sz w:val="20"/>
                <w:szCs w:val="20"/>
              </w:rPr>
              <w:t xml:space="preserve">GovIS2 sequence number</w:t>
            </w:r>
          </w:p>
        </w:tc>
        <w:tc>
          <w:tcPr>
            <w:tcW w:type="dxa" w:w="5826"/>
            <w:tcMar>
              <w:top w:type="dxa" w:w="80"/>
              <w:left w:type="dxa" w:w="100"/>
              <w:bottom w:type="dxa" w:w="80"/>
              <w:right w:type="dxa" w:w="100"/>
            </w:tcMar>
          </w:tcPr>
          <w:p>
            <w:pPr>
              <w:spacing w:after="0"/>
            </w:pPr>
            <w:r>
              <w:rPr>
                <w:rFonts w:ascii="Arial" w:cs="Arial" w:eastAsia="Arial" w:hAnsi="Arial"/>
                <w:sz w:val="20"/>
                <w:szCs w:val="20"/>
              </w:rPr>
              <w:t xml:space="preserve">INV-___ (to confirm, Section A item 2)</w:t>
            </w:r>
          </w:p>
        </w:tc>
      </w:tr>
      <w:tr>
        <w:trPr>
          <w:tblHeader w:val="off"/>
        </w:trPr>
        <w:tc>
          <w:tcPr>
            <w:tcW w:type="dxa" w:w="3200"/>
            <w:tcMar>
              <w:top w:type="dxa" w:w="80"/>
              <w:left w:type="dxa" w:w="100"/>
              <w:bottom w:type="dxa" w:w="80"/>
              <w:right w:type="dxa" w:w="100"/>
            </w:tcMar>
          </w:tcPr>
          <w:p>
            <w:pPr>
              <w:spacing w:after="0"/>
            </w:pPr>
            <w:r>
              <w:rPr>
                <w:rFonts w:ascii="Arial" w:cs="Arial" w:eastAsia="Arial" w:hAnsi="Arial"/>
                <w:sz w:val="20"/>
                <w:szCs w:val="20"/>
              </w:rPr>
              <w:t xml:space="preserve">AI System Owner</w:t>
            </w:r>
          </w:p>
        </w:tc>
        <w:tc>
          <w:tcPr>
            <w:tcW w:type="dxa" w:w="5826"/>
            <w:tcMar>
              <w:top w:type="dxa" w:w="80"/>
              <w:left w:type="dxa" w:w="100"/>
              <w:bottom w:type="dxa" w:w="80"/>
              <w:right w:type="dxa" w:w="100"/>
            </w:tcMar>
          </w:tcPr>
          <w:p>
            <w:pPr>
              <w:spacing w:after="0"/>
            </w:pPr>
            <w:r>
              <w:rPr>
                <w:rFonts w:ascii="Arial" w:cs="Arial" w:eastAsia="Arial" w:hAnsi="Arial"/>
                <w:sz w:val="20"/>
                <w:szCs w:val="20"/>
              </w:rPr>
              <w:t xml:space="preserve">DG DIGIT Unit B.1 — name to confirm (Section A item 3). Business and data owner: DG DIGIT Unit R.3 (Project Owner: Victor BOULANGER)</w:t>
            </w:r>
          </w:p>
        </w:tc>
      </w:tr>
      <w:tr>
        <w:trPr>
          <w:tblHeader w:val="off"/>
        </w:trPr>
        <w:tc>
          <w:tcPr>
            <w:tcW w:type="dxa" w:w="3200"/>
            <w:tcMar>
              <w:top w:type="dxa" w:w="80"/>
              <w:left w:type="dxa" w:w="100"/>
              <w:bottom w:type="dxa" w:w="80"/>
              <w:right w:type="dxa" w:w="100"/>
            </w:tcMar>
          </w:tcPr>
          <w:p>
            <w:pPr>
              <w:spacing w:after="0"/>
            </w:pPr>
            <w:r>
              <w:rPr>
                <w:rFonts w:ascii="Arial" w:cs="Arial" w:eastAsia="Arial" w:hAnsi="Arial"/>
                <w:sz w:val="20"/>
                <w:szCs w:val="20"/>
              </w:rPr>
              <w:t xml:space="preserve">Assessment performed by (name/role)</w:t>
            </w:r>
          </w:p>
        </w:tc>
        <w:tc>
          <w:tcPr>
            <w:tcW w:type="dxa" w:w="5826"/>
            <w:tcMar>
              <w:top w:type="dxa" w:w="80"/>
              <w:left w:type="dxa" w:w="100"/>
              <w:bottom w:type="dxa" w:w="80"/>
              <w:right w:type="dxa" w:w="100"/>
            </w:tcMar>
          </w:tcPr>
          <w:p>
            <w:pPr>
              <w:spacing w:after="0"/>
            </w:pPr>
            <w:r>
              <w:rPr>
                <w:rFonts w:ascii="Arial" w:cs="Arial" w:eastAsia="Arial" w:hAnsi="Arial"/>
                <w:sz w:val="20"/>
                <w:szCs w:val="20"/>
              </w:rPr>
              <w:t xml:space="preserve">Emmanouil MARAGKOUDAKIS (role to confirm)</w:t>
            </w:r>
          </w:p>
        </w:tc>
      </w:tr>
    </w:tbl>
    <w:p>
      <w:pPr>
        <w:pStyle w:val="Heading2"/>
        <w:spacing w:after="120" w:before="240"/>
      </w:pPr>
      <w:r>
        <w:rPr>
          <w:rFonts w:ascii="Arial" w:cs="Arial" w:eastAsia="Arial" w:hAnsi="Arial"/>
          <w:b/>
          <w:bCs/>
          <w:color w:val="1F3B73"/>
          <w:sz w:val="24"/>
          <w:szCs w:val="24"/>
        </w:rPr>
        <w:t xml:space="preserve">Brief AI System description</w:t>
      </w:r>
    </w:p>
    <w:p>
      <w:pPr>
        <w:spacing w:after="120"/>
      </w:pPr>
      <w:r>
        <w:rPr>
          <w:rFonts w:ascii="Arial" w:cs="Arial" w:eastAsia="Arial" w:hAnsi="Arial"/>
          <w:i/>
          <w:iCs/>
          <w:color w:val="555555"/>
          <w:sz w:val="18"/>
          <w:szCs w:val="18"/>
        </w:rPr>
        <w:t xml:space="preserve">No SNC information is included in this description.</w:t>
      </w:r>
    </w:p>
    <w:p>
      <w:pPr>
        <w:spacing w:after="120"/>
      </w:pPr>
      <w:r>
        <w:rPr>
          <w:rFonts w:ascii="Arial" w:cs="Arial" w:eastAsia="Arial" w:hAnsi="Arial"/>
          <w:sz w:val="20"/>
          <w:szCs w:val="20"/>
        </w:rPr>
        <w:t xml:space="preserve">ALINA (AI Legal Intelligence Assistant) is a prototype, source-grounded AI assistant for legal and procurement intelligence developed for DG DIGIT Unit R.3, the procurement and legal compliance function for the Commission's ICT procurement. It lets procurement officers, contract managers and legal officers ask legal and procurement questions in natural language and receive answers grounded in, and cited to, a curated corpus: the applicable EU legal framework (Treaties, Financial Regulation, Directives, case-law), Commission procurement guidance (BUDG Vademecum, circulars), DIGIT internal guidance and the R3 wiki, contract templates, and the non-sensitive documentation of individual procurement procedures.</w:t>
      </w:r>
    </w:p>
    <w:p>
      <w:pPr>
        <w:spacing w:after="120"/>
      </w:pPr>
      <w:r>
        <w:rPr>
          <w:rFonts w:ascii="Arial" w:cs="Arial" w:eastAsia="Arial" w:hAnsi="Arial"/>
          <w:sz w:val="20"/>
          <w:szCs w:val="20"/>
        </w:rPr>
        <w:t xml:space="preserve">Users can question the global corpus or a specific procurement procedure (project documents combined with the global corpus), query a named contract or document, attach a document to a conversation for immediate questioning, browse the corpus by legal authority level, and obtain support in drafting reasoned written answers to procurement questions, including replies to questions received from economic operators during a procedure. Every answer carries citations to retrievable passages that the user can open and verify in place, and the assistant refuses where the corpus does not support an answer.</w:t>
      </w:r>
    </w:p>
    <w:p>
      <w:pPr>
        <w:spacing w:after="120"/>
      </w:pPr>
      <w:r>
        <w:rPr>
          <w:rFonts w:ascii="Arial" w:cs="Arial" w:eastAsia="Arial" w:hAnsi="Arial"/>
          <w:sz w:val="20"/>
          <w:szCs w:val="20"/>
        </w:rPr>
        <w:t xml:space="preserve">ALINA is built on the Commission's AI platform: retrieval, indexing and agentic orchestration run on AI@EC (deepset Haystack Enterprise, DIGIT.B1 tenant), and answer generation uses GPT@EC (GPT-5.1). Open-weight embedding and reranking models are consumed as pre-trained services; no model is trained or fine-tuned. The only bespoke component is a web application that serves the interface, holds the platform credentials server-side, enforces project-scoped access control and stores users, projects and conversation history in a PostgreSQL database.</w:t>
      </w:r>
    </w:p>
    <w:p>
      <w:pPr>
        <w:spacing w:after="120"/>
      </w:pPr>
      <w:r>
        <w:rPr>
          <w:rFonts w:ascii="Arial" w:cs="Arial" w:eastAsia="Arial" w:hAnsi="Arial"/>
          <w:sz w:val="20"/>
          <w:szCs w:val="20"/>
        </w:rPr>
        <w:t xml:space="preserve">ALINA is a decision-support tool with a human always in the loop. Its outputs are not legal advice, take no decision, produce no binding output, perform no evaluation or scoring of persons or economic operators, and are not used to determine the outcome of any procurement procedure; validation by a qualified officer is required in all cases. Phase 1 (nine weeks, 16 identified pilot users, handed over on 14/09/2026 as release V1.4) is intended exclusively for technical validation and experimentation, is not production-ready and processes non-sensitive documentation only. Any move to production would require migration to Commission-controlled hosting with EU Login and the formalities recorded in the AOD (classification decision, DPO notification and record of processing, ITSRM assessment, platform retention terms, audit logging).</w:t>
      </w:r>
    </w:p>
    <w:p>
      <w:pPr>
        <w:pStyle w:val="Heading1"/>
        <w:spacing w:after="160" w:before="360"/>
      </w:pPr>
      <w:r>
        <w:rPr>
          <w:rFonts w:ascii="Arial" w:cs="Arial" w:eastAsia="Arial" w:hAnsi="Arial"/>
          <w:b/>
          <w:bCs/>
          <w:color w:val="1F3B73"/>
          <w:sz w:val="30"/>
          <w:szCs w:val="30"/>
        </w:rPr>
        <w:t xml:space="preserve">D. Scope and applicability</w:t>
      </w:r>
    </w:p>
    <w:p>
      <w:pPr>
        <w:spacing w:after="120"/>
      </w:pPr>
      <w:r>
        <w:rPr>
          <w:rFonts w:ascii="Arial" w:cs="Arial" w:eastAsia="Arial" w:hAnsi="Arial"/>
          <w:sz w:val="20"/>
          <w:szCs w:val="20"/>
        </w:rPr>
        <w:t xml:space="preserve">The following questions determine the nature of the system, the applicability of the AI Act and the relevance of the Commission guidelines on AI solutions management.</w:t>
      </w:r>
    </w:p>
    <w:p>
      <w:pPr>
        <w:keepNext/>
        <w:spacing w:after="60" w:before="200"/>
      </w:pPr>
      <w:r>
        <w:rPr>
          <w:rFonts w:ascii="Arial" w:cs="Arial" w:eastAsia="Arial" w:hAnsi="Arial"/>
          <w:b/>
          <w:bCs/>
          <w:sz w:val="20"/>
          <w:szCs w:val="20"/>
        </w:rPr>
        <w:t xml:space="preserve">1. </w:t>
      </w:r>
      <w:r>
        <w:rPr>
          <w:rFonts w:ascii="Arial" w:cs="Arial" w:eastAsia="Arial" w:hAnsi="Arial"/>
          <w:b/>
          <w:bCs/>
          <w:sz w:val="20"/>
          <w:szCs w:val="20"/>
        </w:rPr>
        <w:t xml:space="preserve">Is your system an AI system, i.e. is it able to obtain the outputs from inputs or data without specific programming (capability to infer with varying levels of autonomy)?</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Yes</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ALINA generates its outputs by inference, not by programmed rules. A large language model (GPT-5.1 via GPT@EC) infers the answer from the user's question, the conversation history and the passages retrieved from the corpus; a dense embedding model (intfloat/e5-base-v2) and a cross-encoder reranker (Qwen3-Reranker-0.6B) infer the relevance of passages to the question; and an orchestration agent autonomously decides, within a bound of ten steps, which retrieval tools to call and when it has enough material to answer (AOD §3.17.3). The outputs are generated text content and recommendations to a human user.</w:t>
      </w:r>
    </w:p>
    <w:p>
      <w:pPr>
        <w:spacing w:after="80"/>
        <w:ind w:left="360"/>
      </w:pPr>
      <w:r>
        <w:rPr>
          <w:rFonts w:ascii="Arial" w:cs="Arial" w:eastAsia="Arial" w:hAnsi="Arial"/>
          <w:sz w:val="20"/>
          <w:szCs w:val="20"/>
        </w:rPr>
        <w:t xml:space="preserve">The system therefore meets the Article 3(1) definition and falls under the AI Act and the Guidelines for the management of AI Digital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This is an AI Digital AI system that needs to comply with the AI Act and the Guidelines for the management of AI Digital Solutions.</w:t>
            </w:r>
          </w:p>
        </w:tc>
      </w:tr>
    </w:tbl>
    <w:p>
      <w:pPr>
        <w:keepNext/>
        <w:spacing w:after="60" w:before="200"/>
      </w:pPr>
      <w:r>
        <w:rPr>
          <w:rFonts w:ascii="Arial" w:cs="Arial" w:eastAsia="Arial" w:hAnsi="Arial"/>
          <w:b/>
          <w:bCs/>
          <w:sz w:val="20"/>
          <w:szCs w:val="20"/>
        </w:rPr>
        <w:t xml:space="preserve">2. </w:t>
      </w:r>
      <w:r>
        <w:rPr>
          <w:rFonts w:ascii="Arial" w:cs="Arial" w:eastAsia="Arial" w:hAnsi="Arial"/>
          <w:b/>
          <w:bCs/>
          <w:sz w:val="20"/>
          <w:szCs w:val="20"/>
        </w:rPr>
        <w:t xml:space="preserve">Is the AI system or AI model, including their output, specifically developed and put into service for the sole purpose of scientific research and development?</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ALINA is a prototype intended for technical validation and experimentation (AOD §1.2.1), but it was developed to support an operational business function, DIGIT.R3's procurement and legal compliance work, and was validated by business users on real procurement questions (AOD §2.5). It applies existing techniques (retrieval-augmented generation, agentic orchestration) to a defined business problem within a fixed timeframe; it is not scientific research and development. It is an exploratory activity under the digital innovation framework and is encoded as such.</w:t>
      </w:r>
    </w:p>
    <w:p>
      <w:pPr>
        <w:keepNext/>
        <w:spacing w:after="60" w:before="200"/>
      </w:pPr>
      <w:r>
        <w:rPr>
          <w:rFonts w:ascii="Arial" w:cs="Arial" w:eastAsia="Arial" w:hAnsi="Arial"/>
          <w:b/>
          <w:bCs/>
          <w:sz w:val="20"/>
          <w:szCs w:val="20"/>
        </w:rPr>
        <w:t xml:space="preserve">3. </w:t>
      </w:r>
      <w:r>
        <w:rPr>
          <w:rFonts w:ascii="Arial" w:cs="Arial" w:eastAsia="Arial" w:hAnsi="Arial"/>
          <w:b/>
          <w:bCs/>
          <w:sz w:val="20"/>
          <w:szCs w:val="20"/>
        </w:rPr>
        <w:t xml:space="preserve">Is the AI system exclusively for military, defence, or national security purposes?</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The system supports public procurement and contract management for the Commission's ICT procurement (AOD §2.1). It has no military, defence or national security purpose.</w:t>
      </w:r>
    </w:p>
    <w:p>
      <w:pPr>
        <w:keepNext/>
        <w:spacing w:after="60" w:before="200"/>
      </w:pPr>
      <w:r>
        <w:rPr>
          <w:rFonts w:ascii="Arial" w:cs="Arial" w:eastAsia="Arial" w:hAnsi="Arial"/>
          <w:b/>
          <w:bCs/>
          <w:sz w:val="20"/>
          <w:szCs w:val="20"/>
        </w:rPr>
        <w:t xml:space="preserve">4. </w:t>
      </w:r>
      <w:r>
        <w:rPr>
          <w:rFonts w:ascii="Arial" w:cs="Arial" w:eastAsia="Arial" w:hAnsi="Arial"/>
          <w:b/>
          <w:bCs/>
          <w:sz w:val="20"/>
          <w:szCs w:val="20"/>
        </w:rPr>
        <w:t xml:space="preserve">Does the AI system make use of a GPAI model developed by the Commission?</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Yes</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The sole generative model is GPT@EC (GPT-5.1), the Commission's managed large language model service, invoked from within the AI@EC platform (AOD §3.17.3, §3.18 D2). No commercial model is contracted directly and no prompt traffic leaves Commission-provisioned services. The embedding and reranking models are open-weight, task-specific models hosted within AI@EC and are not general-purpose AI models.</w:t>
      </w:r>
    </w:p>
    <w:p>
      <w:pPr>
        <w:spacing w:after="80"/>
        <w:ind w:left="360"/>
      </w:pPr>
      <w:r>
        <w:rPr>
          <w:rFonts w:ascii="Arial" w:cs="Arial" w:eastAsia="Arial" w:hAnsi="Arial"/>
          <w:sz w:val="20"/>
          <w:szCs w:val="20"/>
        </w:rPr>
        <w:t xml:space="preserve">The answer follows the position taken in the AI Form Filling registry, which also relied on GPT@EC. See Section A item 4 for the reading of "developed by the Commission".</w:t>
      </w:r>
    </w:p>
    <w:p>
      <w:pPr>
        <w:keepNext/>
        <w:spacing w:after="60" w:before="200"/>
      </w:pPr>
      <w:r>
        <w:rPr>
          <w:rFonts w:ascii="Arial" w:cs="Arial" w:eastAsia="Arial" w:hAnsi="Arial"/>
          <w:b/>
          <w:bCs/>
          <w:sz w:val="20"/>
          <w:szCs w:val="20"/>
        </w:rPr>
        <w:t xml:space="preserve">5. </w:t>
      </w:r>
      <w:r>
        <w:rPr>
          <w:rFonts w:ascii="Arial" w:cs="Arial" w:eastAsia="Arial" w:hAnsi="Arial"/>
          <w:b/>
          <w:bCs/>
          <w:sz w:val="20"/>
          <w:szCs w:val="20"/>
        </w:rPr>
        <w:t xml:space="preserve">Does the AI system provide services to users outside of the Commission?</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All users are Commission staff: the pilot population of 16 identified users comprised DIGIT.R3 business users and DIGIT.B1 staff, plus the contractor's team for development and support (AOD §1.2.5). Access requires an individual account created by an administrator and there is no self-registration. Economic operators and other external parties never interact with ALINA: where an officer uses ALINA to prepare a reply to a question received during a procedure, the officer validates the reply before it is sent, and the reply is issued by the Commission service, not by the system (AOD §1.2.3,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The system is exempted from compliance with the GPAI obligations of the AI Act. However, the system needs to comply with the Guidelines for the Management of AI Digital Solutions. This exemption will be revoked if the system provides services to external users.</w:t>
            </w:r>
          </w:p>
        </w:tc>
      </w:tr>
    </w:tbl>
    <w:p>
      <w:pPr>
        <w:pStyle w:val="Heading1"/>
        <w:spacing w:after="160" w:before="360"/>
      </w:pPr>
      <w:r>
        <w:rPr>
          <w:rFonts w:ascii="Arial" w:cs="Arial" w:eastAsia="Arial" w:hAnsi="Arial"/>
          <w:b/>
          <w:bCs/>
          <w:color w:val="1F3B73"/>
          <w:sz w:val="30"/>
          <w:szCs w:val="30"/>
        </w:rPr>
        <w:t xml:space="preserve">E. Prohibited practices</w:t>
      </w:r>
    </w:p>
    <w:p>
      <w:pPr>
        <w:spacing w:after="120"/>
      </w:pPr>
      <w:r>
        <w:rPr>
          <w:rFonts w:ascii="Arial" w:cs="Arial" w:eastAsia="Arial" w:hAnsi="Arial"/>
          <w:sz w:val="20"/>
          <w:szCs w:val="20"/>
        </w:rPr>
        <w:t xml:space="preserve">The Commission cannot use any AI system considered as prohibited. Each Article 5 practice is checked below against what ALINA does: it retrieves and summarises source material and presents it, with citations, to professional users who asked for it. It has no personalisation, nudging, profiling, scoring, emotion-recognition or biometric function of any kind, processes no biometric data, and does not evaluate or classify natural persons. Personal data appearing incidentally in procurement documentation (names and contact details of evaluators, tenderer representatives, signatories) is indexed as part of the documents but is not used to assess, categorise or target anyone (AOD §3.4.3).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1100"/>
        <w:gridCol w:w="3626"/>
      </w:tblGrid>
      <w:tr>
        <w:trPr>
          <w:tblHeader/>
        </w:trPr>
        <w:tc>
          <w:tcPr>
            <w:tcW w:type="dxa" w:w="4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w:t>
            </w:r>
          </w:p>
        </w:tc>
        <w:tc>
          <w:tcPr>
            <w:tcW w:type="dxa" w:w="39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Question</w:t>
            </w:r>
          </w:p>
        </w:tc>
        <w:tc>
          <w:tcPr>
            <w:tcW w:type="dxa" w:w="11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Answer</w:t>
            </w:r>
          </w:p>
        </w:tc>
        <w:tc>
          <w:tcPr>
            <w:tcW w:type="dxa" w:w="3626"/>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Justification</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1</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Does the AI system deploy subliminal techniques beyond a person's consciousness or purposefully manipulative or deceptive techniques, with the objective or effect of materially distorting the behaviour of a person or group of persons, causing or likely to cause significant harm?</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ALINA answers explicit questions from professional users with cited, verifiable source passages. It contains no mechanism to influence users below their awareness or to distort their decisions; every statement can be checked against its source, and the user remains the decision-maker (AOD §5.1 Openness and transparency).</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2</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Does the AI system exploit vulnerabilities of a natural person or a specific group due to their age, disability or a specific social or economic situation, with the objective or effect of materially distorting their behaviour in a manner that causes or is likely to cause significant harm?</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Users are Commission officers acting in a professional capacity. The system has no knowledge of, and no function relating to, any personal characteristic or situation of its users or of third parties.</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3</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Does the AI system perform evaluation or classification of natural persons or groups over a period of time based on their social behaviour or known, inferred or predicted personal or personality characteristics, with a social score leading to detrimental or unfavourable treatment?</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Neither of the above</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ALINA performs no evaluation or classification of natural persons or groups and produces no score of any kind about people (AOD §5.5).</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4</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Is the AI system used to assess or predict the likelihood of a natural person committing a criminal offence, based solely on profiling or on assessing personality traits and characteristics?</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No such function exists. The system's domain is procurement law and contract documentation.</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5</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Is the AI system used to create or expand facial recognition databases through untargeted scraping of facial images from the internet or CCTV footage?</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The system processes text documents only (PDF, DOCX, DOC, ODT, HTML, Markdown, TXT, PPTX, XLSX, CSV; AOD §3.17.3). It processes no images of persons and no biometric data.</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6</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Is the AI system used to infer emotions of a natural person in the areas of workplace and education institutions, except for medical or safety reasons?</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No emotion recognition function exists.</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7</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Does the AI system perform or use biometric categorisation systems that categorise natural persons based on their biometric data to deduce or infer race, political opinions, trade union membership, religious or philosophical beliefs, sex life or sexual orientation?</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No biometric data is processed.</w:t>
            </w:r>
          </w:p>
        </w:tc>
      </w:tr>
      <w:tr>
        <w:trPr>
          <w:tblHeader w:val="off"/>
        </w:trPr>
        <w:tc>
          <w:tcPr>
            <w:tcW w:type="dxa" w:w="400"/>
            <w:tcMar>
              <w:top w:type="dxa" w:w="80"/>
              <w:left w:type="dxa" w:w="100"/>
              <w:bottom w:type="dxa" w:w="80"/>
              <w:right w:type="dxa" w:w="100"/>
            </w:tcMar>
          </w:tcPr>
          <w:p>
            <w:pPr>
              <w:spacing w:after="0"/>
            </w:pPr>
            <w:r>
              <w:rPr>
                <w:rFonts w:ascii="Arial" w:cs="Arial" w:eastAsia="Arial" w:hAnsi="Arial"/>
                <w:sz w:val="20"/>
                <w:szCs w:val="20"/>
              </w:rPr>
              <w:t xml:space="preserve">8</w:t>
            </w:r>
          </w:p>
        </w:tc>
        <w:tc>
          <w:tcPr>
            <w:tcW w:type="dxa" w:w="3900"/>
            <w:tcMar>
              <w:top w:type="dxa" w:w="80"/>
              <w:left w:type="dxa" w:w="100"/>
              <w:bottom w:type="dxa" w:w="80"/>
              <w:right w:type="dxa" w:w="100"/>
            </w:tcMar>
          </w:tcPr>
          <w:p>
            <w:pPr>
              <w:spacing w:after="0"/>
            </w:pPr>
            <w:r>
              <w:rPr>
                <w:rFonts w:ascii="Arial" w:cs="Arial" w:eastAsia="Arial" w:hAnsi="Arial"/>
                <w:sz w:val="20"/>
                <w:szCs w:val="20"/>
              </w:rPr>
              <w:t xml:space="preserve">Does the AI system perform real-time remote biometric identification in publicly accessible spaces for the purpose of law enforcement?</w:t>
            </w:r>
          </w:p>
        </w:tc>
        <w:tc>
          <w:tcPr>
            <w:tcW w:type="dxa" w:w="1100"/>
            <w:tcMar>
              <w:top w:type="dxa" w:w="80"/>
              <w:left w:type="dxa" w:w="100"/>
              <w:bottom w:type="dxa" w:w="80"/>
              <w:right w:type="dxa" w:w="100"/>
            </w:tcMar>
          </w:tcPr>
          <w:p>
            <w:pPr>
              <w:spacing w:after="0"/>
            </w:pPr>
            <w:r>
              <w:rPr>
                <w:rFonts w:ascii="Arial" w:cs="Arial" w:eastAsia="Arial" w:hAnsi="Arial"/>
                <w:sz w:val="20"/>
                <w:szCs w:val="20"/>
              </w:rPr>
              <w:t xml:space="preserve">No</w:t>
            </w:r>
          </w:p>
        </w:tc>
        <w:tc>
          <w:tcPr>
            <w:tcW w:type="dxa" w:w="3626"/>
            <w:tcMar>
              <w:top w:type="dxa" w:w="80"/>
              <w:left w:type="dxa" w:w="100"/>
              <w:bottom w:type="dxa" w:w="80"/>
              <w:right w:type="dxa" w:w="100"/>
            </w:tcMar>
          </w:tcPr>
          <w:p>
            <w:pPr>
              <w:spacing w:after="0"/>
            </w:pPr>
            <w:r>
              <w:rPr>
                <w:rFonts w:ascii="Arial" w:cs="Arial" w:eastAsia="Arial" w:hAnsi="Arial"/>
                <w:sz w:val="20"/>
                <w:szCs w:val="20"/>
              </w:rPr>
              <w:t xml:space="preserve">Not applicable: no biometric identification, no law enforcement purpose.</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The use-case is ALLOWED. The system needs to comply with AI solutions management guidelines.</w:t>
            </w:r>
          </w:p>
        </w:tc>
      </w:tr>
    </w:tbl>
    <w:p>
      <w:pPr>
        <w:pStyle w:val="Heading1"/>
        <w:spacing w:after="160" w:before="360"/>
      </w:pPr>
      <w:r>
        <w:rPr>
          <w:rFonts w:ascii="Arial" w:cs="Arial" w:eastAsia="Arial" w:hAnsi="Arial"/>
          <w:b/>
          <w:bCs/>
          <w:color w:val="1F3B73"/>
          <w:sz w:val="30"/>
          <w:szCs w:val="30"/>
        </w:rPr>
        <w:t xml:space="preserve">F. High-risk systems</w:t>
      </w:r>
    </w:p>
    <w:p>
      <w:pPr>
        <w:spacing w:after="120"/>
      </w:pPr>
      <w:r>
        <w:rPr>
          <w:rFonts w:ascii="Arial" w:cs="Arial" w:eastAsia="Arial" w:hAnsi="Arial"/>
          <w:sz w:val="20"/>
          <w:szCs w:val="20"/>
        </w:rPr>
        <w:t xml:space="preserve">The Commission can make use of high-risk systems if they comply with the mandatory requirements and obligations of the AI Act. The two high-risk routes are checked below.</w:t>
      </w:r>
    </w:p>
    <w:p>
      <w:pPr>
        <w:keepNext/>
        <w:spacing w:after="60" w:before="200"/>
      </w:pPr>
      <w:r>
        <w:rPr>
          <w:rFonts w:ascii="Arial" w:cs="Arial" w:eastAsia="Arial" w:hAnsi="Arial"/>
          <w:b/>
          <w:bCs/>
          <w:sz w:val="20"/>
          <w:szCs w:val="20"/>
        </w:rPr>
        <w:t xml:space="preserve">1. </w:t>
      </w:r>
      <w:r>
        <w:rPr>
          <w:rFonts w:ascii="Arial" w:cs="Arial" w:eastAsia="Arial" w:hAnsi="Arial"/>
          <w:b/>
          <w:bCs/>
          <w:sz w:val="20"/>
          <w:szCs w:val="20"/>
        </w:rPr>
        <w:t xml:space="preserve">Is the AI system intended to be used as a safety component of a product, or is the AI system itself a product, that belongs to one of the categories below, covered by the Union harmonisation legislation listed in Annex II (now Annex I) of the AI Act?</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Machinery</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Toys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Recreational craft and personal watercraft</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Lifts and safety components for lifts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Equipment and protective systems intended for use in potentially explosive atmospheres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Radio equipment</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Pressure equipment</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Cableway installations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Personal protective equipment</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Appliances burning gaseous fuels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Medical devices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In vitro diagnostic medical devices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Civil aviation and civil aviation security</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Two- or three-wheel vehicles and quadricycles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Agricultural and forestry vehicles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Marine equipment</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Rail system interoperability</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Motor vehicles and their trailers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Type-approval requirements for motor vehicles and their trailers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None of the above</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None of the above</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ALINA is a software-only information system used through a web browser by office staff. It is neither a product covered by Union harmonisation legislation nor a safety component of one.</w:t>
      </w:r>
    </w:p>
    <w:p>
      <w:pPr>
        <w:keepNext/>
        <w:spacing w:after="60" w:before="200"/>
      </w:pPr>
      <w:r>
        <w:rPr>
          <w:rFonts w:ascii="Arial" w:cs="Arial" w:eastAsia="Arial" w:hAnsi="Arial"/>
          <w:b/>
          <w:bCs/>
          <w:sz w:val="20"/>
          <w:szCs w:val="20"/>
        </w:rPr>
        <w:t xml:space="preserve">3. </w:t>
      </w:r>
      <w:r>
        <w:rPr>
          <w:rFonts w:ascii="Arial" w:cs="Arial" w:eastAsia="Arial" w:hAnsi="Arial"/>
          <w:b/>
          <w:bCs/>
          <w:sz w:val="20"/>
          <w:szCs w:val="20"/>
        </w:rPr>
        <w:t xml:space="preserve">Is the AI system intended to be used in any of the use-cases below, listed in Annex III of the AI Act?</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Biometrics: remote biometric identification; biometric categorisation according to sensitive or protected attributes; emotion recognition</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Critical infrastructure: safety components in the management and operation of critical digital infrastructure, road traffic and the supply of water, gas, heating and electricity</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Education and vocational training: access or admission; evaluation of learning outcomes; assessment of the level of education a person will receive; monitoring of prohibited behaviour during tests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Employment, workers management and access to self-employment: recruitment or selection; decisions affecting work-related relationships, promotion, termination, task allocation or monitoring and evaluation of performance</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Access to and enjoyment of essential private and public services and benefits: eligibility for public assistance; creditworthiness; risk assessment and pricing in life and health insurance; emergency call evaluation and dispatching</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Law enforcement systems: victim risk assessment; polygraphs; evaluation of the reliability of evidence; offending or re-offending risk; profiling in the course of detection, investigation or prosecution</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Migration, asylum and border control management: polygraphs; risk assessments; examination of applications for asylum, visa and residence permits; detection, recognition or identification of persons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Administration of justice and democratic processes: research and interpretation of facts and the law and application of the law to a concrete set of facts by or on behalf of a judicial authority, or similar use in alternative dispute resolution; influencing the outcome of an election or referendum or voting behaviour</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None of the above</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None of the above</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ALINA is a research and drafting aid for the Commission's own administrative procurement work. It does not perform any of the Annex III functions, and three of them merit an explicit statement because of the system's legal subject matter:</w:t>
      </w:r>
    </w:p>
    <w:p>
      <w:pPr>
        <w:spacing w:after="80"/>
        <w:ind w:left="360"/>
      </w:pPr>
      <w:r>
        <w:rPr>
          <w:rFonts w:ascii="Arial" w:cs="Arial" w:eastAsia="Arial" w:hAnsi="Arial"/>
          <w:sz w:val="20"/>
          <w:szCs w:val="20"/>
        </w:rPr>
        <w:t xml:space="preserve">Administration of justice (point 8(a)). ALINA does research and interpret the law, but the Annex III use-case covers systems used by a judicial authority, or on its behalf, in the administration of justice, or in a similar way in alternative dispute resolution. ALINA is used by administrative procurement and legal officers of DG DIGIT, not by or for any judicial authority, and plays no part in any dispute resolution. It is not within point 8(a).</w:t>
      </w:r>
    </w:p>
    <w:p>
      <w:pPr>
        <w:spacing w:after="80"/>
        <w:ind w:left="360"/>
      </w:pPr>
      <w:r>
        <w:rPr>
          <w:rFonts w:ascii="Arial" w:cs="Arial" w:eastAsia="Arial" w:hAnsi="Arial"/>
          <w:sz w:val="20"/>
          <w:szCs w:val="20"/>
        </w:rPr>
        <w:t xml:space="preserve">Essential services and benefits (point 5). ALINA does not evaluate the eligibility of any natural person for any benefit or service, and does not assess creditworthiness. It performs no evaluation, ranking or scoring of tenderers or economic operators and is not used to determine the outcome of any procurement procedure (AOD §5.5). Procurement decisions continue to be taken by the responsible officers and evaluation committees under the Financial Regulation.</w:t>
      </w:r>
    </w:p>
    <w:p>
      <w:pPr>
        <w:spacing w:after="80"/>
        <w:ind w:left="360"/>
      </w:pPr>
      <w:r>
        <w:rPr>
          <w:rFonts w:ascii="Arial" w:cs="Arial" w:eastAsia="Arial" w:hAnsi="Arial"/>
          <w:sz w:val="20"/>
          <w:szCs w:val="20"/>
        </w:rPr>
        <w:t xml:space="preserve">Employment (point 4). ALINA has no function relating to recruitment, staff management or performance evaluation.</w:t>
      </w:r>
    </w:p>
    <w:p>
      <w:pPr>
        <w:spacing w:after="80"/>
        <w:ind w:left="360"/>
      </w:pPr>
      <w:r>
        <w:rPr>
          <w:rFonts w:ascii="Arial" w:cs="Arial" w:eastAsia="Arial" w:hAnsi="Arial"/>
          <w:sz w:val="20"/>
          <w:szCs w:val="20"/>
        </w:rPr>
        <w:t xml:space="preserve">The AOD's preliminary architecture-level assessment (§5.5) reached the same conclusion: ALINA is not expected to fall within the high-risk categories. This questionnaire, completed by the System Owner, records the formal classification position that the AOD left open.</w:t>
      </w:r>
    </w:p>
    <w:p>
      <w:pPr>
        <w:spacing w:after="120"/>
      </w:pPr>
      <w:r>
        <w:rPr>
          <w:rFonts w:ascii="Arial" w:cs="Arial" w:eastAsia="Arial" w:hAnsi="Arial"/>
          <w:i/>
          <w:iCs/>
          <w:color w:val="555555"/>
          <w:sz w:val="18"/>
          <w:szCs w:val="18"/>
        </w:rPr>
        <w:t xml:space="preserve">Question numbering follows the questionnaire, in which the Annex III question is numbered 3.</w:t>
      </w:r>
    </w:p>
    <w:p>
      <w:pPr>
        <w:pStyle w:val="Heading1"/>
        <w:spacing w:after="160" w:before="360"/>
      </w:pPr>
      <w:r>
        <w:rPr>
          <w:rFonts w:ascii="Arial" w:cs="Arial" w:eastAsia="Arial" w:hAnsi="Arial"/>
          <w:b/>
          <w:bCs/>
          <w:color w:val="1F3B73"/>
          <w:sz w:val="30"/>
          <w:szCs w:val="30"/>
        </w:rPr>
        <w:t xml:space="preserve">G. Transparency risks</w:t>
      </w:r>
    </w:p>
    <w:p>
      <w:pPr>
        <w:spacing w:after="120"/>
      </w:pPr>
      <w:r>
        <w:rPr>
          <w:rFonts w:ascii="Arial" w:cs="Arial" w:eastAsia="Arial" w:hAnsi="Arial"/>
          <w:sz w:val="20"/>
          <w:szCs w:val="20"/>
        </w:rPr>
        <w:t xml:space="preserve">The questions in this section are not exclusive: one AI system can have several transparency risks for different reasons.</w:t>
      </w:r>
    </w:p>
    <w:p>
      <w:pPr>
        <w:keepNext/>
        <w:spacing w:after="60" w:before="200"/>
      </w:pPr>
      <w:r>
        <w:rPr>
          <w:rFonts w:ascii="Arial" w:cs="Arial" w:eastAsia="Arial" w:hAnsi="Arial"/>
          <w:b/>
          <w:bCs/>
          <w:sz w:val="20"/>
          <w:szCs w:val="20"/>
        </w:rPr>
        <w:t xml:space="preserve">1. </w:t>
      </w:r>
      <w:r>
        <w:rPr>
          <w:rFonts w:ascii="Arial" w:cs="Arial" w:eastAsia="Arial" w:hAnsi="Arial"/>
          <w:b/>
          <w:bCs/>
          <w:sz w:val="20"/>
          <w:szCs w:val="20"/>
        </w:rPr>
        <w:t xml:space="preserve">Is the AI system intended to directly interact with natural persons? (Unless this is obvious from the point of view of a reasonably well-informed, observant and circumspect natural person, taking into account the circumstances and context of use.)</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Yes</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ALINA is a conversational assistant: users type questions and receive streamed answers in a chat interface (AOD §4.1). The users are Commission staff who deliberately open an AI assistant, and the interface presents citations, match scores and a refusal behaviour that make its nature apparent; the transparency risk is nevertheless recorded, as it was for the AI Form Filling prototype. Obligation retained: the interface and the user onboarding state explicitly that the user is interacting with an AI system and that answers must be verified against the cited sources (see Section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The AI system has a Transparency Risk.</w:t>
            </w:r>
          </w:p>
        </w:tc>
      </w:tr>
    </w:tbl>
    <w:p>
      <w:pPr>
        <w:keepNext/>
        <w:spacing w:after="60" w:before="200"/>
      </w:pPr>
      <w:r>
        <w:rPr>
          <w:rFonts w:ascii="Arial" w:cs="Arial" w:eastAsia="Arial" w:hAnsi="Arial"/>
          <w:b/>
          <w:bCs/>
          <w:sz w:val="20"/>
          <w:szCs w:val="20"/>
        </w:rPr>
        <w:t xml:space="preserve">2. </w:t>
      </w:r>
      <w:r>
        <w:rPr>
          <w:rFonts w:ascii="Arial" w:cs="Arial" w:eastAsia="Arial" w:hAnsi="Arial"/>
          <w:b/>
          <w:bCs/>
          <w:sz w:val="20"/>
          <w:szCs w:val="20"/>
        </w:rPr>
        <w:t xml:space="preserve">Is the AI system generating synthetic audio, image, video or text content?</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Yes</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ALINA generates text: natural-language answers and draft written replies composed by GPT-5.1 from retrieved passages (AOD §3.17.3, Generation and refusal). It generates no audio, image or video content. Where an AI-assisted draft is used in a reply to an economic operator or to another service, it is reviewed and validated by a qualified officer who takes responsibility for the text before it is issued; this human review is required by the system's terms of use (AOD §1.2.3, Legal advice) and satisfies the human-review condition of Article 50(4) AI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The AI system has a Transparency Risk.</w:t>
            </w:r>
          </w:p>
        </w:tc>
      </w:tr>
    </w:tbl>
    <w:p>
      <w:pPr>
        <w:keepNext/>
        <w:spacing w:after="60" w:before="200"/>
      </w:pPr>
      <w:r>
        <w:rPr>
          <w:rFonts w:ascii="Arial" w:cs="Arial" w:eastAsia="Arial" w:hAnsi="Arial"/>
          <w:b/>
          <w:bCs/>
          <w:sz w:val="20"/>
          <w:szCs w:val="20"/>
        </w:rPr>
        <w:t xml:space="preserve">3. </w:t>
      </w:r>
      <w:r>
        <w:rPr>
          <w:rFonts w:ascii="Arial" w:cs="Arial" w:eastAsia="Arial" w:hAnsi="Arial"/>
          <w:b/>
          <w:bCs/>
          <w:sz w:val="20"/>
          <w:szCs w:val="20"/>
        </w:rPr>
        <w:t xml:space="preserve">Does the AI system perform emotion recognition or biometric categorisation?</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No emotion recognition or biometric function exists; no biometric data is processed.</w:t>
      </w:r>
    </w:p>
    <w:p>
      <w:pPr>
        <w:keepNext/>
        <w:spacing w:after="60" w:before="200"/>
      </w:pPr>
      <w:r>
        <w:rPr>
          <w:rFonts w:ascii="Arial" w:cs="Arial" w:eastAsia="Arial" w:hAnsi="Arial"/>
          <w:b/>
          <w:bCs/>
          <w:sz w:val="20"/>
          <w:szCs w:val="20"/>
        </w:rPr>
        <w:t xml:space="preserve">4. </w:t>
      </w:r>
      <w:r>
        <w:rPr>
          <w:rFonts w:ascii="Arial" w:cs="Arial" w:eastAsia="Arial" w:hAnsi="Arial"/>
          <w:b/>
          <w:bCs/>
          <w:sz w:val="20"/>
          <w:szCs w:val="20"/>
        </w:rPr>
        <w:t xml:space="preserve">Does the AI system generate synthetic audio, image, video constituting a deep fake?</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The system generates text only. It generates no audio, image or video content.</w:t>
      </w:r>
    </w:p>
    <w:p>
      <w:pPr>
        <w:pStyle w:val="Heading1"/>
        <w:spacing w:after="160" w:before="360"/>
      </w:pPr>
      <w:r>
        <w:rPr>
          <w:rFonts w:ascii="Arial" w:cs="Arial" w:eastAsia="Arial" w:hAnsi="Arial"/>
          <w:b/>
          <w:bCs/>
          <w:color w:val="1F3B73"/>
          <w:sz w:val="30"/>
          <w:szCs w:val="30"/>
        </w:rPr>
        <w:t xml:space="preserve">H. General Purpose AI (GPAI) models with or without systemic risk</w:t>
      </w:r>
    </w:p>
    <w:p>
      <w:pPr>
        <w:spacing w:after="120"/>
      </w:pPr>
      <w:r>
        <w:rPr>
          <w:rFonts w:ascii="Arial" w:cs="Arial" w:eastAsia="Arial" w:hAnsi="Arial"/>
          <w:sz w:val="20"/>
          <w:szCs w:val="20"/>
        </w:rPr>
        <w:t xml:space="preserve">This section concerns projects that train new general-purpose AI models or fine-tune existing ones. AI systems reusing a model already trained or provided by another tool, such as GPT@EC, are not in the scope of this section.</w:t>
      </w:r>
    </w:p>
    <w:p>
      <w:pPr>
        <w:keepNext/>
        <w:spacing w:after="60" w:before="200"/>
      </w:pPr>
      <w:r>
        <w:rPr>
          <w:rFonts w:ascii="Arial" w:cs="Arial" w:eastAsia="Arial" w:hAnsi="Arial"/>
          <w:b/>
          <w:bCs/>
          <w:sz w:val="20"/>
          <w:szCs w:val="20"/>
        </w:rPr>
        <w:t xml:space="preserve">1. </w:t>
      </w:r>
      <w:r>
        <w:rPr>
          <w:rFonts w:ascii="Arial" w:cs="Arial" w:eastAsia="Arial" w:hAnsi="Arial"/>
          <w:b/>
          <w:bCs/>
          <w:sz w:val="20"/>
          <w:szCs w:val="20"/>
        </w:rPr>
        <w:t xml:space="preserve">Does your project encompass the training or fine-tuning of a general-purpose AI model?</w:t>
      </w:r>
      <w:r>
        <w:rPr>
          <w:rFonts w:ascii="Arial" w:cs="Arial" w:eastAsia="Arial" w:hAnsi="Arial"/>
          <w:b/>
          <w:bCs/>
          <w:color w:val="C00000"/>
          <w:sz w:val="20"/>
          <w:szCs w:val="20"/>
        </w:rPr>
        <w:t xml:space="preserve"> *</w:t>
      </w:r>
    </w:p>
    <w:p>
      <w:pPr>
        <w:spacing w:after="20"/>
        <w:ind w:left="360"/>
      </w:pPr>
      <w:r>
        <w:rPr>
          <w:rFonts w:ascii="Arial" w:cs="Arial" w:eastAsia="Arial" w:hAnsi="Arial"/>
          <w:sz w:val="22"/>
          <w:szCs w:val="22"/>
        </w:rPr>
        <w:t xml:space="preserve">☐ </w:t>
      </w:r>
      <w:r>
        <w:rPr>
          <w:rFonts w:ascii="Arial" w:cs="Arial" w:eastAsia="Arial" w:hAnsi="Arial"/>
          <w:b w:val="false"/>
          <w:bCs w:val="false"/>
          <w:sz w:val="20"/>
          <w:szCs w:val="20"/>
        </w:rPr>
        <w:t xml:space="preserve">Yes</w:t>
      </w:r>
    </w:p>
    <w:p>
      <w:pPr>
        <w:spacing w:after="20"/>
        <w:ind w:left="360"/>
      </w:pPr>
      <w:r>
        <w:rPr>
          <w:rFonts w:ascii="Arial" w:cs="Arial" w:eastAsia="Arial" w:hAnsi="Arial"/>
          <w:sz w:val="22"/>
          <w:szCs w:val="22"/>
        </w:rPr>
        <w:t xml:space="preserve">☒ </w:t>
      </w:r>
      <w:r>
        <w:rPr>
          <w:rFonts w:ascii="Arial" w:cs="Arial" w:eastAsia="Arial" w:hAnsi="Arial"/>
          <w:b/>
          <w:bCs/>
          <w:sz w:val="20"/>
          <w:szCs w:val="20"/>
        </w:rPr>
        <w:t xml:space="preserve">No</w:t>
      </w:r>
    </w:p>
    <w:p>
      <w:pPr>
        <w:spacing w:after="60" w:before="60"/>
        <w:ind w:left="360"/>
      </w:pPr>
      <w:r>
        <w:rPr>
          <w:rFonts w:ascii="Arial" w:cs="Arial" w:eastAsia="Arial" w:hAnsi="Arial"/>
          <w:b/>
          <w:bCs/>
          <w:sz w:val="20"/>
          <w:szCs w:val="20"/>
        </w:rPr>
        <w:t xml:space="preserve">Answer: </w:t>
      </w:r>
      <w:r>
        <w:rPr>
          <w:rFonts w:ascii="Arial" w:cs="Arial" w:eastAsia="Arial" w:hAnsi="Arial"/>
          <w:b/>
          <w:bCs/>
          <w:color w:val="1F3B73"/>
          <w:sz w:val="20"/>
          <w:szCs w:val="20"/>
        </w:rPr>
        <w:t xml:space="preserve">No</w:t>
      </w:r>
    </w:p>
    <w:p>
      <w:pPr>
        <w:spacing w:after="80"/>
        <w:ind w:left="360"/>
      </w:pPr>
      <w:r>
        <w:rPr>
          <w:rFonts w:ascii="Arial" w:cs="Arial" w:eastAsia="Arial" w:hAnsi="Arial"/>
          <w:b/>
          <w:bCs/>
          <w:sz w:val="20"/>
          <w:szCs w:val="20"/>
        </w:rPr>
        <w:t xml:space="preserve">Justification: </w:t>
      </w:r>
      <w:r>
        <w:rPr>
          <w:rFonts w:ascii="Arial" w:cs="Arial" w:eastAsia="Arial" w:hAnsi="Arial"/>
          <w:sz w:val="20"/>
          <w:szCs w:val="20"/>
        </w:rPr>
        <w:t xml:space="preserve">No model is trained or fine-tuned. GPT-5.1 (GPT@EC), the e5-base-v2 embedding model and the Qwen3 reranker are all consumed as pre-trained services (AOD §3.17.3, Models used). ALINA's behaviour is shaped only by retrieval configuration, tool definitions and prompts; user feedback on answers is collected but is not fed into any training process (AOD §1.2.3, Persistent feedback loops 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The AI system does NOT involve the training of GPAI with or without systemic risk.</w:t>
            </w:r>
          </w:p>
        </w:tc>
      </w:tr>
    </w:tbl>
    <w:p>
      <w:pPr>
        <w:pStyle w:val="Heading1"/>
        <w:spacing w:after="160" w:before="360"/>
      </w:pPr>
      <w:r>
        <w:rPr>
          <w:rFonts w:ascii="Arial" w:cs="Arial" w:eastAsia="Arial" w:hAnsi="Arial"/>
          <w:b/>
          <w:bCs/>
          <w:color w:val="1F3B73"/>
          <w:sz w:val="30"/>
          <w:szCs w:val="30"/>
        </w:rPr>
        <w:t xml:space="preserve">I. Corporate IT Governance</w:t>
      </w:r>
    </w:p>
    <w:p>
      <w:pPr>
        <w:pStyle w:val="Heading2"/>
        <w:spacing w:after="120" w:before="240"/>
      </w:pPr>
      <w:r>
        <w:rPr>
          <w:rFonts w:ascii="Arial" w:cs="Arial" w:eastAsia="Arial" w:hAnsi="Arial"/>
          <w:b/>
          <w:bCs/>
          <w:color w:val="1F3B73"/>
          <w:sz w:val="24"/>
          <w:szCs w:val="24"/>
        </w:rPr>
        <w:t xml:space="preserve">Summary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B73" w:sz="4"/>
              <w:left w:val="single" w:color="1F3B73" w:sz="4"/>
              <w:bottom w:val="single" w:color="1F3B73" w:sz="4"/>
              <w:right w:val="single" w:color="1F3B73" w:sz="4"/>
            </w:tcBorders>
            <w:shd w:fill="E8F0FA" w:color="auto" w:val="clear"/>
            <w:tcMar>
              <w:top w:type="dxa" w:w="100"/>
              <w:left w:type="dxa" w:w="140"/>
              <w:bottom w:type="dxa" w:w="100"/>
              <w:right w:type="dxa" w:w="140"/>
            </w:tcMar>
          </w:tcPr>
          <w:p>
            <w:pPr>
              <w:spacing w:after="0"/>
            </w:pPr>
            <w:r>
              <w:rPr>
                <w:rFonts w:ascii="Arial" w:cs="Arial" w:eastAsia="Arial" w:hAnsi="Arial"/>
                <w:b/>
                <w:bCs/>
                <w:sz w:val="20"/>
                <w:szCs w:val="20"/>
              </w:rPr>
              <w:t xml:space="preserve">Questionnaire outcome: </w:t>
            </w:r>
            <w:r>
              <w:rPr>
                <w:rFonts w:ascii="Arial" w:cs="Arial" w:eastAsia="Arial" w:hAnsi="Arial"/>
                <w:sz w:val="20"/>
                <w:szCs w:val="20"/>
              </w:rPr>
              <w:t xml:space="preserve">The AI system has a Transparency Risk.</w:t>
            </w:r>
          </w:p>
        </w:tc>
      </w:tr>
    </w:tbl>
    <w:p>
      <w:pPr>
        <w:spacing w:after="120"/>
      </w:pPr>
      <w:r>
        <w:rPr>
          <w:rFonts w:ascii="Arial" w:cs="Arial" w:eastAsia="Arial" w:hAnsi="Arial"/>
          <w:sz w:val="20"/>
          <w:szCs w:val="20"/>
        </w:rPr>
        <w:t xml:space="preserve">Risk-level result to be encoded in the GovIS2 AI Register: AI system, allowed use-case, not high-risk, transparency risk (Article 50 AI Act), no GPAI training, uses a Commission-provided GPAI model (GPT@EC), no services to external users.</w:t>
      </w:r>
    </w:p>
    <w:p>
      <w:pPr>
        <w:pStyle w:val="Heading2"/>
        <w:spacing w:after="120" w:before="240"/>
      </w:pPr>
      <w:r>
        <w:rPr>
          <w:rFonts w:ascii="Arial" w:cs="Arial" w:eastAsia="Arial" w:hAnsi="Arial"/>
          <w:b/>
          <w:bCs/>
          <w:color w:val="1F3B73"/>
          <w:sz w:val="24"/>
          <w:szCs w:val="24"/>
        </w:rPr>
        <w:t xml:space="preserve">Obligations retained for ALINA</w:t>
      </w:r>
    </w:p>
    <w:p>
      <w:pPr>
        <w:pStyle w:val="ListParagraph"/>
        <w:numPr>
          <w:ilvl w:val="0"/>
          <w:numId w:val="2"/>
        </w:numPr>
        <w:spacing w:after="80"/>
      </w:pPr>
      <w:r>
        <w:rPr>
          <w:rFonts w:ascii="Arial" w:cs="Arial" w:eastAsia="Arial" w:hAnsi="Arial"/>
          <w:sz w:val="20"/>
          <w:szCs w:val="20"/>
        </w:rPr>
        <w:t xml:space="preserve">Inform users that they interact with an AI system and that outputs are AI-generated decision support requiring verification against the cited sources (Article 50(1) and 50(2) AI Act; Guidelines for the Management of AI Digital Solutions). To be made explicit in the interface and the user onboarding material.</w:t>
      </w:r>
    </w:p>
    <w:p>
      <w:pPr>
        <w:pStyle w:val="ListParagraph"/>
        <w:numPr>
          <w:ilvl w:val="0"/>
          <w:numId w:val="2"/>
        </w:numPr>
        <w:spacing w:after="80"/>
      </w:pPr>
      <w:r>
        <w:rPr>
          <w:rFonts w:ascii="Arial" w:cs="Arial" w:eastAsia="Arial" w:hAnsi="Arial"/>
          <w:sz w:val="20"/>
          <w:szCs w:val="20"/>
        </w:rPr>
        <w:t xml:space="preserve">Keep a qualified officer's review and validation of every AI-assisted draft before it is issued to an economic operator or another service (Article 50(4) AI Act; AOD §1.2.3).</w:t>
      </w:r>
    </w:p>
    <w:p>
      <w:pPr>
        <w:pStyle w:val="ListParagraph"/>
        <w:numPr>
          <w:ilvl w:val="0"/>
          <w:numId w:val="2"/>
        </w:numPr>
        <w:spacing w:after="80"/>
      </w:pPr>
      <w:r>
        <w:rPr>
          <w:rFonts w:ascii="Arial" w:cs="Arial" w:eastAsia="Arial" w:hAnsi="Arial"/>
          <w:sz w:val="20"/>
          <w:szCs w:val="20"/>
        </w:rPr>
        <w:t xml:space="preserve">Maintain the exclusion of sensitive material: the corpus is restricted to non-sensitive documentation certified by DIGIT.R3 as data owner (AOD §3.4.3, §5.4). Any extension to sensitive material is a precondition for industrialisation requiring a classification decision, DPO notification and record of processing, an ITSRM assessment and Commission-controlled hosting (AOD §3.4.4).</w:t>
      </w:r>
    </w:p>
    <w:p>
      <w:pPr>
        <w:pStyle w:val="ListParagraph"/>
        <w:numPr>
          <w:ilvl w:val="0"/>
          <w:numId w:val="2"/>
        </w:numPr>
        <w:spacing w:after="80"/>
      </w:pPr>
      <w:r>
        <w:rPr>
          <w:rFonts w:ascii="Arial" w:cs="Arial" w:eastAsia="Arial" w:hAnsi="Arial"/>
          <w:sz w:val="20"/>
          <w:szCs w:val="20"/>
        </w:rPr>
        <w:t xml:space="preserve">Preserve the segregation of procurement procedures at retrieval time, enforced server-side and never delegated to the model (AOD §3.10, §3.18 D8).</w:t>
      </w:r>
    </w:p>
    <w:p>
      <w:pPr>
        <w:pStyle w:val="ListParagraph"/>
        <w:numPr>
          <w:ilvl w:val="0"/>
          <w:numId w:val="2"/>
        </w:numPr>
        <w:spacing w:after="80"/>
      </w:pPr>
      <w:r>
        <w:rPr>
          <w:rFonts w:ascii="Arial" w:cs="Arial" w:eastAsia="Arial" w:hAnsi="Arial"/>
          <w:sz w:val="20"/>
          <w:szCs w:val="20"/>
        </w:rPr>
        <w:t xml:space="preserve">Re-assess this questionnaire before any industrialisation, and whenever the user population, the corpus classification or the functional scope changes (for example services to external users, automated ingestion or autonomous agents, all out of scope for Phase 1, AOD §1.2.3).</w:t>
      </w:r>
    </w:p>
    <w:p>
      <w:pPr>
        <w:pStyle w:val="ListParagraph"/>
        <w:numPr>
          <w:ilvl w:val="0"/>
          <w:numId w:val="2"/>
        </w:numPr>
        <w:spacing w:after="80"/>
      </w:pPr>
      <w:r>
        <w:rPr>
          <w:rFonts w:ascii="Arial" w:cs="Arial" w:eastAsia="Arial" w:hAnsi="Arial"/>
          <w:sz w:val="20"/>
          <w:szCs w:val="20"/>
        </w:rPr>
        <w:t xml:space="preserve">Register the system in the Commission AI systems inventory as recorded in AOD §5.5, using this questionnaire.</w:t>
      </w:r>
    </w:p>
    <w:p>
      <w:pPr>
        <w:pStyle w:val="Heading2"/>
        <w:spacing w:after="120" w:before="240"/>
      </w:pPr>
      <w:r>
        <w:rPr>
          <w:rFonts w:ascii="Arial" w:cs="Arial" w:eastAsia="Arial" w:hAnsi="Arial"/>
          <w:b/>
          <w:bCs/>
          <w:color w:val="1F3B73"/>
          <w:sz w:val="24"/>
          <w:szCs w:val="24"/>
        </w:rPr>
        <w:t xml:space="preserve">Process</w:t>
      </w:r>
    </w:p>
    <w:p>
      <w:pPr>
        <w:pStyle w:val="ListParagraph"/>
        <w:numPr>
          <w:ilvl w:val="0"/>
          <w:numId w:val="2"/>
        </w:numPr>
        <w:spacing w:after="80"/>
      </w:pPr>
      <w:r>
        <w:rPr>
          <w:rFonts w:ascii="Arial" w:cs="Arial" w:eastAsia="Arial" w:hAnsi="Arial"/>
          <w:sz w:val="20"/>
          <w:szCs w:val="20"/>
        </w:rPr>
        <w:t xml:space="preserve">Step 1: the System Owner completes the questionnaire in EU Survey with the answers above, generates the PDF of the results and registers it in Ares.</w:t>
      </w:r>
    </w:p>
    <w:p>
      <w:pPr>
        <w:pStyle w:val="ListParagraph"/>
        <w:numPr>
          <w:ilvl w:val="0"/>
          <w:numId w:val="2"/>
        </w:numPr>
        <w:spacing w:after="80"/>
      </w:pPr>
      <w:r>
        <w:rPr>
          <w:rFonts w:ascii="Arial" w:cs="Arial" w:eastAsia="Arial" w:hAnsi="Arial"/>
          <w:sz w:val="20"/>
          <w:szCs w:val="20"/>
        </w:rPr>
        <w:t xml:space="preserve">Step 2: the Ares code is encoded in GovIS2, at the level of the information system, in the AI Register section, together with the risk level (transparency risk) and the GPAI indication (Commission-provided model, no systemic-risk training).</w:t>
      </w:r>
    </w:p>
    <w:p>
      <w:pPr>
        <w:pStyle w:val="Heading2"/>
        <w:spacing w:after="120" w:before="240"/>
      </w:pPr>
      <w:r>
        <w:rPr>
          <w:rFonts w:ascii="Arial" w:cs="Arial" w:eastAsia="Arial" w:hAnsi="Arial"/>
          <w:b/>
          <w:bCs/>
          <w:color w:val="1F3B73"/>
          <w:sz w:val="24"/>
          <w:szCs w:val="24"/>
        </w:rPr>
        <w:t xml:space="preserve">Useful links and contact</w:t>
      </w:r>
    </w:p>
    <w:p>
      <w:pPr>
        <w:pStyle w:val="ListParagraph"/>
        <w:numPr>
          <w:ilvl w:val="0"/>
          <w:numId w:val="2"/>
        </w:numPr>
        <w:spacing w:after="80"/>
      </w:pPr>
      <w:r>
        <w:rPr>
          <w:rFonts w:ascii="Arial" w:cs="Arial" w:eastAsia="Arial" w:hAnsi="Arial"/>
          <w:sz w:val="20"/>
          <w:szCs w:val="20"/>
        </w:rPr>
        <w:t xml:space="preserve">The EU AI Act: https://digital-strategy.ec.europa.eu/en/policies/regulatory-framework-ai</w:t>
      </w:r>
    </w:p>
    <w:p>
      <w:pPr>
        <w:pStyle w:val="ListParagraph"/>
        <w:numPr>
          <w:ilvl w:val="0"/>
          <w:numId w:val="2"/>
        </w:numPr>
        <w:spacing w:after="80"/>
      </w:pPr>
      <w:r>
        <w:rPr>
          <w:rFonts w:ascii="Arial" w:cs="Arial" w:eastAsia="Arial" w:hAnsi="Arial"/>
          <w:sz w:val="20"/>
          <w:szCs w:val="20"/>
        </w:rPr>
        <w:t xml:space="preserve">Corporate IT Governance, IT investment assessment process: https://webgate.ec.europa.eu/fpfis/wikis/display/ECITGOVERNANCE/IT+investment+assessment+process</w:t>
      </w:r>
    </w:p>
    <w:p>
      <w:pPr>
        <w:pStyle w:val="ListParagraph"/>
        <w:numPr>
          <w:ilvl w:val="0"/>
          <w:numId w:val="2"/>
        </w:numPr>
        <w:spacing w:after="80"/>
      </w:pPr>
      <w:r>
        <w:rPr>
          <w:rFonts w:ascii="Arial" w:cs="Arial" w:eastAsia="Arial" w:hAnsi="Arial"/>
          <w:sz w:val="20"/>
          <w:szCs w:val="20"/>
        </w:rPr>
        <w:t xml:space="preserve">Contact: DIGIT-DATA-AI-POLICY-SERVICES@ec.europa.eu</w:t>
      </w:r>
    </w:p>
    <w:p>
      <w:r>
        <w:br w:type="page"/>
      </w:r>
    </w:p>
    <w:p>
      <w:pPr>
        <w:pStyle w:val="Heading1"/>
        <w:spacing w:after="160" w:before="360"/>
      </w:pPr>
      <w:r>
        <w:rPr>
          <w:rFonts w:ascii="Arial" w:cs="Arial" w:eastAsia="Arial" w:hAnsi="Arial"/>
          <w:b/>
          <w:bCs/>
          <w:color w:val="1F3B73"/>
          <w:sz w:val="30"/>
          <w:szCs w:val="30"/>
        </w:rPr>
        <w:t xml:space="preserve">Annex 1. What changed from the AI Form Filling registry</w:t>
      </w:r>
    </w:p>
    <w:p>
      <w:pPr>
        <w:spacing w:after="120"/>
      </w:pPr>
      <w:r>
        <w:rPr>
          <w:rFonts w:ascii="Arial" w:cs="Arial" w:eastAsia="Arial" w:hAnsi="Arial"/>
          <w:sz w:val="20"/>
          <w:szCs w:val="20"/>
        </w:rPr>
        <w:t xml:space="preserve">The answers to every closed question are identical between the two prototypes: both are internal, Commission-staff-only, GPT@EC-based assistants that generate text, are allowed use-cases, are not high-risk and train no model, and both carry a transparency risk. What differs is the system described and the justification, which for ALINA is anchored in the AOD. The main differences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Aspect</w:t>
            </w:r>
          </w:p>
        </w:tc>
        <w:tc>
          <w:tcPr>
            <w:tcW w:type="dxa" w:w="3400"/>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AI Form Filling</w:t>
            </w:r>
          </w:p>
        </w:tc>
        <w:tc>
          <w:tcPr>
            <w:tcW w:type="dxa" w:w="3926"/>
            <w:shd w:fill="1F3B73" w:color="auto"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ALINA</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Purpose</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Assist users in filling Acquisition Request forms: document intelligence (extract and prefill), past-request search, field validation; APIs for ServiceNow integration foreseen.</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Source-grounded legal and procurement intelligence: cited answers over the legal framework, guidance, contract templates and procedure documents; support for drafting reasoned written replies; explicit refusal where the corpus is silent.</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Users</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DIGIT.R domain experts.</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DIGIT.R3 procurement officers, contract managers and legal officers; 16 identified pilot users; no external users.</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Platform</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Prototype to migrate to AI@EC if moved to production.</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Already built on AI@EC (Haystack Enterprise) and GPT@EC; only the web application is bespoke. Pilot hosting on a supplier tenant, decommissioned after handover; Commission-controlled hosting with EU Login is an industrialisation precondition.</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Personal data</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Not described in the registry.</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User account and conversation data; incidental personal data in procurement documentation; non-sensitive material only; no DPO notification for the prototype (AOD §3.4).</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High-risk analysis</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None of the above, without further comment.</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None of the above, with an explicit statement on Annex III point 8(a) (administration of justice) because ALINA interprets the law for administrative, not judicial, use, and on point 5 because it evaluates no persons or economic operators.</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Transparency</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Interacts with persons; generates text.</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Same, with the human-review condition for AI-assisted replies to economic operators made explicit and retained as an obligation.</w:t>
            </w:r>
          </w:p>
        </w:tc>
      </w:tr>
      <w:tr>
        <w:trPr>
          <w:tblHeader w:val="off"/>
        </w:trPr>
        <w:tc>
          <w:tcPr>
            <w:tcW w:type="dxa" w:w="1700"/>
            <w:tcMar>
              <w:top w:type="dxa" w:w="80"/>
              <w:left w:type="dxa" w:w="100"/>
              <w:bottom w:type="dxa" w:w="80"/>
              <w:right w:type="dxa" w:w="100"/>
            </w:tcMar>
          </w:tcPr>
          <w:p>
            <w:pPr>
              <w:spacing w:after="0"/>
            </w:pPr>
            <w:r>
              <w:rPr>
                <w:rFonts w:ascii="Arial" w:cs="Arial" w:eastAsia="Arial" w:hAnsi="Arial"/>
                <w:sz w:val="20"/>
                <w:szCs w:val="20"/>
              </w:rPr>
              <w:t xml:space="preserve">System Owner / assessor</w:t>
            </w:r>
          </w:p>
        </w:tc>
        <w:tc>
          <w:tcPr>
            <w:tcW w:type="dxa" w:w="3400"/>
            <w:tcMar>
              <w:top w:type="dxa" w:w="80"/>
              <w:left w:type="dxa" w:w="100"/>
              <w:bottom w:type="dxa" w:w="80"/>
              <w:right w:type="dxa" w:w="100"/>
            </w:tcMar>
          </w:tcPr>
          <w:p>
            <w:pPr>
              <w:spacing w:after="0"/>
            </w:pPr>
            <w:r>
              <w:rPr>
                <w:rFonts w:ascii="Arial" w:cs="Arial" w:eastAsia="Arial" w:hAnsi="Arial"/>
                <w:sz w:val="20"/>
                <w:szCs w:val="20"/>
              </w:rPr>
              <w:t xml:space="preserve">Angel ANCIN / Emmanouil MARAGKOUDAKIS.</w:t>
            </w:r>
          </w:p>
        </w:tc>
        <w:tc>
          <w:tcPr>
            <w:tcW w:type="dxa" w:w="3926"/>
            <w:tcMar>
              <w:top w:type="dxa" w:w="80"/>
              <w:left w:type="dxa" w:w="100"/>
              <w:bottom w:type="dxa" w:w="80"/>
              <w:right w:type="dxa" w:w="100"/>
            </w:tcMar>
          </w:tcPr>
          <w:p>
            <w:pPr>
              <w:spacing w:after="0"/>
            </w:pPr>
            <w:r>
              <w:rPr>
                <w:rFonts w:ascii="Arial" w:cs="Arial" w:eastAsia="Arial" w:hAnsi="Arial"/>
                <w:sz w:val="20"/>
                <w:szCs w:val="20"/>
              </w:rPr>
              <w:t xml:space="preserve">DG DIGIT Unit B.1 (name to confirm) / Emmanouil MARAGKOUDAKIS.</w:t>
            </w:r>
          </w:p>
        </w:tc>
      </w:tr>
    </w:tbl>
    <w:p>
      <w:pPr>
        <w:pStyle w:val="Heading1"/>
        <w:spacing w:after="160" w:before="360"/>
      </w:pPr>
      <w:r>
        <w:rPr>
          <w:rFonts w:ascii="Arial" w:cs="Arial" w:eastAsia="Arial" w:hAnsi="Arial"/>
          <w:b/>
          <w:bCs/>
          <w:color w:val="1F3B73"/>
          <w:sz w:val="30"/>
          <w:szCs w:val="30"/>
        </w:rPr>
        <w:t xml:space="preserve">Annex 2. Source documents</w:t>
      </w:r>
    </w:p>
    <w:p>
      <w:pPr>
        <w:pStyle w:val="ListParagraph"/>
        <w:numPr>
          <w:ilvl w:val="0"/>
          <w:numId w:val="2"/>
        </w:numPr>
        <w:spacing w:after="80"/>
      </w:pPr>
      <w:r>
        <w:rPr>
          <w:rFonts w:ascii="Arial" w:cs="Arial" w:eastAsia="Arial" w:hAnsi="Arial"/>
          <w:sz w:val="20"/>
          <w:szCs w:val="20"/>
        </w:rPr>
        <w:t xml:space="preserve">AI Act risk level assessment questionnaire, AI Form Filling, EU Survey contribution 1d68e583-3254-4298-8f19-7e0d6c1560e4 of 17/10/2025 (structure, question wording and precedent answers).</w:t>
      </w:r>
    </w:p>
    <w:p>
      <w:pPr>
        <w:pStyle w:val="ListParagraph"/>
        <w:numPr>
          <w:ilvl w:val="0"/>
          <w:numId w:val="2"/>
        </w:numPr>
        <w:spacing w:after="80"/>
      </w:pPr>
      <w:r>
        <w:rPr>
          <w:rFonts w:ascii="Arial" w:cs="Arial" w:eastAsia="Arial" w:hAnsi="Arial"/>
          <w:sz w:val="20"/>
          <w:szCs w:val="20"/>
        </w:rPr>
        <w:t xml:space="preserve">ALINA Architecture Overview Document V1.0, 18/09/2026: §1.2 Scope, §1.3 Intended audience, §2 Business architecture, §3.4 Personal data, §3.10 Data protection and security, §3.17.3 Use of AI and LLM models, §3.18 Data decisions, §4.8.2 Known limitations, §5 Compliance (§5.4 Data protection, §5.5 AI Act and AI governance), §7 Architecture goals and decisions, Open points.</w:t>
      </w:r>
    </w:p>
    <w:p>
      <w:pPr>
        <w:pStyle w:val="ListParagraph"/>
        <w:numPr>
          <w:ilvl w:val="0"/>
          <w:numId w:val="2"/>
        </w:numPr>
        <w:spacing w:after="80"/>
      </w:pPr>
      <w:r>
        <w:rPr>
          <w:rFonts w:ascii="Arial" w:cs="Arial" w:eastAsia="Arial" w:hAnsi="Arial"/>
          <w:sz w:val="20"/>
          <w:szCs w:val="20"/>
        </w:rPr>
        <w:t xml:space="preserve">ALINA source repository README (functional overview, authentication and user management).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ALINA — AI Act risk level assessment questionnaire (draft 29/09/2026)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73"/>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B7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ALINA — AI Act risk level assessment questionnaire</dc:title>
  <dc:creator>DG DIGIT</dc:creator>
  <dc:description>AI Register entry for ALINA (AI Legal Intelligence Assistant), adapted from the AI Form Filling registry</dc:description>
  <cp:lastModifiedBy>Un-named</cp:lastModifiedBy>
  <cp:revision>1</cp:revision>
  <dcterms:created xsi:type="dcterms:W3CDTF">2026-09-29T09:12:38.646Z</dcterms:created>
  <dcterms:modified xsi:type="dcterms:W3CDTF">2026-09-29T09:12:38.650Z</dcterms:modified>
</cp:coreProperties>
</file>

<file path=docProps/custom.xml><?xml version="1.0" encoding="utf-8"?>
<Properties xmlns="http://schemas.openxmlformats.org/officeDocument/2006/custom-properties" xmlns:vt="http://schemas.openxmlformats.org/officeDocument/2006/docPropsVTypes"/>
</file>