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Results narrative for §3.2 (draft for the manuscript)</w:t>
      </w:r>
    </w:p>
    <w:p>
      <w:pPr>
        <w:spacing w:after="80" w:before="80" w:line="300"/>
      </w:pPr>
      <w:r>
        <w:t xml:space="preserve">Supersedes the earlier §3.2 text: those figures came from a July run against a pre-freeze label set and a different case count. Everything below is generated from the five committed result artifacts in </w:t>
      </w:r>
      <w:r>
        <w:rPr>
          <w:rFonts w:ascii="Consolas" w:cs="Consolas" w:eastAsia="Consolas" w:hAnsi="Consolas"/>
          <w:sz w:val="19"/>
          <w:szCs w:val="19"/>
        </w:rPr>
        <w:t xml:space="preserve">bench/results/</w:t>
      </w:r>
      <w:r>
        <w:t xml:space="preserve">; Table 1 itself is produced by </w:t>
      </w:r>
      <w:r>
        <w:rPr>
          <w:rFonts w:ascii="Consolas" w:cs="Consolas" w:eastAsia="Consolas" w:hAnsi="Consolas"/>
          <w:sz w:val="19"/>
          <w:szCs w:val="19"/>
        </w:rPr>
        <w:t xml:space="preserve">python bench/make_table1.py</w:t>
      </w:r>
      <w:r>
        <w:t xml:space="preserve">.</w:t>
      </w:r>
    </w:p>
    <w:p>
      <w:pPr>
        <w:pStyle w:val="Heading2"/>
        <w:spacing w:after="120" w:before="280"/>
      </w:pPr>
      <w:r>
        <w:t xml:space="preserve">Experimental protocol (for §3.1 or the start of §3.2)</w:t>
      </w:r>
    </w:p>
    <w:p>
      <w:pPr>
        <w:spacing w:after="80" w:before="80" w:line="300"/>
      </w:pPr>
      <w:r>
        <w:t xml:space="preserve">All configurations were evaluated on the same frozen gold set of 52 campaigns (19 tier 1, 17 tier 2, 16 tier 3), comprising 97 must-find provisions and 7 compliant control campaigns, with three independent runs per campaign. All language-model configurations used Claude Opus 4.8 served through the Amazon Bedrock European cross-region inference profile (</w:t>
      </w:r>
      <w:r>
        <w:rPr>
          <w:rFonts w:ascii="Consolas" w:cs="Consolas" w:eastAsia="Consolas" w:hAnsi="Consolas"/>
          <w:sz w:val="19"/>
          <w:szCs w:val="19"/>
        </w:rPr>
        <w:t xml:space="preserve">eu.anthropic.claude-opus-4-8</w:t>
      </w:r>
      <w:r>
        <w:t xml:space="preserve">); configuration A uses no language model at all. Runs were executed server-side by the deployed instance itself, which checkpoints each completed analysis to persistent storage, so a configuration is evaluated as a single indivisible unit rather than assembled from partial client sessions.</w:t>
      </w:r>
    </w:p>
    <w:p>
      <w:pPr>
        <w:spacing w:after="80" w:before="80" w:line="300"/>
      </w:pPr>
      <w:r>
        <w:t xml:space="preserve">Fifteen of the 52 campaigns (including 2 controls and 26 must-find provisions) were designated a held-out split before any calibration rule was written, and were excluded by construction from the rule-distillation procedure. Configuration D is reported on this split, and is compared against configuration C restricted to the same 15 campaigns — the two runs differ only in whether the approved calibration rules were injected into the specialist agents' prompts.</w:t>
      </w:r>
    </w:p>
    <w:p>
      <w:pPr>
        <w:spacing w:after="80" w:before="80" w:line="300"/>
      </w:pPr>
      <w:r>
        <w:t xml:space="preserve">Scoring conventions: a must-find provision counts as found if cited at any severity; unexpected findings are actionable citations (severity ≥ medium) outside the union of must-find and defensible-extra provisions; a control campaign counts as a false positive if any actionable finding is returned or the overall risk reaches medium; stability is the mean pairwise Jaccard similarity of the three runs' finding sets. Per-campaign metrics other than stability are computed from the first run, with the remaining runs used for the stability measure.</w:t>
      </w:r>
    </w:p>
    <w:p>
      <w:pPr>
        <w:pStyle w:val="Heading2"/>
        <w:spacing w:after="120" w:before="280"/>
      </w:pPr>
      <w:r>
        <w:t xml:space="preserve">Table 1</w:t>
      </w:r>
    </w:p>
    <w:p>
      <w:pPr>
        <w:spacing w:after="120" w:before="80"/>
      </w:pPr>
      <w:r>
        <w:t xml:space="preserve">Table 1. Evaluation of the four configurations on the gold benchmark (52 campaigns, 97 must-find provisions, 7 compliant controls; three runs per campaign). Configurations C (holdout) and D are evaluated on the 15 held-out campaigns (2 controls, 26 must-find provisions) excluded from calibration-rule distillation; D is therefore compared against the C (holdout) row, not the full set. Arrows mark the desirable direction. Provision recall counts must-find provisions cited at any severity; unexpected findings are actionable (≥ medium) citations outside the must-find and defensible-extra sets; stability is the mean pairwise Jaccard of finding sets across the three runs; invalid citations are those the validation layer removes (unknown identifiers or cross-regulation citations), zero by construction in A, C and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
        <w:gridCol w:w="900"/>
        <w:gridCol w:w="1180"/>
        <w:gridCol w:w="780"/>
        <w:gridCol w:w="900"/>
        <w:gridCol w:w="780"/>
        <w:gridCol w:w="1060"/>
        <w:gridCol w:w="880"/>
      </w:tblGrid>
      <w:tr>
        <w:trPr>
          <w:tblHeader/>
        </w:trPr>
        <w:tc>
          <w:tcPr>
            <w:tcW w:type="dxa" w:w="240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left"/>
            </w:pPr>
            <w:r>
              <w:rPr>
                <w:b/>
                <w:bCs/>
                <w:sz w:val="17"/>
                <w:szCs w:val="17"/>
              </w:rPr>
              <w:t xml:space="preserve">Configuration</w:t>
            </w:r>
          </w:p>
        </w:tc>
        <w:tc>
          <w:tcPr>
            <w:tcW w:type="dxa" w:w="48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n</w:t>
            </w:r>
          </w:p>
        </w:tc>
        <w:tc>
          <w:tcPr>
            <w:tcW w:type="dxa" w:w="90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Provision recall ↑</w:t>
            </w:r>
          </w:p>
        </w:tc>
        <w:tc>
          <w:tcPr>
            <w:tcW w:type="dxa" w:w="118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Unexpected findings ↓ (per case)</w:t>
            </w:r>
          </w:p>
        </w:tc>
        <w:tc>
          <w:tcPr>
            <w:tcW w:type="dxa" w:w="78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Control FP ↓</w:t>
            </w:r>
          </w:p>
        </w:tc>
        <w:tc>
          <w:tcPr>
            <w:tcW w:type="dxa" w:w="90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Risk calibration ↑</w:t>
            </w:r>
          </w:p>
        </w:tc>
        <w:tc>
          <w:tcPr>
            <w:tcW w:type="dxa" w:w="78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Stability ↑</w:t>
            </w:r>
          </w:p>
        </w:tc>
        <w:tc>
          <w:tcPr>
            <w:tcW w:type="dxa" w:w="106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Invalid citations ↓</w:t>
            </w:r>
          </w:p>
        </w:tc>
        <w:tc>
          <w:tcPr>
            <w:tcW w:type="dxa" w:w="880"/>
            <w:tcBorders>
              <w:top w:val="single" w:color="AAAAAA" w:sz="4"/>
              <w:left w:val="single" w:color="AAAAAA" w:sz="4"/>
              <w:bottom w:val="single" w:color="AAAAAA" w:sz="4"/>
              <w:right w:val="single" w:color="AAAAAA" w:sz="4"/>
            </w:tcBorders>
            <w:shd w:fill="E8EEF4" w:val="clear"/>
            <w:tcMar>
              <w:top w:type="dxa" w:w="60"/>
              <w:left w:type="dxa" w:w="90"/>
              <w:bottom w:type="dxa" w:w="60"/>
              <w:right w:type="dxa" w:w="90"/>
            </w:tcMar>
          </w:tcPr>
          <w:p>
            <w:pPr>
              <w:spacing w:after="0" w:before="0"/>
              <w:jc w:val="center"/>
            </w:pPr>
            <w:r>
              <w:rPr>
                <w:b/>
                <w:bCs/>
                <w:sz w:val="17"/>
                <w:szCs w:val="17"/>
              </w:rPr>
              <w:t xml:space="preserve">Latency (s)</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left"/>
            </w:pPr>
            <w:r>
              <w:rPr>
                <w:b w:val="false"/>
                <w:bCs w:val="false"/>
                <w:sz w:val="17"/>
                <w:szCs w:val="17"/>
              </w:rPr>
              <w:t xml:space="preserve">A — retrieval only (no LLM)</w:t>
            </w:r>
          </w:p>
        </w:tc>
        <w:tc>
          <w:tcPr>
            <w:tcW w:type="dxa" w:w="4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52</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0.515</w:t>
            </w:r>
          </w:p>
        </w:tc>
        <w:tc>
          <w:tcPr>
            <w:tcW w:type="dxa" w:w="11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303 (5.83)</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7/7</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34/52</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1.000</w:t>
            </w:r>
          </w:p>
        </w:tc>
        <w:tc>
          <w:tcPr>
            <w:tcW w:type="dxa" w:w="10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w:t>
            </w:r>
          </w:p>
        </w:tc>
        <w:tc>
          <w:tcPr>
            <w:tcW w:type="dxa" w:w="8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&lt;1</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left"/>
            </w:pPr>
            <w:r>
              <w:rPr>
                <w:b w:val="false"/>
                <w:bCs w:val="false"/>
                <w:sz w:val="17"/>
                <w:szCs w:val="17"/>
              </w:rPr>
              <w:t xml:space="preserve">B — agentic, no citation validation</w:t>
            </w:r>
          </w:p>
        </w:tc>
        <w:tc>
          <w:tcPr>
            <w:tcW w:type="dxa" w:w="4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52</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1.000</w:t>
            </w:r>
          </w:p>
        </w:tc>
        <w:tc>
          <w:tcPr>
            <w:tcW w:type="dxa" w:w="11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154 (2.96)</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1/7</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51/52</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0.756</w:t>
            </w:r>
          </w:p>
        </w:tc>
        <w:tc>
          <w:tcPr>
            <w:tcW w:type="dxa" w:w="10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w:t>
            </w:r>
          </w:p>
        </w:tc>
        <w:tc>
          <w:tcPr>
            <w:tcW w:type="dxa" w:w="8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58.6</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left"/>
            </w:pPr>
            <w:r>
              <w:rPr>
                <w:b w:val="false"/>
                <w:bCs w:val="false"/>
                <w:sz w:val="17"/>
                <w:szCs w:val="17"/>
              </w:rPr>
              <w:t xml:space="preserve">C — agentic, deployed default</w:t>
            </w:r>
          </w:p>
        </w:tc>
        <w:tc>
          <w:tcPr>
            <w:tcW w:type="dxa" w:w="4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52</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0.979</w:t>
            </w:r>
          </w:p>
        </w:tc>
        <w:tc>
          <w:tcPr>
            <w:tcW w:type="dxa" w:w="11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162 (3.12)</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1/7</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51/52</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0.745</w:t>
            </w:r>
          </w:p>
        </w:tc>
        <w:tc>
          <w:tcPr>
            <w:tcW w:type="dxa" w:w="10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w:t>
            </w:r>
          </w:p>
        </w:tc>
        <w:tc>
          <w:tcPr>
            <w:tcW w:type="dxa" w:w="8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54.7</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left"/>
            </w:pPr>
            <w:r>
              <w:rPr>
                <w:b w:val="false"/>
                <w:bCs w:val="false"/>
                <w:sz w:val="17"/>
                <w:szCs w:val="17"/>
              </w:rPr>
              <w:t xml:space="preserve">C — deployed default (holdout)</w:t>
            </w:r>
          </w:p>
        </w:tc>
        <w:tc>
          <w:tcPr>
            <w:tcW w:type="dxa" w:w="4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15</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1.000</w:t>
            </w:r>
          </w:p>
        </w:tc>
        <w:tc>
          <w:tcPr>
            <w:tcW w:type="dxa" w:w="11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44 (2.93)</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0/2</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15/15</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0.745</w:t>
            </w:r>
          </w:p>
        </w:tc>
        <w:tc>
          <w:tcPr>
            <w:tcW w:type="dxa" w:w="10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0</w:t>
            </w:r>
          </w:p>
        </w:tc>
        <w:tc>
          <w:tcPr>
            <w:tcW w:type="dxa" w:w="8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val="false"/>
                <w:bCs w:val="false"/>
                <w:sz w:val="17"/>
                <w:szCs w:val="17"/>
              </w:rPr>
              <w:t xml:space="preserve">58.6</w:t>
            </w:r>
          </w:p>
        </w:tc>
      </w:tr>
      <w:tr>
        <w:tc>
          <w:tcPr>
            <w:tcW w:type="dxa" w:w="24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left"/>
            </w:pPr>
            <w:r>
              <w:rPr>
                <w:b/>
                <w:bCs/>
                <w:sz w:val="17"/>
                <w:szCs w:val="17"/>
              </w:rPr>
              <w:t xml:space="preserve">D — deployed default + calibration (holdout)</w:t>
            </w:r>
          </w:p>
        </w:tc>
        <w:tc>
          <w:tcPr>
            <w:tcW w:type="dxa" w:w="4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15</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1.000</w:t>
            </w:r>
          </w:p>
        </w:tc>
        <w:tc>
          <w:tcPr>
            <w:tcW w:type="dxa" w:w="11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5 (0.33)</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0/2</w:t>
            </w:r>
          </w:p>
        </w:tc>
        <w:tc>
          <w:tcPr>
            <w:tcW w:type="dxa" w:w="9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15/15</w:t>
            </w:r>
          </w:p>
        </w:tc>
        <w:tc>
          <w:tcPr>
            <w:tcW w:type="dxa" w:w="7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0.833</w:t>
            </w:r>
          </w:p>
        </w:tc>
        <w:tc>
          <w:tcPr>
            <w:tcW w:type="dxa" w:w="10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0</w:t>
            </w:r>
          </w:p>
        </w:tc>
        <w:tc>
          <w:tcPr>
            <w:tcW w:type="dxa" w:w="8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before="0"/>
              <w:jc w:val="center"/>
            </w:pPr>
            <w:r>
              <w:rPr>
                <w:b/>
                <w:bCs/>
                <w:sz w:val="17"/>
                <w:szCs w:val="17"/>
              </w:rPr>
              <w:t xml:space="preserve">52.5</w:t>
            </w:r>
          </w:p>
        </w:tc>
      </w:tr>
    </w:tbl>
    <w:p>
      <w:pPr>
        <w:spacing w:after="60" w:before="160"/>
      </w:pPr>
      <w:r>
        <w:rPr>
          <w:b/>
          <w:bCs/>
          <w:sz w:val="19"/>
          <w:szCs w:val="19"/>
        </w:rPr>
        <w:t xml:space="preserve">Provenance of the reported runs:</w:t>
      </w:r>
    </w:p>
    <w:p>
      <w:pPr>
        <w:pStyle w:val="ListParagraph"/>
        <w:numPr>
          <w:ilvl w:val="0"/>
          <w:numId w:val="1"/>
        </w:numPr>
        <w:spacing w:after="20" w:before="20"/>
      </w:pPr>
      <w:r>
        <w:rPr>
          <w:sz w:val="18"/>
          <w:szCs w:val="18"/>
        </w:rPr>
        <w:t xml:space="preserve">A — retrieval only (no LLM) — job A-20260808-114736, engine heuristic, model n/a (no LLM), case set bb48530e65e048b9</w:t>
      </w:r>
    </w:p>
    <w:p>
      <w:pPr>
        <w:pStyle w:val="ListParagraph"/>
        <w:numPr>
          <w:ilvl w:val="0"/>
          <w:numId w:val="1"/>
        </w:numPr>
        <w:spacing w:after="20" w:before="20"/>
      </w:pPr>
      <w:r>
        <w:rPr>
          <w:sz w:val="18"/>
          <w:szCs w:val="18"/>
        </w:rPr>
        <w:t xml:space="preserve">B — agentic, no citation validation — job B-20260808-114752, engine agentic-unvalidated, model eu.anthropic.claude-opus-4-8, case set bb48530e65e048b9</w:t>
      </w:r>
    </w:p>
    <w:p>
      <w:pPr>
        <w:pStyle w:val="ListParagraph"/>
        <w:numPr>
          <w:ilvl w:val="0"/>
          <w:numId w:val="1"/>
        </w:numPr>
        <w:spacing w:after="20" w:before="20"/>
      </w:pPr>
      <w:r>
        <w:rPr>
          <w:sz w:val="18"/>
          <w:szCs w:val="18"/>
        </w:rPr>
        <w:t xml:space="preserve">C — agentic, deployed default — job C-full-20260813-071439, engine agentic, model eu.anthropic.claude-opus-4-8, case set bb48530e65e048b9</w:t>
      </w:r>
    </w:p>
    <w:p>
      <w:pPr>
        <w:pStyle w:val="ListParagraph"/>
        <w:numPr>
          <w:ilvl w:val="0"/>
          <w:numId w:val="1"/>
        </w:numPr>
        <w:spacing w:after="20" w:before="20"/>
      </w:pPr>
      <w:r>
        <w:rPr>
          <w:sz w:val="18"/>
          <w:szCs w:val="18"/>
        </w:rPr>
        <w:t xml:space="preserve">C — deployed default (holdout) — job C-holdout-20260813-083740, engine agentic, model eu.anthropic.claude-opus-4-8, case set 54ff841181b4621b</w:t>
      </w:r>
    </w:p>
    <w:p>
      <w:pPr>
        <w:pStyle w:val="ListParagraph"/>
        <w:numPr>
          <w:ilvl w:val="0"/>
          <w:numId w:val="1"/>
        </w:numPr>
        <w:spacing w:after="20" w:before="20"/>
      </w:pPr>
      <w:r>
        <w:rPr>
          <w:sz w:val="18"/>
          <w:szCs w:val="18"/>
        </w:rPr>
        <w:t xml:space="preserve">D — deployed default + calibration (holdout) — job D-20260813-091230, engine agentic, model eu.anthropic.claude-opus-4-8, case set 54ff841181b4621b</w:t>
      </w:r>
    </w:p>
    <w:p>
      <w:pPr>
        <w:pStyle w:val="Heading2"/>
        <w:spacing w:after="120" w:before="280"/>
      </w:pPr>
      <w:r>
        <w:t xml:space="preserve">3.2.1 The reasoning layer, not retrieval, produces usable assessments</w:t>
      </w:r>
    </w:p>
    <w:p>
      <w:pPr>
        <w:spacing w:after="80" w:before="80" w:line="300"/>
      </w:pPr>
      <w:r>
        <w:t xml:space="preserve">Configuration A isolates the GraphRAG retrieval layer. It locates roughly half of the required provisions (recall 0.515) but is unusable as a screening instrument: it returns 303 unexpected actionable findings (5.8 per campaign) and flags </w:t>
      </w:r>
      <w:r>
        <w:rPr>
          <w:b/>
          <w:bCs/>
        </w:rPr>
        <w:t xml:space="preserve">all seven</w:t>
      </w:r>
      <w:r>
        <w:t xml:space="preserve"> compliant control campaigns. Its perfect stability (1.000) simply reflects determinism, not quality. Retrieval establishes which provisions are topically related to a campaign; deciding whether a provision is actually engaged — and by this addressee, on these facts — is what the agentic layer contributes. Adding it (configuration C) roughly doubles recall, halves the over-flagging rate, and takes control false positives from 7/7 to 1/7.</w:t>
      </w:r>
    </w:p>
    <w:p>
      <w:pPr>
        <w:spacing w:after="80" w:before="80" w:line="300"/>
      </w:pPr>
      <w:r>
        <w:t xml:space="preserve">Because this configuration is deterministic, it also serves as a cross-check on the measurement apparatus: an independent replication executed five days later on a separate instance, scored through the command-line harness rather than the in-application runner, reproduced the deployment run exactly — identical matched, missed and unexpected provision sets, risk verdicts and control outcomes on all 52 campaigns (</w:t>
      </w:r>
      <w:r>
        <w:rPr>
          <w:rFonts w:ascii="Consolas" w:cs="Consolas" w:eastAsia="Consolas" w:hAnsi="Consolas"/>
          <w:sz w:val="19"/>
          <w:szCs w:val="19"/>
        </w:rPr>
        <w:t xml:space="preserve">bench/results/A-20260813-153304-*</w:t>
      </w:r>
      <w:r>
        <w:t xml:space="preserve">). The two scoring paths and the two label copies are therefore in exact agreement.</w:t>
      </w:r>
    </w:p>
    <w:p>
      <w:pPr>
        <w:pStyle w:val="Heading2"/>
        <w:spacing w:after="120" w:before="280"/>
      </w:pPr>
      <w:r>
        <w:t xml:space="preserve">3.2.2 The deployed configuration</w:t>
      </w:r>
    </w:p>
    <w:p>
      <w:pPr>
        <w:spacing w:after="80" w:before="80" w:line="300"/>
      </w:pPr>
      <w:r>
        <w:t xml:space="preserve">Configuration C recovers 95 of 97 must-find provisions (0.979) with complete triage recall — no gold-relevant regulation was left unrouted in any of the 52 campaigns — passes risk calibration on 51 of 52 campaigns, and returns a mean 55 s per campaign. Two observations deserve care.</w:t>
      </w:r>
    </w:p>
    <w:p>
      <w:pPr>
        <w:spacing w:after="80" w:before="80" w:line="300"/>
      </w:pPr>
      <w:r>
        <w:t xml:space="preserve">First, the two apparently missed provisions are a scoring artifact rather than a capability gap. Both are AI Act Article 5 prohibitions on </w:t>
      </w:r>
      <w:r>
        <w:rPr>
          <w:rFonts w:ascii="Consolas" w:cs="Consolas" w:eastAsia="Consolas" w:hAnsi="Consolas"/>
          <w:sz w:val="19"/>
          <w:szCs w:val="19"/>
        </w:rPr>
        <w:t xml:space="preserve">t3-emotion-optimized-ads</w:t>
      </w:r>
      <w:r>
        <w:t xml:space="preserve">, the benchmark's hardest case (a platform-side system inferring emotional state, engaging all four instruments). The first run of that campaign omitted them; runs 2 and 3 cited both, correctly attributed. Scored on a majority or union of the three runs, configuration C also reaches recall 1.000. We report the first-run figure because it is the conservative single-shot number a user would experience, but the sensitivity is worth stating: for this architecture, run-to-run variance on genuinely hard multi-instrument cases is a larger effect than any systematic omission.</w:t>
      </w:r>
    </w:p>
    <w:p>
      <w:pPr>
        <w:spacing w:after="80" w:before="80" w:line="300"/>
      </w:pPr>
      <w:r>
        <w:t xml:space="preserve">Second, the single control false positive is a borderline data-protection judgement rather than an over-reading of the marketing claims: the system raised lawful-basis and objection findings on a compliant campaign's e-mail programme. Notably, configuration B produced exactly one control false positive as well, but on a </w:t>
      </w:r>
      <w:r>
        <w:rPr>
          <w:i/>
          <w:iCs/>
        </w:rPr>
        <w:t xml:space="preserve">different</w:t>
      </w:r>
      <w:r>
        <w:t xml:space="preserve"> control campaign — indicating a general tendency to over-attach GDPR provisions where a campaign mentions e-mail or personalisation, rather than a defect specific to one case. This is precisely the failure mode the calibration rules target (§3.2.4).</w:t>
      </w:r>
    </w:p>
    <w:p>
      <w:pPr>
        <w:pStyle w:val="Heading2"/>
        <w:spacing w:after="120" w:before="280"/>
      </w:pPr>
      <w:r>
        <w:t xml:space="preserve">3.2.3 Citation validation contributes integrity, not precision</w:t>
      </w:r>
    </w:p>
    <w:p>
      <w:pPr>
        <w:spacing w:after="80" w:before="80" w:line="300"/>
      </w:pPr>
      <w:r>
        <w:t xml:space="preserve">Configuration B disables the post-hoc validation that drops citations to unknown identifiers or to another regulation's provisions. Across all 156 analyses it produced exactly </w:t>
      </w:r>
      <w:r>
        <w:rPr>
          <w:b/>
          <w:bCs/>
        </w:rPr>
        <w:t xml:space="preserve">one</w:t>
      </w:r>
      <w:r>
        <w:t xml:space="preserve"> invalid citation: a knowledge-graph </w:t>
      </w:r>
      <w:r>
        <w:rPr>
          <w:i/>
          <w:iCs/>
        </w:rPr>
        <w:t xml:space="preserve">concept</w:t>
      </w:r>
      <w:r>
        <w:t xml:space="preserve"> node (</w:t>
      </w:r>
      <w:r>
        <w:rPr>
          <w:rFonts w:ascii="Consolas" w:cs="Consolas" w:eastAsia="Consolas" w:hAnsi="Consolas"/>
          <w:sz w:val="19"/>
          <w:szCs w:val="19"/>
        </w:rPr>
        <w:t xml:space="preserve">c-emotion-targeting</w:t>
      </w:r>
      <w:r>
        <w:t xml:space="preserve">) cited as though it were a UCPD provision. The validation layer is therefore cheap insurance rather than a major quality contributor — because the specialists reach provisions through graph tools that return only real provision nodes, invalid citations are rare before validation ever runs. We report this as a negative result: the ablation does not show validation improving recall, precision, or calibration, and the over-flagging rate is statistically indistinguishable between B and C (2.96 vs 3.12 unexpected findings per campaign; the difference is within run-to-run variation). Its value is that a single fabricated legal citation in a regulator-facing report is a disproportionate failure, and the guarantee it provides is absolute rather than probabilistic.</w:t>
      </w:r>
    </w:p>
    <w:p>
      <w:pPr>
        <w:pStyle w:val="Heading2"/>
        <w:spacing w:after="120" w:before="280"/>
      </w:pPr>
      <w:r>
        <w:t xml:space="preserve">3.2.4 Calibration transfers to unseen cases</w:t>
      </w:r>
    </w:p>
    <w:p>
      <w:pPr>
        <w:spacing w:after="80" w:before="80" w:line="300"/>
      </w:pPr>
      <w:r>
        <w:t xml:space="preserve">Configuration D is the study's clearest result. On the 15 held-out campaigns, injecting the 15 human-approved calibration rules reduced unexpected actionable findings from </w:t>
      </w:r>
      <w:r>
        <w:rPr>
          <w:b/>
          <w:bCs/>
        </w:rPr>
        <w:t xml:space="preserve">44 to 5</w:t>
      </w:r>
      <w:r>
        <w:t xml:space="preserve"> — an 89% reduction, from 2.9 to 0.33 per campaign — while recall remained at 1.000, both controls remained clean, risk calibration remained 15/15, and run-to-run stability </w:t>
      </w:r>
      <w:r>
        <w:rPr>
          <w:i/>
          <w:iCs/>
        </w:rPr>
        <w:t xml:space="preserve">improved</w:t>
      </w:r>
      <w:r>
        <w:t xml:space="preserve"> from 0.745 to 0.833.</w:t>
      </w:r>
    </w:p>
    <w:p>
      <w:pPr>
        <w:spacing w:after="80" w:before="80" w:line="300"/>
      </w:pPr>
      <w:r>
        <w:t xml:space="preserve">A citation-level comparison of the two runs shows the mechanism is the intended one: 39 unexpected citations were removed, </w:t>
      </w:r>
      <w:r>
        <w:rPr>
          <w:b/>
          <w:bCs/>
        </w:rPr>
        <w:t xml:space="preserve">none were added, and no must-find provision was lost</w:t>
      </w:r>
      <w:r>
        <w:t xml:space="preserve">. The removals track the content of the rules rather than being diffuse suppression — DSA platform obligations withdrawn from advertiser-side campaigns (12 citations), GDPR provisions withdrawn where the record showed no processing or consent defect (12), general-clause redundancy eliminated where a specific blacklist item already captured the conduct (9), and AI Act provisions withdrawn where no AI system was actually deployed (6). The most pronounced case, an advertisement impersonating an official government notice, fell from 11 unexpected citations to 1.</w:t>
      </w:r>
    </w:p>
    <w:p>
      <w:pPr>
        <w:spacing w:after="80" w:before="80" w:line="300"/>
      </w:pPr>
      <w:r>
        <w:t xml:space="preserve">Two aspects make this more than a prompt-engineering result. The rules were distilled only from deviations observed on the 37 calibration-visible campaigns, and the 15 evaluation campaigns were designated before any rule was written; the improvement is therefore transfer to unseen cases, not fitting. And the rules are general legal principles about scope, addressee and specificity — they never reference a campaign, a brand, or a benchmark answer — so what improves is the system's doctrinal discipline rather than its memory of the test set.</w:t>
      </w:r>
    </w:p>
    <w:p>
      <w:pPr>
        <w:spacing w:after="80" w:before="80" w:line="300"/>
      </w:pPr>
      <w:r>
        <w:t xml:space="preserve">The five surviving unexpected citations are defensible-but-unrequired readings rather than errors of law (for instance consent-quality provisions on an aggressive retargeting programme), and are candidates for reclassification as defensible extras under a second annotation pass. Residual precision headroom is therefore smaller than the count suggests.</w:t>
      </w:r>
    </w:p>
    <w:p>
      <w:pPr>
        <w:pStyle w:val="Heading2"/>
        <w:spacing w:after="120" w:before="280"/>
      </w:pPr>
      <w:r>
        <w:t xml:space="preserve">3.2.5 Limitations</w:t>
      </w:r>
    </w:p>
    <w:p>
      <w:pPr>
        <w:pStyle w:val="ListParagraph"/>
        <w:numPr>
          <w:ilvl w:val="0"/>
          <w:numId w:val="1"/>
        </w:numPr>
        <w:spacing w:after="60" w:before="60"/>
      </w:pPr>
      <w:r>
        <w:rPr>
          <w:b/>
          <w:bCs/>
        </w:rPr>
        <w:t xml:space="preserve">Single annotator.</w:t>
      </w:r>
      <w:r>
        <w:t xml:space="preserve"> The gold labels were drafted with model assistance and reviewed by one domain expert. Inter-annotator agreement is not yet measured; the protocol for a second annotation pass is specified in </w:t>
      </w:r>
      <w:r>
        <w:rPr>
          <w:rFonts w:ascii="Consolas" w:cs="Consolas" w:eastAsia="Consolas" w:hAnsi="Consolas"/>
          <w:sz w:val="19"/>
          <w:szCs w:val="19"/>
        </w:rPr>
        <w:t xml:space="preserve">docs/paper/table1-runbook.md</w:t>
      </w:r>
      <w:r>
        <w:t xml:space="preserve"> §9, and stored raw outputs allow re-scoring against revised labels without re-running inference.</w:t>
      </w:r>
    </w:p>
    <w:p>
      <w:pPr>
        <w:pStyle w:val="ListParagraph"/>
        <w:numPr>
          <w:ilvl w:val="0"/>
          <w:numId w:val="1"/>
        </w:numPr>
        <w:spacing w:after="60" w:before="60"/>
      </w:pPr>
      <w:r>
        <w:rPr>
          <w:b/>
          <w:bCs/>
        </w:rPr>
        <w:t xml:space="preserve">Single model, single provider.</w:t>
      </w:r>
      <w:r>
        <w:t xml:space="preserve"> All figures are for Claude Opus 4.8 on Bedrock. Whether the calibration transfer replicates on other model families is untested.</w:t>
      </w:r>
    </w:p>
    <w:p>
      <w:pPr>
        <w:pStyle w:val="ListParagraph"/>
        <w:numPr>
          <w:ilvl w:val="0"/>
          <w:numId w:val="1"/>
        </w:numPr>
        <w:spacing w:after="60" w:before="60"/>
      </w:pPr>
      <w:r>
        <w:rPr>
          <w:b/>
          <w:bCs/>
        </w:rPr>
        <w:t xml:space="preserve">Benchmark scale and provenance.</w:t>
      </w:r>
      <w:r>
        <w:t xml:space="preserve"> 52 campaigns is small, and while tier 1 cases are inspired by real enforcement actions, the campaigns themselves are synthetic reconstructions rather than sampled live advertising.</w:t>
      </w:r>
    </w:p>
    <w:p>
      <w:pPr>
        <w:pStyle w:val="ListParagraph"/>
        <w:numPr>
          <w:ilvl w:val="0"/>
          <w:numId w:val="1"/>
        </w:numPr>
        <w:spacing w:after="60" w:before="60"/>
      </w:pPr>
      <w:r>
        <w:rPr>
          <w:b/>
          <w:bCs/>
        </w:rPr>
        <w:t xml:space="preserve">First-run scoring.</w:t>
      </w:r>
      <w:r>
        <w:t xml:space="preserve"> Point metrics come from the first of three runs (§3.2.2); majority-vote aggregation would raise configuration C's reported recall from 0.979 to 1.000.</w:t>
      </w:r>
    </w:p>
    <w:p>
      <w:pPr>
        <w:pStyle w:val="ListParagraph"/>
        <w:numPr>
          <w:ilvl w:val="0"/>
          <w:numId w:val="1"/>
        </w:numPr>
        <w:spacing w:after="60" w:before="60"/>
      </w:pPr>
      <w:r>
        <w:rPr>
          <w:b/>
          <w:bCs/>
        </w:rPr>
        <w:t xml:space="preserve">Two incomplete analyses.</w:t>
      </w:r>
      <w:r>
        <w:t xml:space="preserve"> Configurations C (full) and C (holdout) each had one or two of their case-runs fail on transient infrastructure errors (154/156 and 44/45 completed). Every campaign retained at least two scored runs, so no campaign is missing from any row.</w:t>
      </w:r>
    </w:p>
    <w:p>
      <w:pPr>
        <w:pStyle w:val="Heading2"/>
        <w:spacing w:after="120" w:before="280"/>
      </w:pPr>
      <w:r>
        <w:t xml:space="preserve">Reproducibility statement (for the data-availability section)</w:t>
      </w:r>
    </w:p>
    <w:p>
      <w:pPr>
        <w:spacing w:after="80" w:before="80" w:line="300"/>
      </w:pPr>
      <w:r>
        <w:t xml:space="preserve">Every reported number derives from an archived artifact. For each configuration, </w:t>
      </w:r>
      <w:r>
        <w:rPr>
          <w:rFonts w:ascii="Consolas" w:cs="Consolas" w:eastAsia="Consolas" w:hAnsi="Consolas"/>
          <w:sz w:val="19"/>
          <w:szCs w:val="19"/>
        </w:rPr>
        <w:t xml:space="preserve">bench/results/</w:t>
      </w:r>
      <w:r>
        <w:t xml:space="preserve"> holds the scorecard, the machine-readable per-campaign results, and the raw engine outputs; Table 1 is generated from those files by </w:t>
      </w:r>
      <w:r>
        <w:rPr>
          <w:rFonts w:ascii="Consolas" w:cs="Consolas" w:eastAsia="Consolas" w:hAnsi="Consolas"/>
          <w:sz w:val="19"/>
          <w:szCs w:val="19"/>
        </w:rPr>
        <w:t xml:space="preserve">bench/make_table1.py</w:t>
      </w:r>
      <w:r>
        <w:t xml:space="preserve">. Re-scoring a stored run against revised labels requires no inference: </w:t>
      </w:r>
      <w:r>
        <w:rPr>
          <w:rFonts w:ascii="Consolas" w:cs="Consolas" w:eastAsia="Consolas" w:hAnsi="Consolas"/>
          <w:sz w:val="19"/>
          <w:szCs w:val="19"/>
        </w:rPr>
        <w:t xml:space="preserve">python bench/run.py --rescore bench/results/&lt;job&gt;-reports.jsonl</w:t>
      </w:r>
      <w:r>
        <w:t xml:space="preserve">. The gold set (</w:t>
      </w:r>
      <w:r>
        <w:rPr>
          <w:rFonts w:ascii="Consolas" w:cs="Consolas" w:eastAsia="Consolas" w:hAnsi="Consolas"/>
          <w:sz w:val="19"/>
          <w:szCs w:val="19"/>
        </w:rPr>
        <w:t xml:space="preserve">bench/cases.jsonl</w:t>
      </w:r>
      <w:r>
        <w:t xml:space="preserve">), the held-out split (</w:t>
      </w:r>
      <w:r>
        <w:rPr>
          <w:rFonts w:ascii="Consolas" w:cs="Consolas" w:eastAsia="Consolas" w:hAnsi="Consolas"/>
          <w:sz w:val="19"/>
          <w:szCs w:val="19"/>
        </w:rPr>
        <w:t xml:space="preserve">bench/holdout.json</w:t>
      </w:r>
      <w:r>
        <w:t xml:space="preserve">), the approved calibration rules (</w:t>
      </w:r>
      <w:r>
        <w:rPr>
          <w:rFonts w:ascii="Consolas" w:cs="Consolas" w:eastAsia="Consolas" w:hAnsi="Consolas"/>
          <w:sz w:val="19"/>
          <w:szCs w:val="19"/>
        </w:rPr>
        <w:t xml:space="preserve">knowledge/calibration.json</w:t>
      </w:r>
      <w:r>
        <w:t xml:space="preserve">) and the knowledge graph (</w:t>
      </w:r>
      <w:r>
        <w:rPr>
          <w:rFonts w:ascii="Consolas" w:cs="Consolas" w:eastAsia="Consolas" w:hAnsi="Consolas"/>
          <w:sz w:val="19"/>
          <w:szCs w:val="19"/>
        </w:rPr>
        <w:t xml:space="preserve">knowledge/</w:t>
      </w:r>
      <w:r>
        <w:t xml:space="preserve">) are all versioned; each result file records the model identifier and a hash of the case set it was scored against.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2026-08-13T15:44:47.013Z</dcterms:created>
  <dcterms:modified xsi:type="dcterms:W3CDTF">2026-08-13T15:44:47.015Z</dcterms:modified>
</cp:coreProperties>
</file>

<file path=docProps/custom.xml><?xml version="1.0" encoding="utf-8"?>
<Properties xmlns="http://schemas.openxmlformats.org/officeDocument/2006/custom-properties" xmlns:vt="http://schemas.openxmlformats.org/officeDocument/2006/docPropsVTypes"/>
</file>