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Results narrative for §3 (revised draft, October 2026)</w:t>
      </w:r>
    </w:p>
    <w:p>
      <w:pPr>
        <w:spacing w:after="80" w:before="80" w:line="300"/>
      </w:pPr>
      <w:r>
        <w:t xml:space="preserve">Replaces the earlier §3.2 text. This revision adds the external-model evaluation requested by both reviewers, interval estimates and significance tests for the headline claims, a throughput-and-workload analysis for large-scale use, and a reworked threats-to-validity section. Every figure is generated from the committed artifacts in </w:t>
      </w:r>
      <w:r>
        <w:rPr>
          <w:rFonts w:ascii="Consolas" w:cs="Consolas" w:eastAsia="Consolas" w:hAnsi="Consolas"/>
          <w:sz w:val="19"/>
          <w:szCs w:val="19"/>
        </w:rPr>
        <w:t xml:space="preserve">bench/results/</w:t>
      </w:r>
      <w:r>
        <w:t xml:space="preserve">; Table 1 comes from </w:t>
      </w:r>
      <w:r>
        <w:rPr>
          <w:rFonts w:ascii="Consolas" w:cs="Consolas" w:eastAsia="Consolas" w:hAnsi="Consolas"/>
          <w:sz w:val="19"/>
          <w:szCs w:val="19"/>
        </w:rPr>
        <w:t xml:space="preserve">bench/make_table1.py</w:t>
      </w:r>
      <w:r>
        <w:t xml:space="preserve"> and the statistics from </w:t>
      </w:r>
      <w:r>
        <w:rPr>
          <w:rFonts w:ascii="Consolas" w:cs="Consolas" w:eastAsia="Consolas" w:hAnsi="Consolas"/>
          <w:sz w:val="19"/>
          <w:szCs w:val="19"/>
        </w:rPr>
        <w:t xml:space="preserve">bench/make_stats.py</w:t>
      </w:r>
      <w:r>
        <w:t xml:space="preserve">.</w:t>
      </w:r>
    </w:p>
    <w:p>
      <w:pPr>
        <w:spacing w:after="80" w:before="80" w:line="300"/>
      </w:pPr>
      <w:r>
        <w:rPr>
          <w:b/>
          <w:bCs/>
        </w:rPr>
        <w:t xml:space="preserve">Editorial fixes to apply while integrating this text</w:t>
      </w:r>
      <w:r>
        <w:t xml:space="preserve"> (raised by Reviewer 1, or found while checking the manuscript against the repository):</w:t>
      </w:r>
    </w:p>
    <w:p>
      <w:pPr>
        <w:spacing w:after="80" w:before="80" w:line="300"/>
      </w:pPr>
      <w:r>
        <w:t xml:space="preserve">1. §3.2.2 contains the same paragraph twice ("Second, the single control false positive…"); the second copy also reads "e-mail programmed". Delete the duplicate. 2. §2.1 states the graph holds 36 provisions. It holds </w:t>
      </w:r>
      <w:r>
        <w:rPr>
          <w:b/>
          <w:bCs/>
        </w:rPr>
        <w:t xml:space="preserve">40</w:t>
      </w:r>
      <w:r>
        <w:t xml:space="preserve"> provisions across 60 nodes and 132 edges. Correct the count. 3. Tables 3, 4 and 5 report an earlier, superseded run and are flagged as such in their own captions. Table 4 in particular lists missed provisions (UCPD Arts. 6 and 7) that are not the omissions in the frozen results. Replace them with §§3.2.2–3.2.6 below, which are generated from the frozen artifacts, or delete them.</w:t>
      </w:r>
    </w:p>
    <w:p>
      <w:pPr>
        <w:pStyle w:val="Heading2"/>
        <w:spacing w:after="120" w:before="280"/>
      </w:pPr>
      <w:r>
        <w:t xml:space="preserve">3.1 Evaluation protocol</w:t>
      </w:r>
    </w:p>
    <w:p>
      <w:pPr>
        <w:spacing w:after="80" w:before="80" w:line="300"/>
      </w:pPr>
      <w:r>
        <w:t xml:space="preserve">All configurations were evaluated on the same frozen gold set of 52 campaigns (19 tier 1, 17 tier 2, 16 tier 3) comprising 97 must-find provisions and 7 compliant control campaigns. Configurations A–D were executed server-side by the deployed instance, which checkpoints every completed analysis to persistent storage, so a configuration is evaluated as one indivisible unit rather than assembled from partial client sessions; each ran three times per campaign. Configurations A–D used a single model, Claude Opus 4.8, served through the Amazon Bedrock European cross-region inference profile; configuration A uses no language model at all.</w:t>
      </w:r>
    </w:p>
    <w:p>
      <w:pPr>
        <w:spacing w:after="80" w:before="80" w:line="300"/>
      </w:pPr>
      <w:r>
        <w:t xml:space="preserve">Configuration E adds an </w:t>
      </w:r>
      <w:r>
        <w:rPr>
          <w:b/>
          <w:bCs/>
        </w:rPr>
        <w:t xml:space="preserve">external, cross-family comparison</w:t>
      </w:r>
      <w:r>
        <w:t xml:space="preserve">. Three models were evaluated through the European Commission's GPT@EC interface — the proprietary GPT-5.4 and GPT-5.6, and the open-weights gpt-oss-120b. The interface exposes no programmatic API, so each campaign was submitted manually in a fresh conversation by trained assistants: 52 campaigns × 2 runs × 3 models = 312 conversations. The prompt reproduces the deployed specialist agents' task definition — the identical closed vocabulary of 40 provision identifiers with their references and obligations, the identical five-level severity guide and risk scale, and a strict single-JSON-object output contract — and the answers were scored by the same program that scored the automated configurations. Configuration E therefore varies </w:t>
      </w:r>
      <w:r>
        <w:rPr>
          <w:b/>
          <w:bCs/>
        </w:rPr>
        <w:t xml:space="preserve">both</w:t>
      </w:r>
      <w:r>
        <w:t xml:space="preserve"> the model family and the architecture (a single call replaces triage, graph tool use and synthesis), and is reported as an external baseline rather than as an isolated model swap; §3.2.5 separates the two effects as far as the design allows.</w:t>
      </w:r>
    </w:p>
    <w:p>
      <w:pPr>
        <w:spacing w:after="80" w:before="80" w:line="300"/>
      </w:pPr>
      <w:r>
        <w:t xml:space="preserve">Fifteen of the 52 campaigns (2 controls, 26 must-find provisions) were designated a held-out split before any calibration rule was written and were excluded by construction from rule distillation. Configuration D is reported on this split and compared against configuration C restricted to the same 15 campaigns; configuration E is reported on both panels.</w:t>
      </w:r>
    </w:p>
    <w:p>
      <w:pPr>
        <w:spacing w:after="80" w:before="80" w:line="300"/>
      </w:pPr>
      <w:r>
        <w:t xml:space="preserve">Scoring conventions: a must-find provision counts as found if cited at any severity; unexpected findings are actionable citations (severity ≥ medium) outside the union of must-find and defensible-extra provisions; a control campaign counts as a false positive if any actionable finding is returned or the overall risk reaches medium; stability is the mean pairwise Jaccard similarity of the finding sets across repeated runs. Point metrics other than stability use the first run of each campaign. First-run scoring is deliberate: it is the single-shot result a user actually receives, and it is the conservative choice, since majority or union aggregation can only add correctly-found provisions. §3.2.2 reports the sensitivity.</w:t>
      </w:r>
    </w:p>
    <w:p>
      <w:pPr>
        <w:spacing w:after="80" w:before="80" w:line="300"/>
      </w:pPr>
      <w:r>
        <w:t xml:space="preserve">Recall figures carry 95% Wilson intervals. The calibration effect is tested by an exact Wilcoxon signed-rank test over per-campaign counts with a paired bootstrap interval, and configuration C is compared with each external model by an exact McNemar test over must-find outcomes.</w:t>
      </w:r>
    </w:p>
    <w:p>
      <w:pPr>
        <w:pStyle w:val="Heading2"/>
        <w:spacing w:after="120" w:before="280"/>
      </w:pPr>
      <w:r>
        <w:t xml:space="preserve">Table 1</w:t>
      </w:r>
    </w:p>
    <w:p>
      <w:pPr>
        <w:spacing w:after="120" w:before="80"/>
      </w:pPr>
      <w:r>
        <w:t xml:space="preserve">Table 1. Evaluation of the four configurations on the gold benchmark (52 campaigns, 97 must-find provisions, 7 compliant controls; three runs per campaign). Configurations C (holdout) and D are evaluated on the 15 held-out campaigns (2 controls, 26 must-find provisions) excluded from calibration-rule distillation; D is therefore compared against the C (holdout) row, not the full set. Arrows mark the desirable direction. Provision recall counts must-find provisions cited at any severity; unexpected findings are actionable (≥ medium) citations outside the must-find and defensible-extra sets; stability is the mean pairwise Jaccard of finding sets across the three runs; invalid citations are those the validation layer removes (unknown identifiers or cross-regulation citations), zero by construction in A, C and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
        <w:gridCol w:w="900"/>
        <w:gridCol w:w="1180"/>
        <w:gridCol w:w="780"/>
        <w:gridCol w:w="900"/>
        <w:gridCol w:w="780"/>
        <w:gridCol w:w="1060"/>
        <w:gridCol w:w="880"/>
      </w:tblGrid>
      <w:tr>
        <w:trPr>
          <w:tblHeader/>
        </w:trPr>
        <w:tc>
          <w:tcPr>
            <w:tcW w:type="dxa" w:w="24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left"/>
            </w:pPr>
            <w:r>
              <w:rPr>
                <w:b/>
                <w:bCs/>
                <w:sz w:val="17"/>
                <w:szCs w:val="17"/>
              </w:rPr>
              <w:t xml:space="preserve">Configuration</w:t>
            </w:r>
          </w:p>
        </w:tc>
        <w:tc>
          <w:tcPr>
            <w:tcW w:type="dxa" w:w="4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n</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Provision recall ↑</w:t>
            </w:r>
          </w:p>
        </w:tc>
        <w:tc>
          <w:tcPr>
            <w:tcW w:type="dxa" w:w="11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Unexpected findings ↓ (per case)</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Control FP ↓</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Risk calibration ↑</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Stability ↑</w:t>
            </w:r>
          </w:p>
        </w:tc>
        <w:tc>
          <w:tcPr>
            <w:tcW w:type="dxa" w:w="106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Invalid citations ↓</w:t>
            </w:r>
          </w:p>
        </w:tc>
        <w:tc>
          <w:tcPr>
            <w:tcW w:type="dxa" w:w="8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Latency (s)</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A — retrieval only, no LLM</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303 (5.83)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7/7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34/52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&lt;1</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B — agentic, no citation validation</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154 (2.96)</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0.756</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agentic, deployed default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0.979</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162 (3.12)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54.7</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0.825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86 (1.65)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47/52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0.653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0.763</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 (0.23)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43/52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0.775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E3 — single call, gpt-oss-120b (open weights)</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0.608</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125 (2.40)</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6/7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45/52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0.550</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deployed default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44 (2.93)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bCs/>
                <w:sz w:val="17"/>
                <w:szCs w:val="17"/>
              </w:rPr>
              <w:t xml:space="preserve">D — deployed default + calibration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 (0.33)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0.833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52.5</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27 (1.80)</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0.647</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0.692</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 (0.27)</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0.738</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E3 — single call, gpt-oss-120b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0.538</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31 (2.07)</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2/2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13/15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0.639</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bl>
    <w:p>
      <w:pPr>
        <w:spacing w:after="60" w:before="160"/>
      </w:pPr>
      <w:r>
        <w:rPr>
          <w:b/>
          <w:bCs/>
          <w:sz w:val="19"/>
          <w:szCs w:val="19"/>
        </w:rPr>
        <w:t xml:space="preserve">Provenance of the reported runs:</w:t>
      </w:r>
    </w:p>
    <w:p>
      <w:pPr>
        <w:pStyle w:val="ListParagraph"/>
        <w:numPr>
          <w:ilvl w:val="0"/>
          <w:numId w:val="1"/>
        </w:numPr>
        <w:spacing w:after="20" w:before="20"/>
      </w:pPr>
      <w:r>
        <w:rPr>
          <w:sz w:val="18"/>
          <w:szCs w:val="18"/>
        </w:rPr>
        <w:t xml:space="preserve">A — retrieval only, no LLM — job A-20260808-114736, engine heuristic, model n/a (no LLM), case set bb48530e65e048b9</w:t>
      </w:r>
    </w:p>
    <w:p>
      <w:pPr>
        <w:pStyle w:val="ListParagraph"/>
        <w:numPr>
          <w:ilvl w:val="0"/>
          <w:numId w:val="1"/>
        </w:numPr>
        <w:spacing w:after="20" w:before="20"/>
      </w:pPr>
      <w:r>
        <w:rPr>
          <w:sz w:val="18"/>
          <w:szCs w:val="18"/>
        </w:rPr>
        <w:t xml:space="preserve">B — agentic, no citation validation — job B-20260808-114752, engine agentic-unvalidated, model eu.anthropic.claude-opus-4-8, case set bb48530e65e048b9</w:t>
      </w:r>
    </w:p>
    <w:p>
      <w:pPr>
        <w:pStyle w:val="ListParagraph"/>
        <w:numPr>
          <w:ilvl w:val="0"/>
          <w:numId w:val="1"/>
        </w:numPr>
        <w:spacing w:after="20" w:before="20"/>
      </w:pPr>
      <w:r>
        <w:rPr>
          <w:sz w:val="18"/>
          <w:szCs w:val="18"/>
        </w:rPr>
        <w:t xml:space="preserve">C — agentic, deployed default — job C-full-20260813-071439, engine agentic, model eu.anthropic.claude-opus-4-8, case set bb48530e65e048b9</w:t>
      </w:r>
    </w:p>
    <w:p>
      <w:pPr>
        <w:pStyle w:val="ListParagraph"/>
        <w:numPr>
          <w:ilvl w:val="0"/>
          <w:numId w:val="1"/>
        </w:numPr>
        <w:spacing w:after="20" w:before="20"/>
      </w:pPr>
      <w:r>
        <w:rPr>
          <w:sz w:val="18"/>
          <w:szCs w:val="18"/>
        </w:rPr>
        <w:t xml:space="preserve">E1 — single call, GPT-5.4 — job E1-gpt54-20261003-101000, engine chat-ui (gpt-5.4), model gpt-5.4, case set manual (see workbook)</w:t>
      </w:r>
    </w:p>
    <w:p>
      <w:pPr>
        <w:pStyle w:val="ListParagraph"/>
        <w:numPr>
          <w:ilvl w:val="0"/>
          <w:numId w:val="1"/>
        </w:numPr>
        <w:spacing w:after="20" w:before="20"/>
      </w:pPr>
      <w:r>
        <w:rPr>
          <w:sz w:val="18"/>
          <w:szCs w:val="18"/>
        </w:rPr>
        <w:t xml:space="preserve">E2 — single call, GPT-5.6 — job E2-gpt56-20261003-101001, engine chat-ui (gpt-5.6), model gpt-5.6, case set manual (see workbook)</w:t>
      </w:r>
    </w:p>
    <w:p>
      <w:pPr>
        <w:pStyle w:val="ListParagraph"/>
        <w:numPr>
          <w:ilvl w:val="0"/>
          <w:numId w:val="1"/>
        </w:numPr>
        <w:spacing w:after="20" w:before="20"/>
      </w:pPr>
      <w:r>
        <w:rPr>
          <w:sz w:val="18"/>
          <w:szCs w:val="18"/>
        </w:rPr>
        <w:t xml:space="preserve">E3 — single call, gpt-oss-120b (open weights) — job E3-gptoss120b-20261003-163330, engine chat-ui (gpt-oss-120b), model gpt-oss-120b, case set manual (see workbook)</w:t>
      </w:r>
    </w:p>
    <w:p>
      <w:pPr>
        <w:pStyle w:val="ListParagraph"/>
        <w:numPr>
          <w:ilvl w:val="0"/>
          <w:numId w:val="1"/>
        </w:numPr>
        <w:spacing w:after="20" w:before="20"/>
      </w:pPr>
      <w:r>
        <w:rPr>
          <w:sz w:val="18"/>
          <w:szCs w:val="18"/>
        </w:rPr>
        <w:t xml:space="preserve">C — deployed default (holdout) — job C-holdout-20260813-083740, engine agentic, model eu.anthropic.claude-opus-4-8, case set 54ff841181b4621b</w:t>
      </w:r>
    </w:p>
    <w:p>
      <w:pPr>
        <w:pStyle w:val="ListParagraph"/>
        <w:numPr>
          <w:ilvl w:val="0"/>
          <w:numId w:val="1"/>
        </w:numPr>
        <w:spacing w:after="20" w:before="20"/>
      </w:pPr>
      <w:r>
        <w:rPr>
          <w:sz w:val="18"/>
          <w:szCs w:val="18"/>
        </w:rPr>
        <w:t xml:space="preserve">D — deployed default + calibration (holdout) — job D-20260813-091230, engine agentic, model eu.anthropic.claude-opus-4-8, case set 54ff841181b4621b</w:t>
      </w:r>
    </w:p>
    <w:p>
      <w:pPr>
        <w:pStyle w:val="ListParagraph"/>
        <w:numPr>
          <w:ilvl w:val="0"/>
          <w:numId w:val="1"/>
        </w:numPr>
        <w:spacing w:after="20" w:before="20"/>
      </w:pPr>
      <w:r>
        <w:rPr>
          <w:sz w:val="18"/>
          <w:szCs w:val="18"/>
        </w:rPr>
        <w:t xml:space="preserve">E1 — single call, GPT-5.4 (holdout) — job E1-gpt54-holdout-20261003-101017, engine chat-ui (gpt-5.4), model gpt-5.4, case set manual (see workbook)</w:t>
      </w:r>
    </w:p>
    <w:p>
      <w:pPr>
        <w:pStyle w:val="ListParagraph"/>
        <w:numPr>
          <w:ilvl w:val="0"/>
          <w:numId w:val="1"/>
        </w:numPr>
        <w:spacing w:after="20" w:before="20"/>
      </w:pPr>
      <w:r>
        <w:rPr>
          <w:sz w:val="18"/>
          <w:szCs w:val="18"/>
        </w:rPr>
        <w:t xml:space="preserve">E2 — single call, GPT-5.6 (holdout) — job E2-gpt56-holdout-20261003-101017, engine chat-ui (gpt-5.6), model gpt-5.6, case set manual (see workbook)</w:t>
      </w:r>
    </w:p>
    <w:p>
      <w:pPr>
        <w:pStyle w:val="ListParagraph"/>
        <w:numPr>
          <w:ilvl w:val="0"/>
          <w:numId w:val="1"/>
        </w:numPr>
        <w:spacing w:after="20" w:before="20"/>
      </w:pPr>
      <w:r>
        <w:rPr>
          <w:sz w:val="18"/>
          <w:szCs w:val="18"/>
        </w:rPr>
        <w:t xml:space="preserve">E3 — single call, gpt-oss-120b (holdout) — job E3-gptoss120b-holdout-20261003-163330, engine chat-ui (gpt-oss-120b), model gpt-oss-120b, case set manual (see workbook)</w:t>
      </w:r>
    </w:p>
    <w:p>
      <w:pPr>
        <w:pStyle w:val="Heading2"/>
        <w:spacing w:after="120" w:before="280"/>
      </w:pPr>
      <w:r>
        <w:t xml:space="preserve">3.2.1 The reasoning layer, not retrieval, produces usable assessments</w:t>
      </w:r>
    </w:p>
    <w:p>
      <w:pPr>
        <w:spacing w:after="80" w:before="80" w:line="300"/>
      </w:pPr>
      <w:r>
        <w:t xml:space="preserve">Configuration A isolates the GraphRAG retrieval layer. It locates roughly half the required provisions (recall 0.515, 95% CI [0.417, 0.612]) but is unusable as a screening instrument: 303 unexpected actionable findings (5.8 per campaign) and false positives on </w:t>
      </w:r>
      <w:r>
        <w:rPr>
          <w:b/>
          <w:bCs/>
        </w:rPr>
        <w:t xml:space="preserve">all seven</w:t>
      </w:r>
      <w:r>
        <w:t xml:space="preserve"> compliant controls. Its perfect stability reflects determinism, not quality. Retrieval establishes which provisions are topically related to a campaign; deciding whether a provision is actually engaged — and by this addressee, on these facts — is what the agentic layer contributes. Adding it (configuration C) nearly doubles recall, halves the over-flagging rate and takes control false positives from 7/7 to 1/7.</w:t>
      </w:r>
    </w:p>
    <w:p>
      <w:pPr>
        <w:spacing w:after="80" w:before="80" w:line="300"/>
      </w:pPr>
      <w:r>
        <w:t xml:space="preserve">Because this configuration is deterministic it also cross-checks the measurement apparatus: an independent replication executed five days later on a separate instance, scored through the command-line harness rather than the in-application runner, reproduced the deployment run exactly — identical matched, missed and unexpected provision sets, risk verdicts and control outcomes on all 52 campaigns. The two scoring paths and the two copies of the gold labels are in exact agreement.</w:t>
      </w:r>
    </w:p>
    <w:p>
      <w:pPr>
        <w:pStyle w:val="Heading2"/>
        <w:spacing w:after="120" w:before="280"/>
      </w:pPr>
      <w:r>
        <w:t xml:space="preserve">3.2.2 The deployed configuration</w:t>
      </w:r>
    </w:p>
    <w:p>
      <w:pPr>
        <w:spacing w:after="80" w:before="80" w:line="300"/>
      </w:pPr>
      <w:r>
        <w:t xml:space="preserve">Configuration C recovers 95 of 97 must-find provisions (0.979, CI [0.928, 0.994]) with complete triage recall — no gold-relevant regulation was left unrouted in any of the 52 campaigns — passes risk calibration on 51 of 52 campaigns, and returns a mean 54.7 s per campaign. Two observations deserve care.</w:t>
      </w:r>
    </w:p>
    <w:p>
      <w:pPr>
        <w:spacing w:after="80" w:before="80" w:line="300"/>
      </w:pPr>
      <w:r>
        <w:t xml:space="preserve">First, the two apparently missed provisions are a scoring artifact rather than a capability gap. Both are AI Act Article 5 prohibitions on </w:t>
      </w:r>
      <w:r>
        <w:rPr>
          <w:rFonts w:ascii="Consolas" w:cs="Consolas" w:eastAsia="Consolas" w:hAnsi="Consolas"/>
          <w:sz w:val="19"/>
          <w:szCs w:val="19"/>
        </w:rPr>
        <w:t xml:space="preserve">t3-emotion-optimized-ads</w:t>
      </w:r>
      <w:r>
        <w:t xml:space="preserve">, the benchmark's hardest campaign (a platform-side system inferring emotional state, engaging all four instruments). The first run omitted them; runs 2 and 3 cited both, correctly attributed. Scored by majority or union over the three runs, configuration C also reaches recall 1.000. We report the first-run figure as the conservative single-shot number, but the sensitivity matters: for this architecture, run-to-run variance on genuinely hard multi-instrument campaigns is a larger effect than any systematic omission.</w:t>
      </w:r>
    </w:p>
    <w:p>
      <w:pPr>
        <w:spacing w:after="80" w:before="80" w:line="300"/>
      </w:pPr>
      <w:r>
        <w:t xml:space="preserve">Second, the single control false positive is a borderline data-protection judgement rather than an over-reading of the marketing claims: the system raised lawful-basis and objection findings on a compliant campaign's e-mail programme. Configuration B produced exactly one control false positive as well, but on a </w:t>
      </w:r>
      <w:r>
        <w:rPr>
          <w:i/>
          <w:iCs/>
        </w:rPr>
        <w:t xml:space="preserve">different</w:t>
      </w:r>
      <w:r>
        <w:t xml:space="preserve"> control campaign, which indicates a general tendency to over-attach GDPR provisions wherever a campaign mentions e-mail or personalisation rather than a defect specific to one case. This is precisely the failure mode the calibration rules target (§3.2.4).</w:t>
      </w:r>
    </w:p>
    <w:p>
      <w:pPr>
        <w:pStyle w:val="Heading2"/>
        <w:spacing w:after="120" w:before="280"/>
      </w:pPr>
      <w:r>
        <w:t xml:space="preserve">3.2.3 Citation validation contributes integrity, not precision</w:t>
      </w:r>
    </w:p>
    <w:p>
      <w:pPr>
        <w:spacing w:after="80" w:before="80" w:line="300"/>
      </w:pPr>
      <w:r>
        <w:t xml:space="preserve">Configuration B disables the post-hoc validation that drops citations to unknown identifiers or to another regulation's provisions. Across all 156 analyses it produced exactly </w:t>
      </w:r>
      <w:r>
        <w:rPr>
          <w:b/>
          <w:bCs/>
        </w:rPr>
        <w:t xml:space="preserve">one</w:t>
      </w:r>
      <w:r>
        <w:t xml:space="preserve"> invalid citation: a knowledge-graph </w:t>
      </w:r>
      <w:r>
        <w:rPr>
          <w:i/>
          <w:iCs/>
        </w:rPr>
        <w:t xml:space="preserve">concept</w:t>
      </w:r>
      <w:r>
        <w:t xml:space="preserve"> node (</w:t>
      </w:r>
      <w:r>
        <w:rPr>
          <w:rFonts w:ascii="Consolas" w:cs="Consolas" w:eastAsia="Consolas" w:hAnsi="Consolas"/>
          <w:sz w:val="19"/>
          <w:szCs w:val="19"/>
        </w:rPr>
        <w:t xml:space="preserve">c-emotion-targeting</w:t>
      </w:r>
      <w:r>
        <w:t xml:space="preserve">) cited as though it were a UCPD provision. We report this as a negative result. The ablation does not show validation improving recall, precision or calibration, and the over-flagging rate is statistically indistinguishable between B and C (2.96 against 3.12 unexpected findings per campaign, within run-to-run variation). Its value is categorical rather than statistical: one fabricated legal citation in a regulator-facing report is a disproportionate failure, and the guarantee validation provides is absolute rather than probabilistic.</w:t>
      </w:r>
    </w:p>
    <w:p>
      <w:pPr>
        <w:spacing w:after="80" w:before="80" w:line="300"/>
      </w:pPr>
      <w:r>
        <w:t xml:space="preserve">Configuration E sharpens the interpretation considerably. Across </w:t>
      </w:r>
      <w:r>
        <w:rPr>
          <w:b/>
          <w:bCs/>
        </w:rPr>
        <w:t xml:space="preserve">309 scored external-model runs spanning three models — two proprietary and one open-weights — not one invalid citation was produced</w:t>
      </w:r>
      <w:r>
        <w:t xml:space="preserve">: no invented identifier, no provision attributed to the wrong instrument. The constraint that does the work is therefore the </w:t>
      </w:r>
      <w:r>
        <w:rPr>
          <w:i/>
          <w:iCs/>
        </w:rPr>
        <w:t xml:space="preserve">closed vocabulary supplied in the prompt</w:t>
      </w:r>
      <w:r>
        <w:t xml:space="preserve">, not the agentic loop and not the post-hoc validator. Given an explicit, enumerated set of citable provisions, four models across three families stayed inside it, and the one open-weights model did so despite being the weakest performer on every other metric in Table 1. This is the strongest available evidence for the architectural claim of Section 1 — that hallucination resistance is a property of the closed-world citation design rather than of any particular model — and it is evidence the single-model experiments could not have provided. The post-hoc validator remains justified as a cheap backstop for the rare lapse and for the concept-node confusion configuration B exposed, but it should be presented as defence in depth, not as the mechanism.</w:t>
      </w:r>
    </w:p>
    <w:p>
      <w:pPr>
        <w:pStyle w:val="Heading2"/>
        <w:spacing w:after="120" w:before="280"/>
      </w:pPr>
      <w:r>
        <w:t xml:space="preserve">3.2.4 Calibration transfers to unseen campaigns</w:t>
      </w:r>
    </w:p>
    <w:p>
      <w:pPr>
        <w:spacing w:after="80" w:before="80" w:line="300"/>
      </w:pPr>
      <w:r>
        <w:t xml:space="preserve">Configuration D is the study's clearest result. On the 15 held-out campaigns, injecting the 15 human-approved calibration rules reduced unexpected actionable findings from </w:t>
      </w:r>
      <w:r>
        <w:rPr>
          <w:b/>
          <w:bCs/>
        </w:rPr>
        <w:t xml:space="preserve">44 to 5</w:t>
      </w:r>
      <w:r>
        <w:t xml:space="preserve"> — an 88.6% reduction, from 2.93 to 0.33 per campaign — while recall remained at 1.000, both controls remained clean, risk calibration remained 15/15 and run-to-run stability </w:t>
      </w:r>
      <w:r>
        <w:rPr>
          <w:i/>
          <w:iCs/>
        </w:rPr>
        <w:t xml:space="preserve">improved</w:t>
      </w:r>
      <w:r>
        <w:t xml:space="preserve"> from 0.745 to 0.833.</w:t>
      </w:r>
    </w:p>
    <w:p>
      <w:pPr>
        <w:spacing w:after="80" w:before="80" w:line="300"/>
      </w:pPr>
      <w:r>
        <w:t xml:space="preserve">The effect is statistically unambiguous despite the modest sample. Paired by campaign, 11 of 15 campaigns improved, </w:t>
      </w:r>
      <w:r>
        <w:rPr>
          <w:b/>
          <w:bCs/>
        </w:rPr>
        <w:t xml:space="preserve">none worsened</w:t>
      </w:r>
      <w:r>
        <w:t xml:space="preserve"> and 4 were unchanged; the mean reduction is 2.6 unexpected findings per campaign (bootstrap 95% CI [1.33, 4.07]; exact Wilcoxon signed-rank W = 0, two-sided p = 0.00098).</w:t>
      </w:r>
    </w:p>
    <w:p>
      <w:pPr>
        <w:spacing w:after="80" w:before="80" w:line="300"/>
      </w:pPr>
      <w:r>
        <w:t xml:space="preserve">A citation-level comparison shows the mechanism is the intended one: 39 unexpected citations were removed, </w:t>
      </w:r>
      <w:r>
        <w:rPr>
          <w:b/>
          <w:bCs/>
        </w:rPr>
        <w:t xml:space="preserve">none were added, and no must-find provision was lost</w:t>
      </w:r>
      <w:r>
        <w:t xml:space="preserve">. The removals track the content of the rules rather than being diffuse suppression — 12 DSA platform-obligation citations withdrawn from advertiser-side campaigns, 12 GDPR citations withdrawn where the record showed no processing or consent defect, 9 UCPD citations of which 8 were general clauses eliminated where a specific blacklist item already captured the conduct, and 6 AI Act citations withdrawn where no AI system was actually deployed. The most pronounced case, an advertisement impersonating an official government notice, fell from 11 unexpected citations to 1.</w:t>
      </w:r>
    </w:p>
    <w:p>
      <w:pPr>
        <w:spacing w:after="80" w:before="80" w:line="300"/>
      </w:pPr>
      <w:r>
        <w:t xml:space="preserve">Two aspects make this more than a prompt-engineering result. The rules were distilled only from deviations observed on the 37 calibration-visible campaigns, and the 15 evaluation campaigns were designated before any rule was written, so the improvement measures transfer to unseen campaigns rather than fitting. And the rules are general legal principles about scope, addressee and specificity that never reference a campaign, a brand or a benchmark answer, so what improves is the system's doctrinal discipline rather than its memory of the test set.</w:t>
      </w:r>
    </w:p>
    <w:p>
      <w:pPr>
        <w:spacing w:after="80" w:before="80" w:line="300"/>
      </w:pPr>
      <w:r>
        <w:t xml:space="preserve">The five surviving unexpected citations are defensible-but-unrequired readings rather than errors of law (for instance consent-quality provisions on an aggressive retargeting programme) and are candidates for reclassification as defensible extras; §3.3 explains why that judgement is deferred to the second annotator rather than made by the authors.</w:t>
      </w:r>
    </w:p>
    <w:p>
      <w:pPr>
        <w:pStyle w:val="Heading2"/>
        <w:spacing w:after="120" w:before="280"/>
      </w:pPr>
      <w:r>
        <w:t xml:space="preserve">3.2.5 External models: what is architecture and what is model</w:t>
      </w:r>
    </w:p>
    <w:p>
      <w:pPr>
        <w:spacing w:after="80" w:before="80" w:line="300"/>
      </w:pPr>
      <w:r>
        <w:t xml:space="preserve">Configurations E1–E3 place three further models against the same gold set, under the same closed vocabulary and the same scoring rules, but in a single call rather than the agentic pipeline: two proprietary frontier models from a different vendor (GPT-5.4, GPT-5.6) and one open-weights model (gpt-oss-120b).</w:t>
      </w:r>
    </w:p>
    <w:p>
      <w:pPr>
        <w:spacing w:after="80" w:before="80" w:line="300"/>
      </w:pPr>
      <w:r>
        <w:rPr>
          <w:b/>
          <w:bCs/>
        </w:rPr>
        <w:t xml:space="preserve">The agentic pipeline's advantage is recall, and it is large and significant.</w:t>
      </w:r>
      <w:r>
        <w:t xml:space="preserve"> Configuration C found 95 of 97 must-find provisions; GPT-5.4 found 80 (0.825, CI [0.737, 0.888]), GPT-5.6 found 74 (0.763, CI [0.669, 0.836]) and gpt-oss-120b found 59 (0.608, CI [0.509, 0.699]). The comparison is near-dominant rather than merely favourable: paired over must-find outcomes, 15 provisions were found only by configuration C and none only by GPT-5.4 (exact McNemar p = 6.1 × 10⁻⁵); against GPT-5.6, 22 only by configuration C and 1 only by the external model (p = 5.7 × 10⁻⁶); against gpt-oss-120b, 37 only by configuration C and 1 only by the external model (p = 2.8 × 10⁻¹⁰). On the harder held-out split the gap widens, to 0.615, 0.692 and 0.538 against 1.000.</w:t>
      </w:r>
    </w:p>
    <w:p>
      <w:pPr>
        <w:spacing w:after="80" w:before="80" w:line="300"/>
      </w:pPr>
      <w:r>
        <w:rPr>
          <w:b/>
          <w:bCs/>
        </w:rPr>
        <w:t xml:space="preserve">The single-call baselines are, however, markedly more conservative.</w:t>
      </w:r>
      <w:r>
        <w:t xml:space="preserve"> GPT-5.4 produced 1.65 unexpected actionable findings per campaign and GPT-5.6 only 0.23 — against 3.12 for configuration C — and both achieved 0/7 on the compliant controls, where configuration C recorded one false positive. Read alone, that looks like a precision win for the simpler architecture. Read against configuration D it is not: calibrated configuration D reaches 0.33 unexpected findings per campaign on the held-out split </w:t>
      </w:r>
      <w:r>
        <w:rPr>
          <w:b/>
          <w:bCs/>
        </w:rPr>
        <w:t xml:space="preserve">while keeping recall at 1.000</w:t>
      </w:r>
      <w:r>
        <w:t xml:space="preserve">, whereas GPT-5.6 reaches a comparable 0.27 only by forgoing 31% of the must-find provisions. The calibration loop therefore delivers the precision of the conservative baseline without its recall cost, which is the central practical argument for the regulator-in-the-loop design.</w:t>
      </w:r>
    </w:p>
    <w:p>
      <w:pPr>
        <w:spacing w:after="80" w:before="80" w:line="300"/>
      </w:pPr>
      <w:r>
        <w:rPr>
          <w:b/>
          <w:bCs/>
        </w:rPr>
        <w:t xml:space="preserve">The open-weights model separates two claims that the proprietary models left entangled.</w:t>
      </w:r>
      <w:r>
        <w:t xml:space="preserve"> gpt-oss-120b honoured the closed vocabulary perfectly (zero invalid citations in 104 runs) yet failed at screening in every other respect: recall 0.608, 2.40 unexpected findings per campaign, the lowest stability in the study (0.550), and — most damaging for an enforcement instrument — false positives on </w:t>
      </w:r>
      <w:r>
        <w:rPr>
          <w:b/>
          <w:bCs/>
        </w:rPr>
        <w:t xml:space="preserve">six of seven</w:t>
      </w:r>
      <w:r>
        <w:t xml:space="preserve"> compliant controls, a control-discipline failure close to the retrieval-only baseline's 7/7. The distinction this licenses is worth stating precisely, because it is the honest answer to the model-agnosticism question: the </w:t>
      </w:r>
      <w:r>
        <w:rPr>
          <w:i/>
          <w:iCs/>
        </w:rPr>
        <w:t xml:space="preserve">citation-integrity</w:t>
      </w:r>
      <w:r>
        <w:t xml:space="preserve"> property of the architecture is model-agnostic, holding even on a weak open-weights model, whereas </w:t>
      </w:r>
      <w:r>
        <w:rPr>
          <w:i/>
          <w:iCs/>
        </w:rPr>
        <w:t xml:space="preserve">screening quality</w:t>
      </w:r>
      <w:r>
        <w:t xml:space="preserve"> is not. A deployment can inherit the guarantee that no fabricated legal anchor reaches a report without inheriting usable recall or usable precision; capability still has to be bought.</w:t>
      </w:r>
    </w:p>
    <w:p>
      <w:pPr>
        <w:spacing w:after="80" w:before="80" w:line="300"/>
      </w:pPr>
      <w:r>
        <w:t xml:space="preserve">Severity judgement also separates the configurations: risk calibration passes 51/52 for configuration C against 47/52, 43/52 and 45/52 for the external models, and 15/15 against 12/15, 10/15 and 13/15 on the held-out split — the single-call models under-rate severity on campaigns they do flag.</w:t>
      </w:r>
    </w:p>
    <w:p>
      <w:pPr>
        <w:spacing w:after="80" w:before="80" w:line="300"/>
      </w:pPr>
      <w:r>
        <w:rPr>
          <w:b/>
          <w:bCs/>
        </w:rPr>
        <w:t xml:space="preserve">The blind spots are systematic and relevant to this venue.</w:t>
      </w:r>
      <w:r>
        <w:t xml:space="preserve"> Twelve must-find provisions were missed by </w:t>
      </w:r>
      <w:r>
        <w:rPr>
          <w:i/>
          <w:iCs/>
        </w:rPr>
        <w:t xml:space="preserve">both</w:t>
      </w:r>
      <w:r>
        <w:t xml:space="preserve"> proprietary external models yet found by configuration C. Five of those twelve are synthetic-media provisions — UCPD Annex I point 23c (fake endorsement) and AI Act Article 50(2) (synthetic-content marking) — and they account for every AI-media campaign in the set: the cloned-voice radio spot, the AI-retouched cosmetics campaign, the deepfake physician endorsement and the virtual influencer. Three more cluster on </w:t>
      </w:r>
      <w:r>
        <w:rPr>
          <w:rFonts w:ascii="Consolas" w:cs="Consolas" w:eastAsia="Consolas" w:hAnsi="Consolas"/>
          <w:sz w:val="19"/>
          <w:szCs w:val="19"/>
        </w:rPr>
        <w:t xml:space="preserve">t3-emotion-optimized-ads</w:t>
      </w:r>
      <w:r>
        <w:t xml:space="preserve">, the four-instrument platform case. Per instrument, external recall falls furthest on the two newest instruments: DSA (3/6, 4/6 and 3/6 against 6/6) and the AI Act (4/8, 5/8 and 5/8 against 6/8), while UCPD recall holds up better (51/59, 46/59 and 39/59 against 59/59). The reading we offer is that single-pass assessment handles well-established consumer-protection doctrine reasonably but under-detects the AI- and platform-specific obligations that require connecting a campaign's technical description to a recent provision — exactly where graph-grounded retrieval and multi-turn investigation contribute most, and exactly the content types that motivate this work.</w:t>
      </w:r>
    </w:p>
    <w:p>
      <w:pPr>
        <w:spacing w:after="80" w:before="80" w:line="300"/>
      </w:pPr>
      <w:r>
        <w:rPr>
          <w:b/>
          <w:bCs/>
        </w:rPr>
        <w:t xml:space="preserve">Two caveats bound these comparisons.</w:t>
      </w:r>
      <w:r>
        <w:t xml:space="preserve"> First, configuration E changes architecture and model family together, so the recall gap cannot be attributed to the model alone; isolating that factor requires running the full pipeline on a different model, which needs programmatic access the GPT@EC interface does not offer. Second, configuration E ran two repetitions per campaign against three for configurations A–D, so its stability figures (0.653, 0.775 and 0.550) rest on a single pair per campaign.</w:t>
      </w:r>
    </w:p>
    <w:p>
      <w:pPr>
        <w:pStyle w:val="Heading2"/>
        <w:spacing w:after="120" w:before="280"/>
      </w:pPr>
      <w:r>
        <w:t xml:space="preserve">3.2.6 Throughput, cost and reviewer workload at scale</w:t>
      </w:r>
    </w:p>
    <w:p>
      <w:pPr>
        <w:spacing w:after="80" w:before="80" w:line="300"/>
      </w:pPr>
      <w:r>
        <w:t xml:space="preserve">Configuration C's measured mean latency is 54.7 s per campaign (configuration D, 52.5 s), with per-campaign latency ranging from 35.8 s to 72.9 s. Because campaigns are independent, throughput scales with concurrency rather than with corpus size: at the deliberately conservative concurrency of 2 used for these runs, a 10,000-campaign sweep would take roughly 76 hours of wall-clock time, and at concurrency 10 roughly 15 hours — within the horizon of a coordinated CPC sweep, which typically runs over weeks. Inference cost is of the order of a few tens of euro-cents per campaign at the provider's published rates for the model used, so the same sweep costs a few thousand euro: material, but small beside the human effort it triages.</w:t>
      </w:r>
    </w:p>
    <w:p>
      <w:pPr>
        <w:spacing w:after="80" w:before="80" w:line="300"/>
      </w:pPr>
      <w:r>
        <w:t xml:space="preserve">The more instructive scaling quantity is </w:t>
      </w:r>
      <w:r>
        <w:rPr>
          <w:b/>
          <w:bCs/>
        </w:rPr>
        <w:t xml:space="preserve">reviewer workload</w:t>
      </w:r>
      <w:r>
        <w:t xml:space="preserve">, which the calibration loop changes by an order of magnitude. Uncalibrated, configuration C emits 3.12 unexpected actionable findings per campaign, each of which a human must adjudicate as either an engine error or a gold-label gap; across 10,000 campaigns that is on the order of 31,000 review items. Calibrated, the rate on unseen campaigns is 0.33 per campaign — on the order of 3,300 items, with 41 of 52 campaigns in the most conservative configuration returning no unexpected finding at all. Since the rules are written once and apply to every subsequent campaign, the human cost of calibration is fixed while its benefit scales linearly with the corpus. That asymmetry, rather than raw latency, is what makes the design plausible for authority-scale screening.</w:t>
      </w:r>
    </w:p>
    <w:p>
      <w:pPr>
        <w:spacing w:after="80" w:before="80" w:line="300"/>
      </w:pPr>
      <w:r>
        <w:t xml:space="preserve">Two limits on this extrapolation should be stated. The benchmark campaigns are compact textual briefs; authentic scraped material is longer and noisier, which will raise both latency and the deviation rate. And no claim is made that calibration rules distilled from 37 campaigns suffice for a corpus three orders of magnitude larger: the loop is designed to continue, with new rules proposed as new error patterns appear, and the honest expectation is a decaying but non-zero rule-authoring workload as coverage broadens.</w:t>
      </w:r>
    </w:p>
    <w:p>
      <w:pPr>
        <w:pStyle w:val="Heading2"/>
        <w:spacing w:after="120" w:before="280"/>
      </w:pPr>
      <w:r>
        <w:t xml:space="preserve">3.3 Threats to validity</w:t>
      </w:r>
    </w:p>
    <w:p>
      <w:pPr>
        <w:spacing w:after="80" w:before="80" w:line="300"/>
      </w:pPr>
      <w:r>
        <w:rPr>
          <w:b/>
          <w:bCs/>
        </w:rPr>
        <w:t xml:space="preserve">Single-annotator gold labels.</w:t>
      </w:r>
      <w:r>
        <w:t xml:space="preserve"> The gold labels were drafted with model assistance and reviewed by one domain expert, who is also an author of this paper and who approved the calibration rules. Inter-annotator agreement is not yet measured, so residual unexpected citations may conflate engine error with label incompleteness, and the independence of the transfer claim in §3.2.4 rests on one person's judgement. A second annotation pass is specified and tooled: a second qualified annotator labels the full set (or a stratified sample) through the benchmark interface; agreement is reported as percentage agreement and Cohen's κ on the compliant/violating decision, per-provision precision and recall of the second annotator against the first with defensible-extras treated as agreement-neutral, and agreement within one level on minimum risk; disagreements are adjudicated jointly. Because every raw engine output is stored, revised labels are applied by re-scoring without any re-running of inference, so the reported configurations can all be updated against the corrected gold at no inference cost. The five surviving unexpected citations in configuration D are deliberately left unreclassified until that pass, so that the authors do not adjudicate their own system's residual errors.</w:t>
      </w:r>
    </w:p>
    <w:p>
      <w:pPr>
        <w:spacing w:after="80" w:before="80" w:line="300"/>
      </w:pPr>
      <w:r>
        <w:rPr>
          <w:b/>
          <w:bCs/>
        </w:rPr>
        <w:t xml:space="preserve">Model and provider coverage.</w:t>
      </w:r>
      <w:r>
        <w:t xml:space="preserve"> Configurations A–D use one model from one provider; configuration E adds three further models, including one with open weights, but only in the single-call architecture. The claim that the architecture is model-agnostic is therefore established for the closed-world citation property — which held across four models and three families, 309 external runs, without a single invalid citation — and explicitly </w:t>
      </w:r>
      <w:r>
        <w:rPr>
          <w:i/>
          <w:iCs/>
        </w:rPr>
        <w:t xml:space="preserve">not</w:t>
      </w:r>
      <w:r>
        <w:t xml:space="preserve"> claimed for screening quality, which varied by a factor of 1.6 in recall and by 6/7 against 0/7 in control false positives across those same models. What remains untested is the agentic pipeline itself on a non-Claude model; that requires programmatic access and a per-job model override in the evaluation runner, and is the natural next experiment.</w:t>
      </w:r>
    </w:p>
    <w:p>
      <w:pPr>
        <w:spacing w:after="80" w:before="80" w:line="300"/>
      </w:pPr>
      <w:r>
        <w:rPr>
          <w:b/>
          <w:bCs/>
        </w:rPr>
        <w:t xml:space="preserve">Benchmark scale and provenance.</w:t>
      </w:r>
      <w:r>
        <w:t xml:space="preserve"> The frozen benchmark contains 52 campaigns with 15 held out. Tier-1 campaigns are inspired by real enforcement actions, but all campaigns are synthetic reconstructions rather than sampled live advertising, so external validity to noisy authentic material remains open. The held-out panel is small enough that recall intervals are wide (1.000 on 26 must-find provisions has a 95% lower bound of 0.871). A further constraint now binds: configurations C and D both score 1.000 on the holdout, so the benchmark has no remaining recall headroom to measure improvement on. Expanding the set — towards roughly 100 campaigns with a 30-campaign holdout, weighted towards multi-instrument and platform-side cases — is therefore necessary for the metric to stay informative, independent of the sample-size argument.</w:t>
      </w:r>
    </w:p>
    <w:p>
      <w:pPr>
        <w:spacing w:after="80" w:before="80" w:line="300"/>
      </w:pPr>
      <w:r>
        <w:rPr>
          <w:b/>
          <w:bCs/>
        </w:rPr>
        <w:t xml:space="preserve">Modality.</w:t>
      </w:r>
      <w:r>
        <w:t xml:space="preserve"> The present system reasons over textual, contextual and provenance representations of campaigns, including spoken transcripts for retrieved video, and not over image pixels, video frames or acoustic signals. Violations carried solely in the visual or audio channel — an illegible on-screen disclaimer, a superimposed claim absent from the transcript, child-appealing visual styling under neutral copy — are therefore outside its present reach. This is a boundary of the current deployment rather than of the architecture, since the specialist agents' inputs are model-native and the graph-grounded citation mechanism is modality-independent; §4 sets out the extension.</w:t>
      </w:r>
    </w:p>
    <w:p>
      <w:pPr>
        <w:spacing w:after="80" w:before="80" w:line="300"/>
      </w:pPr>
      <w:r>
        <w:rPr>
          <w:b/>
          <w:bCs/>
        </w:rPr>
        <w:t xml:space="preserve">First-run scoring and incomplete repetitions.</w:t>
      </w:r>
      <w:r>
        <w:t xml:space="preserve"> Point metrics other than stability use the first of up to three runs, for the reasons given in §3.1; majority or union scoring would raise configuration C's recall from 0.979 to 1.000. Configurations C (full) and C (holdout) each lost one or two case-runs to transient infrastructure errors (154/156 and 44/45 completed), with every campaign retaining at least two scored runs. In configuration E1, three of 104 recorded answers could not be attributed to a campaign with certainty, because replies for several campaigns had been pasted into one cell during manual transcription; those runs were excluded rather than scored, leaving 101 of 104. Manual transcription is an error channel the automated configurations do not have, and it is a reason to prefer programmatic access wherever a provider offers it.</w:t>
      </w:r>
    </w:p>
    <w:p>
      <w:pPr>
        <w:spacing w:after="80" w:before="80" w:line="300"/>
      </w:pPr>
      <w:r>
        <w:rPr>
          <w:b/>
          <w:bCs/>
        </w:rPr>
        <w:t xml:space="preserve">Calibration contamination and shared blind spots.</w:t>
      </w:r>
      <w:r>
        <w:t xml:space="preserve"> The held-out split was designated before calibration-rule writing and excluded from rule distillation, which materially strengthens the transfer claim. It does not establish independence from the benchmark design or from the base model: rules were distilled by, and adjudication assisted by, the same model family under evaluation, so a shared blind spot would be invisible to this procedure. Configuration E provides partial reassurance — an external model family independently reproduced the addressee error the DSA rule was written to correct, citing a platform obligation against an advertiser while explicitly noting in its own rationale that the obligation binds platform providers — which suggests the rules encode a general doctrinal weakness rather than a quirk of one model.</w:t>
      </w:r>
    </w:p>
    <w:p>
      <w:pPr>
        <w:spacing w:after="80" w:before="80" w:line="300"/>
      </w:pPr>
      <w:r>
        <w:rPr>
          <w:b/>
          <w:bCs/>
        </w:rPr>
        <w:t xml:space="preserve">Jurisdictional scope.</w:t>
      </w:r>
      <w:r>
        <w:t xml:space="preserve"> The legal graph covers four EU-level instruments. National transpositions of the UCPD, sector-specific advertising rules (medicinal products, financial promotions, food and health claims, audiovisual media services) and Member State supervisory practice are outside it. A campaign screened as raising no concern against this corpus is therefore not thereby compliant in any Member State, and the system's output must not be read as a jurisdictional clearance. The benchmark's gold labels share this boundary: provisions outside the four instruments are deliberately absent from the must-find sets even where they would apply in practice, which the annotation guidance records explicitly.</w:t>
      </w:r>
    </w:p>
    <w:p>
      <w:pPr>
        <w:pStyle w:val="Heading2"/>
        <w:spacing w:after="120" w:before="280"/>
      </w:pPr>
      <w:r>
        <w:t xml:space="preserve">Reproducibility statement</w:t>
      </w:r>
    </w:p>
    <w:p>
      <w:pPr>
        <w:spacing w:after="80" w:before="80" w:line="300"/>
      </w:pPr>
      <w:r>
        <w:t xml:space="preserve">Every reported number derives from an archived artifact. For each configuration, </w:t>
      </w:r>
      <w:r>
        <w:rPr>
          <w:rFonts w:ascii="Consolas" w:cs="Consolas" w:eastAsia="Consolas" w:hAnsi="Consolas"/>
          <w:sz w:val="19"/>
          <w:szCs w:val="19"/>
        </w:rPr>
        <w:t xml:space="preserve">bench/results/</w:t>
      </w:r>
      <w:r>
        <w:t xml:space="preserve"> holds the scorecard, the machine-readable per-campaign results and the raw engine outputs; Table 1 is generated from those files by </w:t>
      </w:r>
      <w:r>
        <w:rPr>
          <w:rFonts w:ascii="Consolas" w:cs="Consolas" w:eastAsia="Consolas" w:hAnsi="Consolas"/>
          <w:sz w:val="19"/>
          <w:szCs w:val="19"/>
        </w:rPr>
        <w:t xml:space="preserve">bench/make_table1.py</w:t>
      </w:r>
      <w:r>
        <w:t xml:space="preserve"> and the interval and significance estimates by </w:t>
      </w:r>
      <w:r>
        <w:rPr>
          <w:rFonts w:ascii="Consolas" w:cs="Consolas" w:eastAsia="Consolas" w:hAnsi="Consolas"/>
          <w:sz w:val="19"/>
          <w:szCs w:val="19"/>
        </w:rPr>
        <w:t xml:space="preserve">bench/make_stats.py</w:t>
      </w:r>
      <w:r>
        <w:t xml:space="preserve">. Re-scoring a stored run against revised labels requires no inference (</w:t>
      </w:r>
      <w:r>
        <w:rPr>
          <w:rFonts w:ascii="Consolas" w:cs="Consolas" w:eastAsia="Consolas" w:hAnsi="Consolas"/>
          <w:sz w:val="19"/>
          <w:szCs w:val="19"/>
        </w:rPr>
        <w:t xml:space="preserve">python bench/run.py --rescore bench/results/&lt;job&gt;-reports.jsonl</w:t>
      </w:r>
      <w:r>
        <w:t xml:space="preserve">). The gold set, the held-out split, the approved calibration rules, the knowledge graph, the agent prompts and the evaluation harness are all versioned; each result file records the model identifier and a hash of the case set it was scored against. The manual evaluation of configuration E is reproducible from the distributed workbook (</w:t>
      </w:r>
      <w:r>
        <w:rPr>
          <w:rFonts w:ascii="Consolas" w:cs="Consolas" w:eastAsia="Consolas" w:hAnsi="Consolas"/>
          <w:sz w:val="19"/>
          <w:szCs w:val="19"/>
        </w:rPr>
        <w:t xml:space="preserve">bench/gptec-evaluation.xlsx</w:t>
      </w:r>
      <w:r>
        <w:t xml:space="preserve">), which carries the per-campaign prompts, and the completed workbook with all 208 transcribed answers is archived alongside the results (</w:t>
      </w:r>
      <w:r>
        <w:rPr>
          <w:rFonts w:ascii="Consolas" w:cs="Consolas" w:eastAsia="Consolas" w:hAnsi="Consolas"/>
          <w:sz w:val="19"/>
          <w:szCs w:val="19"/>
        </w:rPr>
        <w:t xml:space="preserve">bench/gptec-evaluation-completed.xlsx</w:t>
      </w:r>
      <w:r>
        <w:t xml:space="preserv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2026-10-03T16:35:21.830Z</dcterms:created>
  <dcterms:modified xsi:type="dcterms:W3CDTF">2026-10-03T16:35:21.843Z</dcterms:modified>
</cp:coreProperties>
</file>

<file path=docProps/custom.xml><?xml version="1.0" encoding="utf-8"?>
<Properties xmlns="http://schemas.openxmlformats.org/officeDocument/2006/custom-properties" xmlns:vt="http://schemas.openxmlformats.org/officeDocument/2006/docPropsVTypes"/>
</file>