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ff"/>
          <w:sz w:val="24"/>
          <w:szCs w:val="24"/>
        </w:rPr>
      </w:pPr>
      <w:r w:rsidDel="00000000" w:rsidR="00000000" w:rsidRPr="00000000">
        <w:rPr>
          <w:color w:val="ff00ff"/>
          <w:sz w:val="24"/>
          <w:szCs w:val="24"/>
          <w:rtl w:val="0"/>
        </w:rPr>
        <w:t xml:space="preserve">Flask :</w:t>
      </w:r>
    </w:p>
    <w:p w:rsidR="00000000" w:rsidDel="00000000" w:rsidP="00000000" w:rsidRDefault="00000000" w:rsidRPr="00000000" w14:paraId="00000002">
      <w:pPr>
        <w:rPr/>
      </w:pPr>
      <w:r w:rsidDel="00000000" w:rsidR="00000000" w:rsidRPr="00000000">
        <w:rPr>
          <w:rtl w:val="0"/>
        </w:rPr>
        <w:t xml:space="preserve">Flask est un micro framework open-source de développement web en Python. Il est classé comme microframework car il est très léger. Flask a pour objectif de garder un noyau simple mais extensible. Il n'intègre pas de système d'authentification, pas de couche d'abstraction de base de données, ni d'outil de validation de formulaires. Cependant, de nombreuses extensions permettent d'ajouter facilement des fonctionnalités.</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