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projet : migration de l'entrepôt de données</w:t>
      </w:r>
    </w:p>
    <w:p>
      <w:r>
        <w:t>Auteur : équipe Data Platform — Date : 12 juin 2025</w:t>
      </w:r>
    </w:p>
    <w:p>
      <w:pPr>
        <w:pStyle w:val="Heading2"/>
      </w:pPr>
      <w:r>
        <w:t>Résumé</w:t>
      </w:r>
    </w:p>
    <w:p>
      <w:r>
        <w:t>Ce rapport présente l'avancement du projet Atlas, qui consiste à migrer l'entrepôt de données historique, hébergé sur des serveurs internes, vers une plateforme cloud. Le projet a démarré le 6 janvier 2025 et la mise en production est prévue pour le 30 septembre 2025. À ce jour, 62 % des tables ont été migrées et validées.</w:t>
      </w:r>
    </w:p>
    <w:p>
      <w:pPr>
        <w:pStyle w:val="Heading2"/>
      </w:pPr>
      <w:r>
        <w:t>Objectifs</w:t>
      </w:r>
    </w:p>
    <w:p>
      <w:r>
        <w:t>Le premier objectif est de réduire le temps d'exécution des traitements nocturnes, qui dure actuellement sept heures, à moins de deux heures. Le deuxième objectif est de diminuer les coûts d'infrastructure de 25 % sur trois ans. Le troisième objectif est de permettre aux analystes d'accéder aux données de la veille dès 7 h du matin, contre 11 h aujourd'hui.</w:t>
      </w:r>
    </w:p>
    <w:p>
      <w:pPr>
        <w:pStyle w:val="Heading2"/>
      </w:pPr>
      <w:r>
        <w:t>Budget</w:t>
      </w:r>
    </w:p>
    <w:p>
      <w:r>
        <w:t>Le budget total approuvé est de 480 000 euros. Au 31 mai 2025, 291 000 euros ont été dépensés, principalement en licences et en prestations de conseil. Le détail par poste figure dans le tableau ci-dessous.</w:t>
      </w:r>
    </w:p>
    <w:tbl>
      <w:tblPr>
        <w:tblStyle w:val="TableGrid"/>
        <w:tblW w:type="auto" w:w="0"/>
        <w:tblLook w:firstColumn="1" w:firstRow="1" w:lastColumn="0" w:lastRow="0" w:noHBand="0" w:noVBand="1" w:val="04A0"/>
      </w:tblPr>
      <w:tblGrid>
        <w:gridCol w:w="2880"/>
        <w:gridCol w:w="2880"/>
        <w:gridCol w:w="2880"/>
      </w:tblGrid>
      <w:tr>
        <w:tc>
          <w:tcPr>
            <w:tcW w:type="dxa" w:w="2880"/>
          </w:tcPr>
          <w:p>
            <w:r>
              <w:t>Poste</w:t>
            </w:r>
          </w:p>
        </w:tc>
        <w:tc>
          <w:tcPr>
            <w:tcW w:type="dxa" w:w="2880"/>
          </w:tcPr>
          <w:p>
            <w:r>
              <w:t>Budget (euros)</w:t>
            </w:r>
          </w:p>
        </w:tc>
        <w:tc>
          <w:tcPr>
            <w:tcW w:type="dxa" w:w="2880"/>
          </w:tcPr>
          <w:p>
            <w:r>
              <w:t>Dépensé (euros)</w:t>
            </w:r>
          </w:p>
        </w:tc>
      </w:tr>
      <w:tr>
        <w:tc>
          <w:tcPr>
            <w:tcW w:type="dxa" w:w="2880"/>
          </w:tcPr>
          <w:p>
            <w:r>
              <w:t>Licences cloud</w:t>
            </w:r>
          </w:p>
        </w:tc>
        <w:tc>
          <w:tcPr>
            <w:tcW w:type="dxa" w:w="2880"/>
          </w:tcPr>
          <w:p>
            <w:r>
              <w:t>190 000</w:t>
            </w:r>
          </w:p>
        </w:tc>
        <w:tc>
          <w:tcPr>
            <w:tcW w:type="dxa" w:w="2880"/>
          </w:tcPr>
          <w:p>
            <w:r>
              <w:t>121 000</w:t>
            </w:r>
          </w:p>
        </w:tc>
      </w:tr>
      <w:tr>
        <w:tc>
          <w:tcPr>
            <w:tcW w:type="dxa" w:w="2880"/>
          </w:tcPr>
          <w:p>
            <w:r>
              <w:t>Conseil externe</w:t>
            </w:r>
          </w:p>
        </w:tc>
        <w:tc>
          <w:tcPr>
            <w:tcW w:type="dxa" w:w="2880"/>
          </w:tcPr>
          <w:p>
            <w:r>
              <w:t>150 000</w:t>
            </w:r>
          </w:p>
        </w:tc>
        <w:tc>
          <w:tcPr>
            <w:tcW w:type="dxa" w:w="2880"/>
          </w:tcPr>
          <w:p>
            <w:r>
              <w:t>110 000</w:t>
            </w:r>
          </w:p>
        </w:tc>
      </w:tr>
      <w:tr>
        <w:tc>
          <w:tcPr>
            <w:tcW w:type="dxa" w:w="2880"/>
          </w:tcPr>
          <w:p>
            <w:r>
              <w:t>Formation</w:t>
            </w:r>
          </w:p>
        </w:tc>
        <w:tc>
          <w:tcPr>
            <w:tcW w:type="dxa" w:w="2880"/>
          </w:tcPr>
          <w:p>
            <w:r>
              <w:t>40 000</w:t>
            </w:r>
          </w:p>
        </w:tc>
        <w:tc>
          <w:tcPr>
            <w:tcW w:type="dxa" w:w="2880"/>
          </w:tcPr>
          <w:p>
            <w:r>
              <w:t>18 000</w:t>
            </w:r>
          </w:p>
        </w:tc>
      </w:tr>
      <w:tr>
        <w:tc>
          <w:tcPr>
            <w:tcW w:type="dxa" w:w="2880"/>
          </w:tcPr>
          <w:p>
            <w:r>
              <w:t>Réserve pour imprévus</w:t>
            </w:r>
          </w:p>
        </w:tc>
        <w:tc>
          <w:tcPr>
            <w:tcW w:type="dxa" w:w="2880"/>
          </w:tcPr>
          <w:p>
            <w:r>
              <w:t>100 000</w:t>
            </w:r>
          </w:p>
        </w:tc>
        <w:tc>
          <w:tcPr>
            <w:tcW w:type="dxa" w:w="2880"/>
          </w:tcPr>
          <w:p>
            <w:r>
              <w:t>42 000</w:t>
            </w:r>
          </w:p>
        </w:tc>
      </w:tr>
    </w:tbl>
    <w:p>
      <w:pPr>
        <w:pStyle w:val="Heading2"/>
      </w:pPr>
      <w:r>
        <w:t>Équipe</w:t>
      </w:r>
    </w:p>
    <w:p>
      <w:r>
        <w:t>L'équipe projet compte huit personnes : une cheffe de projet, Claire Dumont, quatre ingénieurs de données, deux analystes et un architecte cloud, Karim Benali. Le comité de pilotage se réunit le premier lundi de chaque mois.</w:t>
      </w:r>
    </w:p>
    <w:p>
      <w:pPr>
        <w:pStyle w:val="Heading2"/>
      </w:pPr>
      <w:r>
        <w:t>Risques</w:t>
      </w:r>
    </w:p>
    <w:p>
      <w:r>
        <w:t>Le risque principal concerne la qualité des données : 14 tables présentent des écarts entre l'ancien et le nouveau système, liés à des différences d'arrondi et de fuseaux horaires. Un deuxième risque est la dépendance à un seul prestataire pour la configuration réseau. Enfin, la période de double exploitation, prévue pour durer six semaines, pourrait être prolongée si les tests de performance ne sont pas concluants.</w:t>
      </w:r>
    </w:p>
    <w:p>
      <w:pPr>
        <w:pStyle w:val="Heading2"/>
      </w:pPr>
      <w:r>
        <w:t>Prochaines étapes</w:t>
      </w:r>
    </w:p>
    <w:p>
      <w:r>
        <w:t>En juillet, l'équipe migrera les tables financières, qui sont les plus sensibles. En août auront lieu les tests de charge et la formation des quarante utilisateurs finaux. La bascule définitive aura lieu pendant le week-end du 27 septembre, suivie de l'arrêt des anciens serveurs en novembre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