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8F977" w14:textId="2FCF85BD" w:rsidR="004B4A90" w:rsidRDefault="004B4A90" w:rsidP="004B4A90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r w:rsidRPr="00267305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Entregable </w:t>
      </w:r>
      <w:r>
        <w:rPr>
          <w:rFonts w:ascii="Times New Roman" w:hAnsi="Times New Roman" w:cs="Times New Roman"/>
          <w:b/>
          <w:bCs/>
          <w:i/>
          <w:iCs/>
          <w:color w:val="0E2841" w:themeColor="text2"/>
        </w:rPr>
        <w:t>4</w:t>
      </w:r>
      <w:r w:rsidRPr="00267305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: </w:t>
      </w:r>
      <w:r w:rsidRPr="004B4A90">
        <w:rPr>
          <w:rFonts w:ascii="Times New Roman" w:hAnsi="Times New Roman" w:cs="Times New Roman"/>
          <w:b/>
          <w:bCs/>
          <w:i/>
          <w:iCs/>
          <w:color w:val="0E2841" w:themeColor="text2"/>
        </w:rPr>
        <w:t>Registro de validación de código generado o sugerido por IA</w:t>
      </w:r>
    </w:p>
    <w:p w14:paraId="3C17239F" w14:textId="77777777" w:rsidR="004B4A90" w:rsidRPr="00267305" w:rsidRDefault="004B4A90" w:rsidP="004B4A90">
      <w:pPr>
        <w:jc w:val="both"/>
        <w:rPr>
          <w:rFonts w:ascii="Times New Roman" w:hAnsi="Times New Roman" w:cs="Times New Roman"/>
          <w:i/>
          <w:iCs/>
          <w:color w:val="262626" w:themeColor="text1" w:themeTint="D9"/>
          <w:sz w:val="20"/>
          <w:szCs w:val="20"/>
        </w:rPr>
      </w:pPr>
      <w:r w:rsidRPr="00267305">
        <w:rPr>
          <w:rFonts w:ascii="Times New Roman" w:hAnsi="Times New Roman" w:cs="Times New Roman"/>
          <w:i/>
          <w:iCs/>
          <w:color w:val="262626" w:themeColor="text1" w:themeTint="D9"/>
          <w:sz w:val="20"/>
          <w:szCs w:val="20"/>
        </w:rPr>
        <w:t>Sistema de Gestión de Fincas e Inmuebles</w:t>
      </w:r>
      <w:r>
        <w:rPr>
          <w:rFonts w:ascii="Times New Roman" w:hAnsi="Times New Roman" w:cs="Times New Roman"/>
          <w:i/>
          <w:iCs/>
          <w:color w:val="262626" w:themeColor="text1" w:themeTint="D9"/>
          <w:sz w:val="20"/>
          <w:szCs w:val="20"/>
        </w:rPr>
        <w:t xml:space="preserve"> </w:t>
      </w:r>
    </w:p>
    <w:p w14:paraId="5EBE6473" w14:textId="77777777" w:rsidR="004B4A90" w:rsidRPr="00C33A15" w:rsidRDefault="004B4A90" w:rsidP="004B4A90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33A15">
        <w:rPr>
          <w:rFonts w:ascii="Times New Roman" w:hAnsi="Times New Roman" w:cs="Times New Roman"/>
          <w:b/>
          <w:bCs/>
          <w:sz w:val="22"/>
          <w:szCs w:val="22"/>
        </w:rPr>
        <w:t>Integrantes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(Grupo 1)</w:t>
      </w:r>
    </w:p>
    <w:p w14:paraId="492079E0" w14:textId="77777777" w:rsidR="004B4A90" w:rsidRPr="00C33A15" w:rsidRDefault="004B4A90" w:rsidP="004B4A90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33A15">
        <w:rPr>
          <w:rFonts w:ascii="Times New Roman" w:hAnsi="Times New Roman" w:cs="Times New Roman"/>
          <w:sz w:val="22"/>
          <w:szCs w:val="22"/>
        </w:rPr>
        <w:t xml:space="preserve">Fabio </w:t>
      </w:r>
      <w:proofErr w:type="spellStart"/>
      <w:r w:rsidRPr="00C33A15">
        <w:rPr>
          <w:rFonts w:ascii="Times New Roman" w:hAnsi="Times New Roman" w:cs="Times New Roman"/>
          <w:sz w:val="22"/>
          <w:szCs w:val="22"/>
        </w:rPr>
        <w:t>Perez</w:t>
      </w:r>
      <w:proofErr w:type="spellEnd"/>
      <w:r w:rsidRPr="00C33A15">
        <w:rPr>
          <w:rFonts w:ascii="Times New Roman" w:hAnsi="Times New Roman" w:cs="Times New Roman"/>
          <w:sz w:val="22"/>
          <w:szCs w:val="22"/>
        </w:rPr>
        <w:t xml:space="preserve"> Ruiz</w:t>
      </w:r>
    </w:p>
    <w:p w14:paraId="7DF06801" w14:textId="77777777" w:rsidR="004B4A90" w:rsidRPr="00C33A15" w:rsidRDefault="004B4A90" w:rsidP="004B4A90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33A15">
        <w:rPr>
          <w:rFonts w:ascii="Times New Roman" w:hAnsi="Times New Roman" w:cs="Times New Roman"/>
          <w:sz w:val="22"/>
          <w:szCs w:val="22"/>
        </w:rPr>
        <w:t>Maria</w:t>
      </w:r>
      <w:proofErr w:type="spellEnd"/>
      <w:r w:rsidRPr="00C33A15">
        <w:rPr>
          <w:rFonts w:ascii="Times New Roman" w:hAnsi="Times New Roman" w:cs="Times New Roman"/>
          <w:sz w:val="22"/>
          <w:szCs w:val="22"/>
        </w:rPr>
        <w:t xml:space="preserve"> Alejandra Ramos Naizir</w:t>
      </w:r>
    </w:p>
    <w:p w14:paraId="0AD2E235" w14:textId="77777777" w:rsidR="004B4A90" w:rsidRPr="00C33A15" w:rsidRDefault="004B4A90" w:rsidP="004B4A90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33A15">
        <w:rPr>
          <w:rFonts w:ascii="Times New Roman" w:hAnsi="Times New Roman" w:cs="Times New Roman"/>
          <w:sz w:val="22"/>
          <w:szCs w:val="22"/>
        </w:rPr>
        <w:t>Karla Tom Cabarcas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031"/>
        <w:gridCol w:w="1000"/>
        <w:gridCol w:w="1356"/>
        <w:gridCol w:w="1559"/>
        <w:gridCol w:w="1398"/>
        <w:gridCol w:w="1484"/>
      </w:tblGrid>
      <w:tr w:rsidR="004B4A90" w:rsidRPr="004B4A90" w14:paraId="7B92A1BD" w14:textId="77777777" w:rsidTr="004B4A90">
        <w:trPr>
          <w:trHeight w:val="964"/>
        </w:trPr>
        <w:tc>
          <w:tcPr>
            <w:tcW w:w="1151" w:type="pct"/>
            <w:shd w:val="clear" w:color="auto" w:fill="0E2841" w:themeFill="text2"/>
            <w:vAlign w:val="center"/>
            <w:hideMark/>
          </w:tcPr>
          <w:p w14:paraId="7A8D34DC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Clase o módulo</w:t>
            </w:r>
          </w:p>
        </w:tc>
        <w:tc>
          <w:tcPr>
            <w:tcW w:w="566" w:type="pct"/>
            <w:shd w:val="clear" w:color="auto" w:fill="0E2841" w:themeFill="text2"/>
            <w:vAlign w:val="center"/>
            <w:hideMark/>
          </w:tcPr>
          <w:p w14:paraId="1631D921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Apoyo recibido de IA</w:t>
            </w:r>
          </w:p>
        </w:tc>
        <w:tc>
          <w:tcPr>
            <w:tcW w:w="768" w:type="pct"/>
            <w:shd w:val="clear" w:color="auto" w:fill="0E2841" w:themeFill="text2"/>
            <w:vAlign w:val="center"/>
            <w:hideMark/>
          </w:tcPr>
          <w:p w14:paraId="11638E8C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Fragmento o funcionalidad revisada</w:t>
            </w:r>
          </w:p>
        </w:tc>
        <w:tc>
          <w:tcPr>
            <w:tcW w:w="883" w:type="pct"/>
            <w:shd w:val="clear" w:color="auto" w:fill="0E2841" w:themeFill="text2"/>
            <w:vAlign w:val="center"/>
            <w:hideMark/>
          </w:tcPr>
          <w:p w14:paraId="3360563E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Error o ajuste identificado</w:t>
            </w:r>
          </w:p>
        </w:tc>
        <w:tc>
          <w:tcPr>
            <w:tcW w:w="791" w:type="pct"/>
            <w:shd w:val="clear" w:color="auto" w:fill="0E2841" w:themeFill="text2"/>
            <w:vAlign w:val="center"/>
            <w:hideMark/>
          </w:tcPr>
          <w:p w14:paraId="11D96A02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Corrección realizada</w:t>
            </w:r>
          </w:p>
        </w:tc>
        <w:tc>
          <w:tcPr>
            <w:tcW w:w="840" w:type="pct"/>
            <w:shd w:val="clear" w:color="auto" w:fill="0E2841" w:themeFill="text2"/>
            <w:vAlign w:val="center"/>
            <w:hideMark/>
          </w:tcPr>
          <w:p w14:paraId="5CC48E44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Prueba aplicada</w:t>
            </w:r>
          </w:p>
        </w:tc>
      </w:tr>
      <w:tr w:rsidR="004B4A90" w:rsidRPr="004B4A90" w14:paraId="0D6232CD" w14:textId="77777777" w:rsidTr="004B4A90">
        <w:trPr>
          <w:trHeight w:val="964"/>
        </w:trPr>
        <w:tc>
          <w:tcPr>
            <w:tcW w:w="1151" w:type="pct"/>
            <w:vAlign w:val="center"/>
            <w:hideMark/>
          </w:tcPr>
          <w:p w14:paraId="4353C419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B4A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RepositorioInquilinos</w:t>
            </w:r>
            <w:proofErr w:type="spellEnd"/>
          </w:p>
        </w:tc>
        <w:tc>
          <w:tcPr>
            <w:tcW w:w="566" w:type="pct"/>
            <w:vAlign w:val="center"/>
            <w:hideMark/>
          </w:tcPr>
          <w:p w14:paraId="7F96D768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Claude</w:t>
            </w:r>
          </w:p>
        </w:tc>
        <w:tc>
          <w:tcPr>
            <w:tcW w:w="768" w:type="pct"/>
            <w:vAlign w:val="center"/>
            <w:hideMark/>
          </w:tcPr>
          <w:p w14:paraId="58D2B94D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Eliminación de inquilinos</w:t>
            </w:r>
          </w:p>
        </w:tc>
        <w:tc>
          <w:tcPr>
            <w:tcW w:w="883" w:type="pct"/>
            <w:vAlign w:val="center"/>
            <w:hideMark/>
          </w:tcPr>
          <w:p w14:paraId="271B9704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Se detectó que era posible eliminar un inquilino con alquileres activos, dejando referencias inconsistentes.</w:t>
            </w:r>
          </w:p>
        </w:tc>
        <w:tc>
          <w:tcPr>
            <w:tcW w:w="791" w:type="pct"/>
            <w:vAlign w:val="center"/>
            <w:hideMark/>
          </w:tcPr>
          <w:p w14:paraId="687D3856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Se agregó una validación para impedir la eliminación de inquilinos que tengan alquileres vigentes.</w:t>
            </w:r>
          </w:p>
        </w:tc>
        <w:tc>
          <w:tcPr>
            <w:tcW w:w="840" w:type="pct"/>
            <w:vAlign w:val="center"/>
            <w:hideMark/>
          </w:tcPr>
          <w:p w14:paraId="26E72AD0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Se intentó eliminar un inquilino con y sin alquileres activos, verificando que solo fuera posible en el segundo caso.</w:t>
            </w:r>
          </w:p>
        </w:tc>
      </w:tr>
      <w:tr w:rsidR="004B4A90" w:rsidRPr="004B4A90" w14:paraId="57B21000" w14:textId="77777777" w:rsidTr="004B4A90">
        <w:trPr>
          <w:trHeight w:val="964"/>
        </w:trPr>
        <w:tc>
          <w:tcPr>
            <w:tcW w:w="1151" w:type="pct"/>
            <w:vAlign w:val="center"/>
            <w:hideMark/>
          </w:tcPr>
          <w:p w14:paraId="0B438FA8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B4A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RepositorioInmuebles</w:t>
            </w:r>
            <w:proofErr w:type="spellEnd"/>
          </w:p>
        </w:tc>
        <w:tc>
          <w:tcPr>
            <w:tcW w:w="566" w:type="pct"/>
            <w:vAlign w:val="center"/>
            <w:hideMark/>
          </w:tcPr>
          <w:p w14:paraId="39EAE7D0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Claude</w:t>
            </w:r>
          </w:p>
        </w:tc>
        <w:tc>
          <w:tcPr>
            <w:tcW w:w="768" w:type="pct"/>
            <w:vAlign w:val="center"/>
            <w:hideMark/>
          </w:tcPr>
          <w:p w14:paraId="03CBF0DB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Eliminación de inmuebles</w:t>
            </w:r>
          </w:p>
        </w:tc>
        <w:tc>
          <w:tcPr>
            <w:tcW w:w="883" w:type="pct"/>
            <w:vAlign w:val="center"/>
            <w:hideMark/>
          </w:tcPr>
          <w:p w14:paraId="41E3B050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Era posible eliminar inmuebles que aún estaban alquilados.</w:t>
            </w:r>
          </w:p>
        </w:tc>
        <w:tc>
          <w:tcPr>
            <w:tcW w:w="791" w:type="pct"/>
            <w:vAlign w:val="center"/>
            <w:hideMark/>
          </w:tcPr>
          <w:p w14:paraId="56EFD416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Se incorporó una validación que bloquea la eliminación de inmuebles ocupados.</w:t>
            </w:r>
          </w:p>
        </w:tc>
        <w:tc>
          <w:tcPr>
            <w:tcW w:w="840" w:type="pct"/>
            <w:vAlign w:val="center"/>
            <w:hideMark/>
          </w:tcPr>
          <w:p w14:paraId="49A846D4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Se realizaron pruebas eliminando inmuebles disponibles y ocupados, comprobando el comportamiento esperado.</w:t>
            </w:r>
          </w:p>
        </w:tc>
      </w:tr>
      <w:tr w:rsidR="004B4A90" w:rsidRPr="004B4A90" w14:paraId="4E954622" w14:textId="77777777" w:rsidTr="004B4A90">
        <w:trPr>
          <w:trHeight w:val="964"/>
        </w:trPr>
        <w:tc>
          <w:tcPr>
            <w:tcW w:w="1151" w:type="pct"/>
            <w:vAlign w:val="center"/>
            <w:hideMark/>
          </w:tcPr>
          <w:p w14:paraId="651CB9CC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Clase Validador</w:t>
            </w:r>
          </w:p>
        </w:tc>
        <w:tc>
          <w:tcPr>
            <w:tcW w:w="566" w:type="pct"/>
            <w:vAlign w:val="center"/>
            <w:hideMark/>
          </w:tcPr>
          <w:p w14:paraId="1A10B33C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Claude</w:t>
            </w:r>
          </w:p>
        </w:tc>
        <w:tc>
          <w:tcPr>
            <w:tcW w:w="768" w:type="pct"/>
            <w:vAlign w:val="center"/>
            <w:hideMark/>
          </w:tcPr>
          <w:p w14:paraId="0DB8BC66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Validación de datos de entrada</w:t>
            </w:r>
          </w:p>
        </w:tc>
        <w:tc>
          <w:tcPr>
            <w:tcW w:w="883" w:type="pct"/>
            <w:vAlign w:val="center"/>
            <w:hideMark/>
          </w:tcPr>
          <w:p w14:paraId="03203FFE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Las validaciones estaban distribuidas en diferentes clases, generando código repetido y comportamientos inconsistentes.</w:t>
            </w:r>
          </w:p>
        </w:tc>
        <w:tc>
          <w:tcPr>
            <w:tcW w:w="791" w:type="pct"/>
            <w:vAlign w:val="center"/>
            <w:hideMark/>
          </w:tcPr>
          <w:p w14:paraId="0743A9D3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Se centralizaron las validaciones en una clase Validador con métodos estáticos para edad, cédula, importes, código postal y contacto.</w:t>
            </w:r>
          </w:p>
        </w:tc>
        <w:tc>
          <w:tcPr>
            <w:tcW w:w="840" w:type="pct"/>
            <w:vAlign w:val="center"/>
            <w:hideMark/>
          </w:tcPr>
          <w:p w14:paraId="49D6C01F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Se ingresaron datos válidos e inválidos para verificar que todas las validaciones funcionaran correctamente.</w:t>
            </w:r>
          </w:p>
        </w:tc>
      </w:tr>
      <w:tr w:rsidR="004B4A90" w:rsidRPr="004B4A90" w14:paraId="28258B88" w14:textId="77777777" w:rsidTr="004B4A90">
        <w:trPr>
          <w:trHeight w:val="964"/>
        </w:trPr>
        <w:tc>
          <w:tcPr>
            <w:tcW w:w="1151" w:type="pct"/>
            <w:vAlign w:val="center"/>
            <w:hideMark/>
          </w:tcPr>
          <w:p w14:paraId="4FB071F3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Panel Alquileres</w:t>
            </w:r>
          </w:p>
        </w:tc>
        <w:tc>
          <w:tcPr>
            <w:tcW w:w="566" w:type="pct"/>
            <w:vAlign w:val="center"/>
            <w:hideMark/>
          </w:tcPr>
          <w:p w14:paraId="3F104AD3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Claude</w:t>
            </w:r>
          </w:p>
        </w:tc>
        <w:tc>
          <w:tcPr>
            <w:tcW w:w="768" w:type="pct"/>
            <w:vAlign w:val="center"/>
            <w:hideMark/>
          </w:tcPr>
          <w:p w14:paraId="6F13486E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Validación de fechas</w:t>
            </w:r>
          </w:p>
        </w:tc>
        <w:tc>
          <w:tcPr>
            <w:tcW w:w="883" w:type="pct"/>
            <w:vAlign w:val="center"/>
            <w:hideMark/>
          </w:tcPr>
          <w:p w14:paraId="51CEA49D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 xml:space="preserve">El sistema permitía registrar alquileres cuya fecha de finalización era </w:t>
            </w:r>
            <w:r w:rsidRPr="004B4A9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anterior a la fecha de inicio.</w:t>
            </w:r>
          </w:p>
        </w:tc>
        <w:tc>
          <w:tcPr>
            <w:tcW w:w="791" w:type="pct"/>
            <w:vAlign w:val="center"/>
            <w:hideMark/>
          </w:tcPr>
          <w:p w14:paraId="7F8DF03A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Se añadió una validación para garantizar que la fecha de fin fuera posterior </w:t>
            </w:r>
            <w:r w:rsidRPr="004B4A9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a la fecha de inicio.</w:t>
            </w:r>
          </w:p>
        </w:tc>
        <w:tc>
          <w:tcPr>
            <w:tcW w:w="840" w:type="pct"/>
            <w:vAlign w:val="center"/>
            <w:hideMark/>
          </w:tcPr>
          <w:p w14:paraId="0345CF12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Se probaron diferentes combinaciones de fechas válidas e inválidas antes </w:t>
            </w:r>
            <w:r w:rsidRPr="004B4A9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de registrar el alquiler.</w:t>
            </w:r>
          </w:p>
        </w:tc>
      </w:tr>
      <w:tr w:rsidR="004B4A90" w:rsidRPr="004B4A90" w14:paraId="4D6770A2" w14:textId="77777777" w:rsidTr="004B4A90">
        <w:trPr>
          <w:trHeight w:val="964"/>
        </w:trPr>
        <w:tc>
          <w:tcPr>
            <w:tcW w:w="1151" w:type="pct"/>
            <w:vAlign w:val="center"/>
            <w:hideMark/>
          </w:tcPr>
          <w:p w14:paraId="43669768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Panel Facturas y Movimientos</w:t>
            </w:r>
          </w:p>
        </w:tc>
        <w:tc>
          <w:tcPr>
            <w:tcW w:w="566" w:type="pct"/>
            <w:vAlign w:val="center"/>
            <w:hideMark/>
          </w:tcPr>
          <w:p w14:paraId="51CB47B3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Claude</w:t>
            </w:r>
          </w:p>
        </w:tc>
        <w:tc>
          <w:tcPr>
            <w:tcW w:w="768" w:type="pct"/>
            <w:vAlign w:val="center"/>
            <w:hideMark/>
          </w:tcPr>
          <w:p w14:paraId="7E8A6C79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Método de búsqueda</w:t>
            </w:r>
          </w:p>
        </w:tc>
        <w:tc>
          <w:tcPr>
            <w:tcW w:w="883" w:type="pct"/>
            <w:vAlign w:val="center"/>
            <w:hideMark/>
          </w:tcPr>
          <w:p w14:paraId="1F7064FB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La búsqueda solo funcionaba cuando se ingresaban simultáneamente la fecha y el identificador.</w:t>
            </w:r>
          </w:p>
        </w:tc>
        <w:tc>
          <w:tcPr>
            <w:tcW w:w="791" w:type="pct"/>
            <w:vAlign w:val="center"/>
            <w:hideMark/>
          </w:tcPr>
          <w:p w14:paraId="35DEB0F3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Se modificó el método para permitir búsquedas por fecha, por ID o utilizando ambos criterios.</w:t>
            </w:r>
          </w:p>
        </w:tc>
        <w:tc>
          <w:tcPr>
            <w:tcW w:w="840" w:type="pct"/>
            <w:vAlign w:val="center"/>
            <w:hideMark/>
          </w:tcPr>
          <w:p w14:paraId="3B3723DC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Se realizaron búsquedas independientes por fecha, por ID y por ambos parámetros verificando los resultados.</w:t>
            </w:r>
          </w:p>
        </w:tc>
      </w:tr>
      <w:tr w:rsidR="004B4A90" w:rsidRPr="004B4A90" w14:paraId="47B17B0E" w14:textId="77777777" w:rsidTr="004B4A90">
        <w:trPr>
          <w:trHeight w:val="964"/>
        </w:trPr>
        <w:tc>
          <w:tcPr>
            <w:tcW w:w="1151" w:type="pct"/>
            <w:vAlign w:val="center"/>
            <w:hideMark/>
          </w:tcPr>
          <w:p w14:paraId="1458DC28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B4A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GestorArchivos</w:t>
            </w:r>
            <w:proofErr w:type="spellEnd"/>
          </w:p>
        </w:tc>
        <w:tc>
          <w:tcPr>
            <w:tcW w:w="566" w:type="pct"/>
            <w:vAlign w:val="center"/>
            <w:hideMark/>
          </w:tcPr>
          <w:p w14:paraId="3002B430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Claude</w:t>
            </w:r>
          </w:p>
        </w:tc>
        <w:tc>
          <w:tcPr>
            <w:tcW w:w="768" w:type="pct"/>
            <w:vAlign w:val="center"/>
            <w:hideMark/>
          </w:tcPr>
          <w:p w14:paraId="72C75E1D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Manejo de contadores</w:t>
            </w:r>
          </w:p>
        </w:tc>
        <w:tc>
          <w:tcPr>
            <w:tcW w:w="883" w:type="pct"/>
            <w:vAlign w:val="center"/>
            <w:hideMark/>
          </w:tcPr>
          <w:p w14:paraId="65728614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Si el archivo de datos era eliminado, el contador continuaba desde el último valor almacenado, generando numeraciones inconsistentes.</w:t>
            </w:r>
          </w:p>
        </w:tc>
        <w:tc>
          <w:tcPr>
            <w:tcW w:w="791" w:type="pct"/>
            <w:vAlign w:val="center"/>
            <w:hideMark/>
          </w:tcPr>
          <w:p w14:paraId="758E9DBB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Se agregó una validación para reiniciar el contador desde 1 cuando el archivo de datos no existiera o no pudiera recuperarse.</w:t>
            </w:r>
          </w:p>
        </w:tc>
        <w:tc>
          <w:tcPr>
            <w:tcW w:w="840" w:type="pct"/>
            <w:vAlign w:val="center"/>
            <w:hideMark/>
          </w:tcPr>
          <w:p w14:paraId="7B46016C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Se eliminaron los archivos de datos y se verificó que los nuevos registros comenzaran nuevamente desde el ID 1.</w:t>
            </w:r>
          </w:p>
        </w:tc>
      </w:tr>
      <w:tr w:rsidR="004B4A90" w:rsidRPr="004B4A90" w14:paraId="2FF8FB54" w14:textId="77777777" w:rsidTr="004B4A90">
        <w:trPr>
          <w:trHeight w:val="964"/>
        </w:trPr>
        <w:tc>
          <w:tcPr>
            <w:tcW w:w="1151" w:type="pct"/>
            <w:vAlign w:val="center"/>
            <w:hideMark/>
          </w:tcPr>
          <w:p w14:paraId="7ECA946F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Persistencia (.</w:t>
            </w:r>
            <w:proofErr w:type="spellStart"/>
            <w:r w:rsidRPr="004B4A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</w:t>
            </w:r>
            <w:proofErr w:type="spellEnd"/>
            <w:r w:rsidRPr="004B4A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66" w:type="pct"/>
            <w:vAlign w:val="center"/>
            <w:hideMark/>
          </w:tcPr>
          <w:p w14:paraId="3CAD6A0C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DeepSeek</w:t>
            </w:r>
            <w:proofErr w:type="spellEnd"/>
          </w:p>
        </w:tc>
        <w:tc>
          <w:tcPr>
            <w:tcW w:w="768" w:type="pct"/>
            <w:vAlign w:val="center"/>
            <w:hideMark/>
          </w:tcPr>
          <w:p w14:paraId="63CA34C9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Lectura y escritura de archivos</w:t>
            </w:r>
          </w:p>
        </w:tc>
        <w:tc>
          <w:tcPr>
            <w:tcW w:w="883" w:type="pct"/>
            <w:vAlign w:val="center"/>
            <w:hideMark/>
          </w:tcPr>
          <w:p w14:paraId="5F57E879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Existían bloques catch que ocultaban errores durante la lectura de archivos.</w:t>
            </w:r>
          </w:p>
        </w:tc>
        <w:tc>
          <w:tcPr>
            <w:tcW w:w="791" w:type="pct"/>
            <w:vAlign w:val="center"/>
            <w:hideMark/>
          </w:tcPr>
          <w:p w14:paraId="4A7E418C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 xml:space="preserve">Se reemplazó el manejo silencioso por registros mediante </w:t>
            </w:r>
            <w:proofErr w:type="spellStart"/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Logger</w:t>
            </w:r>
            <w:proofErr w:type="spellEnd"/>
            <w:r w:rsidRPr="004B4A90">
              <w:rPr>
                <w:rFonts w:ascii="Times New Roman" w:hAnsi="Times New Roman" w:cs="Times New Roman"/>
                <w:sz w:val="20"/>
                <w:szCs w:val="20"/>
              </w:rPr>
              <w:t xml:space="preserve"> y mensajes informativos para el usuario.</w:t>
            </w:r>
          </w:p>
        </w:tc>
        <w:tc>
          <w:tcPr>
            <w:tcW w:w="840" w:type="pct"/>
            <w:vAlign w:val="center"/>
            <w:hideMark/>
          </w:tcPr>
          <w:p w14:paraId="68A57EA9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Se simularon archivos inexistentes y archivos corruptos comprobando que el sistema notificara correctamente el error.</w:t>
            </w:r>
          </w:p>
        </w:tc>
      </w:tr>
      <w:tr w:rsidR="004B4A90" w:rsidRPr="004B4A90" w14:paraId="793C2A7B" w14:textId="77777777" w:rsidTr="004B4A90">
        <w:trPr>
          <w:trHeight w:val="964"/>
        </w:trPr>
        <w:tc>
          <w:tcPr>
            <w:tcW w:w="1151" w:type="pct"/>
            <w:vAlign w:val="center"/>
            <w:hideMark/>
          </w:tcPr>
          <w:p w14:paraId="7DCE8880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Interfaz gráfica</w:t>
            </w:r>
          </w:p>
        </w:tc>
        <w:tc>
          <w:tcPr>
            <w:tcW w:w="566" w:type="pct"/>
            <w:vAlign w:val="center"/>
            <w:hideMark/>
          </w:tcPr>
          <w:p w14:paraId="77577F2C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 xml:space="preserve">Claude y </w:t>
            </w:r>
            <w:proofErr w:type="spellStart"/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DeepSeek</w:t>
            </w:r>
            <w:proofErr w:type="spellEnd"/>
          </w:p>
        </w:tc>
        <w:tc>
          <w:tcPr>
            <w:tcW w:w="768" w:type="pct"/>
            <w:vAlign w:val="center"/>
            <w:hideMark/>
          </w:tcPr>
          <w:p w14:paraId="72B6B1BE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Diseño de paneles</w:t>
            </w:r>
          </w:p>
        </w:tc>
        <w:tc>
          <w:tcPr>
            <w:tcW w:w="883" w:type="pct"/>
            <w:vAlign w:val="center"/>
            <w:hideMark/>
          </w:tcPr>
          <w:p w14:paraId="65CDC27A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La distribución inicial dificultaba la navegación entre las diferentes funcionalidades.</w:t>
            </w:r>
          </w:p>
        </w:tc>
        <w:tc>
          <w:tcPr>
            <w:tcW w:w="791" w:type="pct"/>
            <w:vAlign w:val="center"/>
            <w:hideMark/>
          </w:tcPr>
          <w:p w14:paraId="21AAB749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Se reorganizaron formularios, tablas y botones para lograr una interfaz más clara y uniforme.</w:t>
            </w:r>
          </w:p>
        </w:tc>
        <w:tc>
          <w:tcPr>
            <w:tcW w:w="840" w:type="pct"/>
            <w:vAlign w:val="center"/>
            <w:hideMark/>
          </w:tcPr>
          <w:p w14:paraId="2D4633C0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Se verificó el funcionamiento de cada panel y la navegación entre las distintas opciones de la aplicación.</w:t>
            </w:r>
          </w:p>
        </w:tc>
      </w:tr>
      <w:tr w:rsidR="004B4A90" w:rsidRPr="004B4A90" w14:paraId="2643969C" w14:textId="77777777" w:rsidTr="004B4A90">
        <w:trPr>
          <w:trHeight w:val="964"/>
        </w:trPr>
        <w:tc>
          <w:tcPr>
            <w:tcW w:w="1151" w:type="pct"/>
            <w:vAlign w:val="center"/>
            <w:hideMark/>
          </w:tcPr>
          <w:p w14:paraId="1436B9CE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Documentación</w:t>
            </w:r>
          </w:p>
        </w:tc>
        <w:tc>
          <w:tcPr>
            <w:tcW w:w="566" w:type="pct"/>
            <w:vAlign w:val="center"/>
            <w:hideMark/>
          </w:tcPr>
          <w:p w14:paraId="1282D6E6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 xml:space="preserve">Claude y </w:t>
            </w:r>
            <w:proofErr w:type="spellStart"/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DeepSeek</w:t>
            </w:r>
            <w:proofErr w:type="spellEnd"/>
          </w:p>
        </w:tc>
        <w:tc>
          <w:tcPr>
            <w:tcW w:w="768" w:type="pct"/>
            <w:vAlign w:val="center"/>
            <w:hideMark/>
          </w:tcPr>
          <w:p w14:paraId="407AFED6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JavaDoc</w:t>
            </w:r>
            <w:proofErr w:type="spellEnd"/>
          </w:p>
        </w:tc>
        <w:tc>
          <w:tcPr>
            <w:tcW w:w="883" w:type="pct"/>
            <w:vAlign w:val="center"/>
            <w:hideMark/>
          </w:tcPr>
          <w:p w14:paraId="498F23F2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 xml:space="preserve">El proyecto carecía de documentación técnica suficiente para las clases y </w:t>
            </w:r>
            <w:r w:rsidRPr="004B4A9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métodos públicos.</w:t>
            </w:r>
          </w:p>
        </w:tc>
        <w:tc>
          <w:tcPr>
            <w:tcW w:w="791" w:type="pct"/>
            <w:vAlign w:val="center"/>
            <w:hideMark/>
          </w:tcPr>
          <w:p w14:paraId="1362CA57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Se incorporó documentación </w:t>
            </w:r>
            <w:proofErr w:type="spellStart"/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JavaDoc</w:t>
            </w:r>
            <w:proofErr w:type="spellEnd"/>
            <w:r w:rsidRPr="004B4A90">
              <w:rPr>
                <w:rFonts w:ascii="Times New Roman" w:hAnsi="Times New Roman" w:cs="Times New Roman"/>
                <w:sz w:val="20"/>
                <w:szCs w:val="20"/>
              </w:rPr>
              <w:t xml:space="preserve"> en todas las clases y </w:t>
            </w:r>
            <w:r w:rsidRPr="004B4A9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métodos principales.</w:t>
            </w:r>
          </w:p>
        </w:tc>
        <w:tc>
          <w:tcPr>
            <w:tcW w:w="840" w:type="pct"/>
            <w:vAlign w:val="center"/>
            <w:hideMark/>
          </w:tcPr>
          <w:p w14:paraId="4FF933C3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Se generó y revisó la documentación comprobando que describiera correctamente </w:t>
            </w:r>
            <w:r w:rsidRPr="004B4A90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el funcionamiento del sistema.</w:t>
            </w:r>
          </w:p>
        </w:tc>
      </w:tr>
      <w:tr w:rsidR="004B4A90" w:rsidRPr="004B4A90" w14:paraId="0965C8D6" w14:textId="77777777" w:rsidTr="004B4A90">
        <w:trPr>
          <w:trHeight w:val="964"/>
        </w:trPr>
        <w:tc>
          <w:tcPr>
            <w:tcW w:w="1151" w:type="pct"/>
            <w:vAlign w:val="center"/>
            <w:hideMark/>
          </w:tcPr>
          <w:p w14:paraId="09F59F30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Módulo financiero</w:t>
            </w:r>
          </w:p>
        </w:tc>
        <w:tc>
          <w:tcPr>
            <w:tcW w:w="566" w:type="pct"/>
            <w:vAlign w:val="center"/>
            <w:hideMark/>
          </w:tcPr>
          <w:p w14:paraId="2EE8B6FA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Gemini</w:t>
            </w:r>
          </w:p>
        </w:tc>
        <w:tc>
          <w:tcPr>
            <w:tcW w:w="768" w:type="pct"/>
            <w:vAlign w:val="center"/>
            <w:hideMark/>
          </w:tcPr>
          <w:p w14:paraId="30C053B0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Eliminación de facturas y movimientos bancarios</w:t>
            </w:r>
          </w:p>
        </w:tc>
        <w:tc>
          <w:tcPr>
            <w:tcW w:w="883" w:type="pct"/>
            <w:vAlign w:val="center"/>
            <w:hideMark/>
          </w:tcPr>
          <w:p w14:paraId="5D57499F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Se evaluó permitir la eliminación de registros financieros.</w:t>
            </w:r>
          </w:p>
        </w:tc>
        <w:tc>
          <w:tcPr>
            <w:tcW w:w="791" w:type="pct"/>
            <w:vAlign w:val="center"/>
            <w:hideMark/>
          </w:tcPr>
          <w:p w14:paraId="78B04BEC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Se decidió mantener los registros como históricos de solo lectura para preservar la trazabilidad de la información.</w:t>
            </w:r>
          </w:p>
        </w:tc>
        <w:tc>
          <w:tcPr>
            <w:tcW w:w="840" w:type="pct"/>
            <w:vAlign w:val="center"/>
            <w:hideMark/>
          </w:tcPr>
          <w:p w14:paraId="1E5DA3E8" w14:textId="77777777" w:rsidR="004B4A90" w:rsidRPr="004B4A90" w:rsidRDefault="004B4A90" w:rsidP="004B4A90">
            <w:pPr>
              <w:spacing w:line="278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A90">
              <w:rPr>
                <w:rFonts w:ascii="Times New Roman" w:hAnsi="Times New Roman" w:cs="Times New Roman"/>
                <w:sz w:val="20"/>
                <w:szCs w:val="20"/>
              </w:rPr>
              <w:t>Se verificó que los registros financieros pudieran consultarse, pero no eliminarse desde la aplicación.</w:t>
            </w:r>
          </w:p>
        </w:tc>
      </w:tr>
    </w:tbl>
    <w:p w14:paraId="45B01B0E" w14:textId="77777777" w:rsidR="001003C9" w:rsidRDefault="001003C9"/>
    <w:sectPr w:rsidR="001003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078D4"/>
    <w:multiLevelType w:val="hybridMultilevel"/>
    <w:tmpl w:val="1A8A7778"/>
    <w:lvl w:ilvl="0" w:tplc="B1C8B3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040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A90"/>
    <w:rsid w:val="00015D8E"/>
    <w:rsid w:val="001003C9"/>
    <w:rsid w:val="004B4A90"/>
    <w:rsid w:val="00680DFC"/>
    <w:rsid w:val="00963A48"/>
    <w:rsid w:val="00DC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A8580"/>
  <w15:chartTrackingRefBased/>
  <w15:docId w15:val="{EF7DE550-6ABA-4484-BE3C-A30F9D760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A90"/>
  </w:style>
  <w:style w:type="paragraph" w:styleId="Ttulo1">
    <w:name w:val="heading 1"/>
    <w:basedOn w:val="Normal"/>
    <w:next w:val="Normal"/>
    <w:link w:val="Ttulo1Car"/>
    <w:uiPriority w:val="9"/>
    <w:qFormat/>
    <w:rsid w:val="004B4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4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4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4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4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4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4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4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4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4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4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4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4A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4A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4A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4A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4A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4A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4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4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4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4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4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4A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4A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4A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4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4A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4A9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B4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605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2026-06-30T16:10:00Z</dcterms:created>
  <dcterms:modified xsi:type="dcterms:W3CDTF">2026-06-30T16:12:00Z</dcterms:modified>
</cp:coreProperties>
</file>