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3133F" w14:textId="293FC224" w:rsidR="00944743" w:rsidRDefault="00944743" w:rsidP="00944743">
      <w:pPr>
        <w:spacing w:line="240" w:lineRule="auto"/>
        <w:jc w:val="left"/>
        <w:rPr>
          <w:color w:val="000000" w:themeColor="text1"/>
        </w:rPr>
      </w:pPr>
      <w:r>
        <w:rPr>
          <w:color w:val="000000" w:themeColor="text1"/>
        </w:rPr>
        <w:t>The extension of KETCHUP was used to parameterize time course NADH data</w:t>
      </w:r>
      <w:r w:rsidR="00AC6908">
        <w:rPr>
          <w:color w:val="000000" w:themeColor="text1"/>
        </w:rPr>
        <w:t xml:space="preserve"> for FDH and BDH and is described below</w:t>
      </w:r>
      <w:r>
        <w:rPr>
          <w:color w:val="000000" w:themeColor="text1"/>
        </w:rPr>
        <w:t>. To help in summarizing the dynamic parameterization process we define the following sets and variables:</w:t>
      </w:r>
    </w:p>
    <w:p w14:paraId="3B589CA1" w14:textId="7761134F" w:rsidR="00944743" w:rsidRPr="00944743" w:rsidRDefault="00944743" w:rsidP="00944743">
      <w:pPr>
        <w:spacing w:line="240" w:lineRule="auto"/>
        <w:jc w:val="left"/>
        <w:rPr>
          <w:color w:val="000000" w:themeColor="text1"/>
        </w:rPr>
      </w:pPr>
      <w:r w:rsidRPr="00D6071B">
        <w:rPr>
          <w:b/>
          <w:bCs w:val="0"/>
          <w:color w:val="000000" w:themeColor="text1"/>
        </w:rPr>
        <w:t>Sets</w:t>
      </w:r>
      <w:r>
        <w:rPr>
          <w:color w:val="000000" w:themeColor="text1"/>
        </w:rPr>
        <w:br/>
        <w:t>Set of datasets K = {</w:t>
      </w:r>
      <w:r w:rsidRPr="00736D6A">
        <w:rPr>
          <w:i/>
          <w:iCs/>
          <w:color w:val="000000" w:themeColor="text1"/>
        </w:rPr>
        <w:t>k</w:t>
      </w:r>
      <w:r w:rsidRPr="00944743">
        <w:rPr>
          <w:rFonts w:ascii="Cambria Math" w:hAnsi="Cambria Math" w:cs="Cambria Math"/>
          <w:color w:val="1F1F1F"/>
          <w:sz w:val="48"/>
          <w:szCs w:val="48"/>
          <w:shd w:val="clear" w:color="auto" w:fill="FFFFFF"/>
        </w:rPr>
        <w:t xml:space="preserve"> </w:t>
      </w:r>
      <w:r w:rsidRPr="00944743">
        <w:rPr>
          <w:rFonts w:ascii="Cambria Math" w:hAnsi="Cambria Math" w:cs="Cambria Math"/>
          <w:color w:val="000000" w:themeColor="text1"/>
        </w:rPr>
        <w:t>∀</w:t>
      </w:r>
      <w:r>
        <w:rPr>
          <w:color w:val="000000" w:themeColor="text1"/>
        </w:rPr>
        <w:t xml:space="preserve"> </w:t>
      </w:r>
      <w:r w:rsidRPr="00736D6A">
        <w:rPr>
          <w:i/>
          <w:iCs/>
          <w:color w:val="000000" w:themeColor="text1"/>
        </w:rPr>
        <w:t>k</w:t>
      </w:r>
      <w:r>
        <w:rPr>
          <w:color w:val="000000" w:themeColor="text1"/>
        </w:rPr>
        <w:t xml:space="preserve"> = 1, </w:t>
      </w:r>
      <w:proofErr w:type="gramStart"/>
      <w:r>
        <w:rPr>
          <w:color w:val="000000" w:themeColor="text1"/>
        </w:rPr>
        <w:t>… ,</w:t>
      </w:r>
      <w:proofErr w:type="gramEnd"/>
      <w:r>
        <w:rPr>
          <w:color w:val="000000" w:themeColor="text1"/>
        </w:rPr>
        <w:t xml:space="preserve"> </w:t>
      </w:r>
      <w:proofErr w:type="spellStart"/>
      <w:proofErr w:type="gramStart"/>
      <w:r>
        <w:rPr>
          <w:color w:val="000000" w:themeColor="text1"/>
        </w:rPr>
        <w:t>n</w:t>
      </w:r>
      <w:r>
        <w:rPr>
          <w:color w:val="000000" w:themeColor="text1"/>
          <w:vertAlign w:val="subscript"/>
        </w:rPr>
        <w:t>k</w:t>
      </w:r>
      <w:proofErr w:type="spellEnd"/>
      <w:r>
        <w:rPr>
          <w:color w:val="000000" w:themeColor="text1"/>
        </w:rPr>
        <w:t>}for</w:t>
      </w:r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</w:t>
      </w:r>
      <w:r>
        <w:rPr>
          <w:color w:val="000000" w:themeColor="text1"/>
          <w:vertAlign w:val="subscript"/>
        </w:rPr>
        <w:t>k</w:t>
      </w:r>
      <w:proofErr w:type="spellEnd"/>
      <w:r>
        <w:rPr>
          <w:color w:val="000000" w:themeColor="text1"/>
        </w:rPr>
        <w:t xml:space="preserve"> datasets</w:t>
      </w:r>
    </w:p>
    <w:p w14:paraId="0E6F7F98" w14:textId="54974B24" w:rsidR="00871B7F" w:rsidRDefault="00944743" w:rsidP="00944743">
      <w:pPr>
        <w:spacing w:line="240" w:lineRule="auto"/>
        <w:jc w:val="left"/>
        <w:rPr>
          <w:rFonts w:eastAsiaTheme="minorEastAsia"/>
          <w:sz w:val="32"/>
          <w:szCs w:val="32"/>
        </w:rPr>
      </w:pPr>
      <w:r w:rsidRPr="00D6071B">
        <w:rPr>
          <w:b/>
          <w:bCs w:val="0"/>
          <w:color w:val="000000" w:themeColor="text1"/>
        </w:rPr>
        <w:t>Parameters</w:t>
      </w:r>
      <w:r w:rsidR="00AE2106">
        <w:rPr>
          <w:b/>
          <w:bCs w:val="0"/>
          <w:color w:val="000000" w:themeColor="text1"/>
        </w:rPr>
        <w:br/>
      </w:r>
      <w:proofErr w:type="spellStart"/>
      <w:r w:rsidR="00AE2106" w:rsidRPr="00AE2106">
        <w:rPr>
          <w:color w:val="000000" w:themeColor="text1"/>
        </w:rPr>
        <w:t>t</w:t>
      </w:r>
      <w:r w:rsidR="00AE2106">
        <w:rPr>
          <w:rFonts w:eastAsiaTheme="minorEastAsia"/>
          <w:vertAlign w:val="subscript"/>
        </w:rPr>
        <w:t>k</w:t>
      </w:r>
      <w:proofErr w:type="spellEnd"/>
      <w:r w:rsidR="00AE2106">
        <w:rPr>
          <w:rFonts w:eastAsiaTheme="minorEastAsia"/>
        </w:rPr>
        <w:t xml:space="preserve"> – </w:t>
      </w:r>
      <w:r w:rsidR="00736D6A">
        <w:rPr>
          <w:rFonts w:eastAsiaTheme="minorEastAsia"/>
        </w:rPr>
        <w:t xml:space="preserve">discrete </w:t>
      </w:r>
      <w:r w:rsidR="00AE2106">
        <w:rPr>
          <w:rFonts w:eastAsiaTheme="minorEastAsia"/>
        </w:rPr>
        <w:t>timepoint</w:t>
      </w:r>
      <w:r w:rsidR="00736D6A">
        <w:rPr>
          <w:rFonts w:eastAsiaTheme="minorEastAsia"/>
        </w:rPr>
        <w:t>s</w:t>
      </w:r>
      <w:r w:rsidR="00AE2106">
        <w:rPr>
          <w:rFonts w:eastAsiaTheme="minorEastAsia"/>
        </w:rPr>
        <w:t xml:space="preserve"> given for dataset </w:t>
      </w:r>
      <w:r w:rsidR="00AE2106" w:rsidRPr="00736D6A">
        <w:rPr>
          <w:rFonts w:eastAsiaTheme="minorEastAsia"/>
          <w:i/>
          <w:iCs/>
        </w:rPr>
        <w:t>k</w:t>
      </w:r>
      <w:r w:rsidR="00B42797">
        <w:rPr>
          <w:rFonts w:eastAsiaTheme="minorEastAsia"/>
        </w:rPr>
        <w:t>, excluding the initial point</w:t>
      </w:r>
      <w:r w:rsidR="00B42797">
        <w:rPr>
          <w:rFonts w:eastAsiaTheme="minorEastAsia"/>
        </w:rPr>
        <w:br/>
      </w:r>
      <w:r w:rsidR="00AE2106">
        <w:rPr>
          <w:rFonts w:eastAsiaTheme="minorEastAsia"/>
        </w:rPr>
        <w:t>t</w:t>
      </w:r>
      <w:r w:rsidR="00AE2106">
        <w:rPr>
          <w:rFonts w:eastAsiaTheme="minorEastAsia"/>
          <w:vertAlign w:val="subscript"/>
        </w:rPr>
        <w:t>0,k</w:t>
      </w:r>
      <w:r w:rsidR="00AE2106">
        <w:rPr>
          <w:rFonts w:eastAsiaTheme="minorEastAsia"/>
        </w:rPr>
        <w:t> </w:t>
      </w:r>
      <w:r w:rsidR="00B42797">
        <w:rPr>
          <w:rFonts w:eastAsiaTheme="minorEastAsia"/>
        </w:rPr>
        <w:t xml:space="preserve">- </w:t>
      </w:r>
      <w:r w:rsidR="00AE2106">
        <w:rPr>
          <w:rFonts w:eastAsiaTheme="minorEastAsia"/>
        </w:rPr>
        <w:t xml:space="preserve">denotes the initial time point for dataset </w:t>
      </w:r>
      <w:r w:rsidR="00AE2106" w:rsidRPr="00736D6A">
        <w:rPr>
          <w:rFonts w:eastAsiaTheme="minorEastAsia"/>
          <w:i/>
          <w:iCs/>
        </w:rPr>
        <w:t>k</w:t>
      </w:r>
      <w:r w:rsidR="00B35AAC">
        <w:rPr>
          <w:rFonts w:eastAsiaTheme="minorEastAsia"/>
        </w:rPr>
        <w:br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meas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 w:rsidR="00B35AAC">
        <w:rPr>
          <w:rFonts w:eastAsiaTheme="minorEastAsia"/>
        </w:rPr>
        <w:t>- measured NADH concentration for dataset k at time t</w:t>
      </w:r>
      <w:r w:rsidR="00B35AAC">
        <w:rPr>
          <w:rFonts w:eastAsiaTheme="minorEastAsia"/>
        </w:rPr>
        <w:br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dQ</m:t>
            </m:r>
          </m:sub>
        </m:sSub>
      </m:oMath>
      <w:r w:rsidR="00B35AAC">
        <w:rPr>
          <w:rFonts w:eastAsiaTheme="minorEastAsia"/>
        </w:rPr>
        <w:t xml:space="preserve"> – NADH decomposition rate constant which is set during parameterization of FDH and BDH</w:t>
      </w:r>
      <w:r w:rsidR="00D30DEF">
        <w:rPr>
          <w:rFonts w:eastAsiaTheme="minorEastAsia"/>
        </w:rPr>
        <w:br/>
        <w:t>E</w:t>
      </w:r>
      <w:r w:rsidR="00D30DEF">
        <w:rPr>
          <w:rFonts w:eastAsiaTheme="minorEastAsia"/>
          <w:vertAlign w:val="superscript"/>
        </w:rPr>
        <w:t>FDH</w:t>
      </w:r>
      <w:r w:rsidR="00D30DEF">
        <w:rPr>
          <w:rFonts w:eastAsiaTheme="minorEastAsia"/>
        </w:rPr>
        <w:t xml:space="preserve"> – enzyme FDH</w:t>
      </w:r>
      <w:r w:rsidR="00D30DEF">
        <w:rPr>
          <w:rFonts w:eastAsiaTheme="minorEastAsia"/>
        </w:rPr>
        <w:br/>
        <w:t>E</w:t>
      </w:r>
      <w:r w:rsidR="00D30DEF">
        <w:rPr>
          <w:rFonts w:eastAsiaTheme="minorEastAsia"/>
          <w:vertAlign w:val="superscript"/>
        </w:rPr>
        <w:t>BDH</w:t>
      </w:r>
      <w:r w:rsidR="00D30DEF">
        <w:rPr>
          <w:rFonts w:eastAsiaTheme="minorEastAsia"/>
        </w:rPr>
        <w:t xml:space="preserve"> – enzyme BD</w:t>
      </w:r>
      <w:r w:rsidR="00871B7F">
        <w:rPr>
          <w:rFonts w:eastAsiaTheme="minorEastAsia"/>
        </w:rPr>
        <w:t>H</w:t>
      </w:r>
      <w:r w:rsidR="00871B7F">
        <w:rPr>
          <w:rFonts w:eastAsiaTheme="minorEastAsia"/>
        </w:rPr>
        <w:br/>
        <w:t>R – Boltzmann’s gas constant (8.314 J/mol K)</w:t>
      </w:r>
      <w:r w:rsidR="00871B7F">
        <w:rPr>
          <w:rFonts w:eastAsiaTheme="minorEastAsia"/>
        </w:rPr>
        <w:br/>
        <w:t>T - temperature set at 310.15 K</w:t>
      </w:r>
      <w:r w:rsidR="00871B7F">
        <w:rPr>
          <w:rFonts w:eastAsiaTheme="minorEastAsia"/>
        </w:rPr>
        <w:br/>
      </w:r>
      <m:oMath>
        <m:r>
          <w:rPr>
            <w:rFonts w:ascii="Cambria Math" w:hAnsi="Cambria Math"/>
          </w:rPr>
          <m:t>ΔG°</m:t>
        </m:r>
      </m:oMath>
      <w:r w:rsidR="00871B7F" w:rsidRPr="00871B7F">
        <w:rPr>
          <w:rFonts w:eastAsiaTheme="minorEastAsia"/>
        </w:rPr>
        <w:t xml:space="preserve"> - standard Gibbs free energy (-22.5 ± 4.1 kJ/mol)</w:t>
      </w:r>
      <w:r w:rsidR="00871B7F">
        <w:rPr>
          <w:rFonts w:eastAsiaTheme="minorEastAsia"/>
          <w:sz w:val="32"/>
          <w:szCs w:val="32"/>
        </w:rPr>
        <w:t xml:space="preserve"> </w:t>
      </w:r>
    </w:p>
    <w:p w14:paraId="092F3BB3" w14:textId="77979D03" w:rsidR="00E417E2" w:rsidRPr="00E417E2" w:rsidRDefault="00B35AAC" w:rsidP="00944743">
      <w:pPr>
        <w:spacing w:line="240" w:lineRule="auto"/>
        <w:jc w:val="left"/>
        <w:rPr>
          <w:rFonts w:eastAsiaTheme="minorEastAsia"/>
        </w:rPr>
      </w:pPr>
      <w:r w:rsidRPr="00B35AAC">
        <w:rPr>
          <w:rFonts w:eastAsiaTheme="minorEastAsia"/>
          <w:b/>
          <w:bCs w:val="0"/>
        </w:rPr>
        <w:t>Variables</w:t>
      </w:r>
      <w:r>
        <w:rPr>
          <w:rFonts w:eastAsiaTheme="minorEastAsia"/>
        </w:rPr>
        <w:br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A</m:t>
            </m:r>
          </m:sup>
        </m:sSubSup>
      </m:oMath>
      <w:r w:rsidRPr="00542573">
        <w:rPr>
          <w:rFonts w:eastAsiaTheme="minorEastAsia"/>
        </w:rPr>
        <w:t xml:space="preserve"> </w:t>
      </w:r>
      <w:r>
        <w:rPr>
          <w:rFonts w:eastAsiaTheme="minorEastAsia"/>
        </w:rPr>
        <w:t>– Inhibitor constant for NAD</w:t>
      </w:r>
      <w:r>
        <w:rPr>
          <w:rFonts w:eastAsiaTheme="minorEastAsia"/>
          <w:vertAlign w:val="superscript"/>
        </w:rPr>
        <w:t>+</w:t>
      </w:r>
      <w:r>
        <w:rPr>
          <w:rFonts w:eastAsiaTheme="minorEastAsia"/>
          <w:vertAlign w:val="superscript"/>
        </w:rPr>
        <w:br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Q</m:t>
            </m:r>
          </m:sup>
        </m:sSubSup>
      </m:oMath>
      <w:r>
        <w:rPr>
          <w:rFonts w:eastAsiaTheme="minorEastAsia"/>
        </w:rPr>
        <w:t xml:space="preserve"> – Inhibitor constant for NADH</w:t>
      </w:r>
      <w:r>
        <w:rPr>
          <w:rFonts w:eastAsiaTheme="minorEastAsia"/>
        </w:rPr>
        <w:br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</m:t>
            </m:r>
          </m:sub>
          <m:sup>
            <m:r>
              <w:rPr>
                <w:rFonts w:ascii="Cambria Math" w:hAnsi="Cambria Math"/>
              </w:rPr>
              <m:t>B</m:t>
            </m:r>
          </m:sup>
        </m:sSubSup>
      </m:oMath>
      <w:r>
        <w:rPr>
          <w:rFonts w:eastAsiaTheme="minorEastAsia"/>
        </w:rPr>
        <w:t xml:space="preserve"> – Michaelis-Menten constant for formate</w:t>
      </w:r>
      <w:r>
        <w:rPr>
          <w:rFonts w:eastAsiaTheme="minorEastAsia"/>
        </w:rPr>
        <w:br/>
      </w:r>
      <m:oMath>
        <m:sSubSup>
          <m:sSubSupPr>
            <m:ctrlPr>
              <w:rPr>
                <w:rFonts w:ascii="Cambria Math" w:eastAsia="Aptos" w:hAnsi="Cambria Math"/>
                <w:i/>
              </w:rPr>
            </m:ctrlPr>
          </m:sSubSupPr>
          <m:e>
            <m:r>
              <w:rPr>
                <w:rFonts w:ascii="Cambria Math" w:eastAsia="Aptos" w:hAnsi="Cambria Math"/>
              </w:rPr>
              <m:t>K</m:t>
            </m:r>
          </m:e>
          <m:sub>
            <m:r>
              <w:rPr>
                <w:rFonts w:ascii="Cambria Math" w:eastAsia="Aptos" w:hAnsi="Cambria Math"/>
              </w:rPr>
              <m:t>M</m:t>
            </m:r>
          </m:sub>
          <m:sup>
            <m:r>
              <w:rPr>
                <w:rFonts w:ascii="Cambria Math" w:eastAsia="Aptos" w:hAnsi="Cambria Math"/>
              </w:rPr>
              <m:t>A</m:t>
            </m:r>
          </m:sup>
        </m:sSubSup>
      </m:oMath>
      <w:r>
        <w:rPr>
          <w:rFonts w:eastAsiaTheme="minorEastAsia"/>
        </w:rPr>
        <w:t xml:space="preserve"> - Michaelis-Menten constant for NAD</w:t>
      </w:r>
      <w:r>
        <w:rPr>
          <w:rFonts w:eastAsiaTheme="minorEastAsia"/>
          <w:vertAlign w:val="superscript"/>
        </w:rPr>
        <w:t>+</w:t>
      </w:r>
      <w:r>
        <w:rPr>
          <w:rFonts w:eastAsiaTheme="minorEastAsia"/>
          <w:vertAlign w:val="superscript"/>
        </w:rPr>
        <w:br/>
      </w:r>
      <m:oMath>
        <m:sSub>
          <m:sSubPr>
            <m:ctrlPr>
              <w:rPr>
                <w:rFonts w:ascii="Cambria Math" w:eastAsia="Aptos" w:hAnsi="Cambria Math"/>
                <w:i/>
              </w:rPr>
            </m:ctrlPr>
          </m:sSubPr>
          <m:e>
            <m:r>
              <w:rPr>
                <w:rFonts w:ascii="Cambria Math" w:eastAsia="Aptos" w:hAnsi="Cambria Math"/>
              </w:rPr>
              <m:t>k</m:t>
            </m:r>
          </m:e>
          <m:sub>
            <m:r>
              <w:rPr>
                <w:rFonts w:ascii="Cambria Math" w:eastAsia="Aptos" w:hAnsi="Cambria Math"/>
              </w:rPr>
              <m:t>cat</m:t>
            </m:r>
          </m:sub>
        </m:sSub>
      </m:oMath>
      <w:r>
        <w:rPr>
          <w:rFonts w:eastAsiaTheme="minorEastAsia"/>
        </w:rPr>
        <w:t xml:space="preserve"> – turnover number (used for FDH)</w:t>
      </w:r>
      <w:r>
        <w:rPr>
          <w:rFonts w:eastAsiaTheme="minorEastAsia"/>
        </w:rPr>
        <w:br/>
      </w:r>
      <m:oMath>
        <m:sSubSup>
          <m:sSubSupPr>
            <m:ctrlPr>
              <w:rPr>
                <w:rFonts w:ascii="Cambria Math" w:eastAsia="Aptos" w:hAnsi="Cambria Math"/>
                <w:i/>
              </w:rPr>
            </m:ctrlPr>
          </m:sSubSupPr>
          <m:e>
            <m:r>
              <w:rPr>
                <w:rFonts w:ascii="Cambria Math" w:eastAsia="Aptos" w:hAnsi="Cambria Math"/>
              </w:rPr>
              <m:t>K</m:t>
            </m:r>
          </m:e>
          <m:sub>
            <m:r>
              <w:rPr>
                <w:rFonts w:ascii="Cambria Math" w:eastAsia="Aptos" w:hAnsi="Cambria Math"/>
              </w:rPr>
              <m:t>M</m:t>
            </m:r>
          </m:sub>
          <m:sup>
            <m:r>
              <w:rPr>
                <w:rFonts w:ascii="Cambria Math" w:eastAsia="Aptos" w:hAnsi="Cambria Math"/>
              </w:rPr>
              <m:t>P</m:t>
            </m:r>
          </m:sup>
        </m:sSubSup>
      </m:oMath>
      <w:r>
        <w:rPr>
          <w:rFonts w:eastAsiaTheme="minorEastAsia"/>
        </w:rPr>
        <w:t xml:space="preserve"> – Michaelis-Menten constant for 2,3-butanediol</w:t>
      </w:r>
      <w:r>
        <w:rPr>
          <w:rFonts w:eastAsiaTheme="minorEastAsia"/>
        </w:rPr>
        <w:br/>
      </w:r>
      <m:oMath>
        <m:sSubSup>
          <m:sSubSupPr>
            <m:ctrlPr>
              <w:rPr>
                <w:rFonts w:ascii="Cambria Math" w:eastAsia="Aptos" w:hAnsi="Cambria Math"/>
                <w:i/>
              </w:rPr>
            </m:ctrlPr>
          </m:sSubSupPr>
          <m:e>
            <m:r>
              <w:rPr>
                <w:rFonts w:ascii="Cambria Math" w:eastAsia="Aptos" w:hAnsi="Cambria Math"/>
              </w:rPr>
              <m:t>K</m:t>
            </m:r>
          </m:e>
          <m:sub>
            <m:r>
              <w:rPr>
                <w:rFonts w:ascii="Cambria Math" w:eastAsia="Aptos" w:hAnsi="Cambria Math"/>
              </w:rPr>
              <m:t>M</m:t>
            </m:r>
          </m:sub>
          <m:sup>
            <m:r>
              <w:rPr>
                <w:rFonts w:ascii="Cambria Math" w:eastAsia="Aptos" w:hAnsi="Cambria Math"/>
              </w:rPr>
              <m:t>S</m:t>
            </m:r>
          </m:sup>
        </m:sSubSup>
      </m:oMath>
      <w:r>
        <w:rPr>
          <w:rFonts w:eastAsiaTheme="minorEastAsia"/>
        </w:rPr>
        <w:t xml:space="preserve"> – Michaelis-Menten constant for acetoin</w:t>
      </w:r>
      <w:r>
        <w:rPr>
          <w:rFonts w:eastAsiaTheme="minorEastAsia"/>
        </w:rPr>
        <w:br/>
      </w:r>
      <m:oMath>
        <m:sSubSup>
          <m:sSubSupPr>
            <m:ctrlPr>
              <w:rPr>
                <w:rFonts w:ascii="Cambria Math" w:eastAsia="Aptos" w:hAnsi="Cambria Math"/>
                <w:i/>
              </w:rPr>
            </m:ctrlPr>
          </m:sSubSupPr>
          <m:e>
            <m:r>
              <w:rPr>
                <w:rFonts w:ascii="Cambria Math" w:eastAsia="Aptos" w:hAnsi="Cambria Math"/>
              </w:rPr>
              <m:t>K</m:t>
            </m:r>
          </m:e>
          <m:sub>
            <m:r>
              <w:rPr>
                <w:rFonts w:ascii="Cambria Math" w:eastAsia="Aptos" w:hAnsi="Cambria Math"/>
              </w:rPr>
              <m:t>M</m:t>
            </m:r>
          </m:sub>
          <m:sup>
            <m:r>
              <w:rPr>
                <w:rFonts w:ascii="Cambria Math" w:eastAsia="Aptos" w:hAnsi="Cambria Math"/>
              </w:rPr>
              <m:t>Q</m:t>
            </m:r>
          </m:sup>
        </m:sSubSup>
      </m:oMath>
      <w:r>
        <w:rPr>
          <w:rFonts w:eastAsiaTheme="minorEastAsia"/>
        </w:rPr>
        <w:t>-</w:t>
      </w:r>
      <w:r w:rsidRPr="00D6071B">
        <w:rPr>
          <w:rFonts w:eastAsiaTheme="minorEastAsia"/>
        </w:rPr>
        <w:t xml:space="preserve"> </w:t>
      </w:r>
      <w:r>
        <w:rPr>
          <w:rFonts w:eastAsiaTheme="minorEastAsia"/>
        </w:rPr>
        <w:t>Michaelis-Menten constant NADH</w:t>
      </w:r>
      <w:r>
        <w:rPr>
          <w:rFonts w:eastAsiaTheme="minorEastAsia"/>
        </w:rPr>
        <w:br/>
      </w:r>
      <m:oMath>
        <m:sSubSup>
          <m:sSubSupPr>
            <m:ctrlPr>
              <w:rPr>
                <w:rFonts w:ascii="Cambria Math" w:eastAsia="Aptos" w:hAnsi="Cambria Math"/>
                <w:i/>
              </w:rPr>
            </m:ctrlPr>
          </m:sSubSupPr>
          <m:e>
            <m:r>
              <w:rPr>
                <w:rFonts w:ascii="Cambria Math" w:eastAsia="Aptos" w:hAnsi="Cambria Math"/>
              </w:rPr>
              <m:t>k</m:t>
            </m:r>
          </m:e>
          <m:sub>
            <m:r>
              <w:rPr>
                <w:rFonts w:ascii="Cambria Math" w:eastAsia="Aptos" w:hAnsi="Cambria Math"/>
              </w:rPr>
              <m:t>cat</m:t>
            </m:r>
          </m:sub>
          <m:sup>
            <m:r>
              <w:rPr>
                <w:rFonts w:ascii="Cambria Math" w:eastAsia="Aptos" w:hAnsi="Cambria Math"/>
              </w:rPr>
              <m:t>f</m:t>
            </m:r>
          </m:sup>
        </m:sSubSup>
      </m:oMath>
      <w:r>
        <w:rPr>
          <w:rFonts w:eastAsiaTheme="minorEastAsia"/>
        </w:rPr>
        <w:t xml:space="preserve"> – forward turn over number (used for BDH)</w:t>
      </w:r>
      <w:r>
        <w:rPr>
          <w:rFonts w:eastAsiaTheme="minorEastAsia"/>
        </w:rPr>
        <w:br/>
      </w:r>
      <m:oMath>
        <m:sSubSup>
          <m:sSubSupPr>
            <m:ctrlPr>
              <w:rPr>
                <w:rFonts w:ascii="Cambria Math" w:eastAsia="Aptos" w:hAnsi="Cambria Math"/>
                <w:i/>
              </w:rPr>
            </m:ctrlPr>
          </m:sSubSupPr>
          <m:e>
            <m:r>
              <w:rPr>
                <w:rFonts w:ascii="Cambria Math" w:eastAsia="Aptos" w:hAnsi="Cambria Math"/>
              </w:rPr>
              <m:t>k</m:t>
            </m:r>
          </m:e>
          <m:sub>
            <m:r>
              <w:rPr>
                <w:rFonts w:ascii="Cambria Math" w:eastAsia="Aptos" w:hAnsi="Cambria Math"/>
              </w:rPr>
              <m:t>cat</m:t>
            </m:r>
          </m:sub>
          <m:sup>
            <m:r>
              <w:rPr>
                <w:rFonts w:ascii="Cambria Math" w:eastAsia="Aptos" w:hAnsi="Cambria Math"/>
              </w:rPr>
              <m:t>r</m:t>
            </m:r>
          </m:sup>
        </m:sSubSup>
      </m:oMath>
      <w:r>
        <w:rPr>
          <w:rFonts w:eastAsiaTheme="minorEastAsia"/>
        </w:rPr>
        <w:t xml:space="preserve"> – backward turn over number (used for BDH)</w:t>
      </w:r>
      <w:r>
        <w:rPr>
          <w:rFonts w:eastAsiaTheme="minorEastAsia"/>
        </w:rPr>
        <w:br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pred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>
        <w:rPr>
          <w:rFonts w:eastAsiaTheme="minorEastAsia"/>
        </w:rPr>
        <w:t xml:space="preserve"> – predicted NADH concentration for dataset k at time t</w:t>
      </w:r>
      <w:r w:rsidR="00E417E2">
        <w:rPr>
          <w:rFonts w:eastAsiaTheme="minorEastAsia"/>
        </w:rPr>
        <w:br/>
        <w:t>A – metabolite NAD</w:t>
      </w:r>
      <w:r w:rsidR="00E417E2">
        <w:rPr>
          <w:rFonts w:eastAsiaTheme="minorEastAsia"/>
          <w:vertAlign w:val="superscript"/>
        </w:rPr>
        <w:t xml:space="preserve">+ </w:t>
      </w:r>
      <w:r w:rsidR="00E417E2">
        <w:rPr>
          <w:rFonts w:eastAsiaTheme="minorEastAsia"/>
          <w:vertAlign w:val="superscript"/>
        </w:rPr>
        <w:br/>
      </w:r>
      <w:r w:rsidR="00E417E2">
        <w:rPr>
          <w:rFonts w:eastAsiaTheme="minorEastAsia"/>
        </w:rPr>
        <w:t>B – metabolite formate</w:t>
      </w:r>
      <w:r w:rsidR="00E417E2">
        <w:rPr>
          <w:rFonts w:eastAsiaTheme="minorEastAsia"/>
        </w:rPr>
        <w:br/>
        <w:t>Q – metabolite NADH</w:t>
      </w:r>
      <w:r w:rsidR="00E417E2">
        <w:rPr>
          <w:rFonts w:eastAsiaTheme="minorEastAsia"/>
        </w:rPr>
        <w:br/>
        <w:t xml:space="preserve">S </w:t>
      </w:r>
      <w:r w:rsidR="00437835">
        <w:rPr>
          <w:rFonts w:eastAsiaTheme="minorEastAsia"/>
        </w:rPr>
        <w:t>–</w:t>
      </w:r>
      <w:r w:rsidR="00E417E2">
        <w:rPr>
          <w:rFonts w:eastAsiaTheme="minorEastAsia"/>
        </w:rPr>
        <w:t xml:space="preserve"> metabolite acetoin</w:t>
      </w:r>
      <w:r w:rsidR="00E417E2">
        <w:rPr>
          <w:rFonts w:eastAsiaTheme="minorEastAsia"/>
        </w:rPr>
        <w:br/>
        <w:t>P – metabolite 2,3-butanediol</w:t>
      </w:r>
      <w:r w:rsidR="00E417E2">
        <w:rPr>
          <w:rFonts w:eastAsiaTheme="minorEastAsia"/>
        </w:rPr>
        <w:br/>
      </w:r>
    </w:p>
    <w:p w14:paraId="3D7A40FF" w14:textId="557538AF" w:rsidR="00944743" w:rsidRDefault="00944743" w:rsidP="00944743">
      <w:pPr>
        <w:spacing w:line="240" w:lineRule="auto"/>
        <w:jc w:val="left"/>
        <w:rPr>
          <w:color w:val="000000" w:themeColor="text1"/>
        </w:rPr>
      </w:pPr>
    </w:p>
    <w:p w14:paraId="66FC8157" w14:textId="77777777" w:rsidR="00944743" w:rsidRPr="00944743" w:rsidRDefault="00944743" w:rsidP="00944743">
      <w:pPr>
        <w:spacing w:line="240" w:lineRule="auto"/>
        <w:jc w:val="left"/>
        <w:rPr>
          <w:color w:val="000000" w:themeColor="text1"/>
        </w:rPr>
      </w:pPr>
    </w:p>
    <w:p w14:paraId="40F40C84" w14:textId="5234BBE2" w:rsidR="00077D7C" w:rsidRDefault="00077D7C" w:rsidP="00944743">
      <w:pPr>
        <w:spacing w:line="240" w:lineRule="auto"/>
        <w:jc w:val="left"/>
        <w:rPr>
          <w:color w:val="000000" w:themeColor="text1"/>
        </w:rPr>
      </w:pPr>
      <w:r>
        <w:rPr>
          <w:color w:val="000000" w:themeColor="text1"/>
        </w:rPr>
        <w:t xml:space="preserve">The objective function of the optimization problem aims to minimize the squared distance between measured and experimental reaction flux at each discrete time point (t) with each point </w:t>
      </w:r>
      <w:r w:rsidR="00873698">
        <w:rPr>
          <w:color w:val="000000" w:themeColor="text1"/>
        </w:rPr>
        <w:t>weighed</w:t>
      </w:r>
      <w:r>
        <w:rPr>
          <w:color w:val="000000" w:themeColor="text1"/>
        </w:rPr>
        <w:t xml:space="preserve"> equally (</w:t>
      </w:r>
      <w:r w:rsidRPr="00077D7C">
        <w:rPr>
          <w:i/>
          <w:iCs/>
          <w:color w:val="000000" w:themeColor="text1"/>
        </w:rPr>
        <w:t>i.e.,</w:t>
      </w:r>
      <w:r>
        <w:rPr>
          <w:color w:val="000000" w:themeColor="text1"/>
        </w:rPr>
        <w:t xml:space="preserve"> 1). The formulation </w:t>
      </w:r>
      <w:r w:rsidR="00873698">
        <w:rPr>
          <w:color w:val="000000" w:themeColor="text1"/>
        </w:rPr>
        <w:t xml:space="preserve">for the sum of squared residuals (SSR) </w:t>
      </w:r>
      <w:r>
        <w:rPr>
          <w:color w:val="000000" w:themeColor="text1"/>
        </w:rPr>
        <w:t>is described as:</w:t>
      </w:r>
    </w:p>
    <w:p w14:paraId="161783F8" w14:textId="7B8410C5" w:rsidR="00077D7C" w:rsidRPr="00542573" w:rsidRDefault="00077D7C" w:rsidP="00944743">
      <w:pPr>
        <w:spacing w:line="240" w:lineRule="auto"/>
        <w:contextualSpacing/>
        <w:jc w:val="center"/>
      </w:pPr>
      <w:r>
        <w:rPr>
          <w:color w:val="000000" w:themeColor="text1"/>
        </w:rPr>
        <w:t>Minimize:</w:t>
      </w:r>
      <w:r>
        <w:rPr>
          <w:color w:val="000000" w:themeColor="text1"/>
        </w:rPr>
        <w:tab/>
        <w:t xml:space="preserve"> </w:t>
      </w:r>
      <m:oMath>
        <m:r>
          <w:rPr>
            <w:rFonts w:ascii="Cambria Math" w:hAnsi="Cambria Math"/>
            <w:color w:val="000000" w:themeColor="text1"/>
          </w:rPr>
          <m:t>S</m:t>
        </m:r>
        <m:r>
          <w:rPr>
            <w:rFonts w:ascii="Cambria Math" w:hAnsi="Cambria Math"/>
          </w:rPr>
          <m:t>SR=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k∈K</m:t>
            </m:r>
          </m:sub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meas</m:t>
                            </m:r>
                          </m:sup>
                        </m:sSub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pred</m:t>
                            </m:r>
                          </m:sup>
                        </m:sSub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1</m:t>
                </m:r>
              </m:den>
            </m:f>
          </m:e>
        </m:nary>
      </m:oMath>
    </w:p>
    <w:p w14:paraId="6D91097A" w14:textId="33D8D29C" w:rsidR="00077D7C" w:rsidRDefault="00077D7C" w:rsidP="00944743">
      <w:pPr>
        <w:spacing w:line="240" w:lineRule="auto"/>
        <w:ind w:left="720" w:firstLine="720"/>
        <w:jc w:val="left"/>
        <w:rPr>
          <w:color w:val="000000" w:themeColor="text1"/>
        </w:rPr>
      </w:pPr>
    </w:p>
    <w:p w14:paraId="0C9AE01B" w14:textId="2CBB25B0" w:rsidR="00873698" w:rsidRDefault="00E417E2" w:rsidP="00944743">
      <w:pPr>
        <w:spacing w:line="240" w:lineRule="auto"/>
      </w:pPr>
      <w:r>
        <w:t xml:space="preserve">There are two different </w:t>
      </w:r>
      <w:proofErr w:type="gramStart"/>
      <w:r>
        <w:t>set</w:t>
      </w:r>
      <w:proofErr w:type="gramEnd"/>
      <w:r>
        <w:t xml:space="preserve"> of constraints used: </w:t>
      </w:r>
      <w:r w:rsidRPr="00E417E2">
        <w:rPr>
          <w:i/>
          <w:iCs/>
        </w:rPr>
        <w:t>(a)</w:t>
      </w:r>
      <w:r>
        <w:t xml:space="preserve"> one for the parameterization of FDH and </w:t>
      </w:r>
      <w:r w:rsidRPr="00E417E2">
        <w:rPr>
          <w:i/>
          <w:iCs/>
        </w:rPr>
        <w:t>(b)</w:t>
      </w:r>
      <w:r>
        <w:t xml:space="preserve"> the other for the parameterization of BDH.</w:t>
      </w:r>
    </w:p>
    <w:p w14:paraId="0937A6D5" w14:textId="77777777" w:rsidR="00D30DEF" w:rsidRDefault="00D30DEF" w:rsidP="00944743">
      <w:pPr>
        <w:spacing w:line="240" w:lineRule="auto"/>
      </w:pPr>
    </w:p>
    <w:p w14:paraId="55767ADC" w14:textId="7D4E073B" w:rsidR="00D30DEF" w:rsidRDefault="00D30DEF" w:rsidP="00D30DEF">
      <w:pPr>
        <w:spacing w:line="240" w:lineRule="auto"/>
      </w:pPr>
      <w:r>
        <w:t>(a) For FDH the formulation is constrained as such:</w:t>
      </w:r>
    </w:p>
    <w:p w14:paraId="664B81F6" w14:textId="63C02F0A" w:rsidR="00D30DEF" w:rsidRDefault="00D30DEF" w:rsidP="00944743">
      <w:pPr>
        <w:spacing w:line="240" w:lineRule="auto"/>
      </w:pPr>
      <w:r>
        <w:t>Subject to:</w:t>
      </w:r>
    </w:p>
    <w:p w14:paraId="36EE3183" w14:textId="77777777" w:rsidR="00AE2A8C" w:rsidRPr="00542573" w:rsidRDefault="00D30DEF" w:rsidP="00AE2A8C">
      <w:pPr>
        <w:contextualSpacing/>
      </w:pPr>
      <m:oMathPara>
        <m:oMath>
          <m:r>
            <w:rPr>
              <w:rFonts w:ascii="Cambria Math" w:hAnsi="Cambria Math"/>
              <w:spacing w:val="-200"/>
              <w:kern w:val="4"/>
            </w:rPr>
            <m:t>v(FDH)=</m:t>
          </m:r>
          <m:f>
            <m:fPr>
              <m:ctrlPr>
                <w:rPr>
                  <w:rFonts w:ascii="Cambria Math" w:eastAsiaTheme="minorEastAsia" w:hAnsi="Cambria Math"/>
                  <w:i/>
                  <w:spacing w:val="-200"/>
                  <w:kern w:val="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pacing w:val="-200"/>
                      <w:kern w:val="4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200"/>
                      <w:kern w:val="4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pacing w:val="-200"/>
                      <w:kern w:val="4"/>
                    </w:rPr>
                    <m:t>cat</m:t>
                  </m:r>
                </m:sub>
              </m:sSub>
              <m:r>
                <w:rPr>
                  <w:rFonts w:ascii="Cambria Math" w:hAnsi="Cambria Math"/>
                  <w:spacing w:val="-200"/>
                  <w:kern w:val="4"/>
                </w:rPr>
                <m:t> 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pacing w:val="-200"/>
                      <w:kern w:val="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pacing w:val="-200"/>
                      <w:kern w:val="4"/>
                    </w:rPr>
                    <m:t>A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pacing w:val="-200"/>
                      <w:kern w:val="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pacing w:val="-200"/>
                      <w:kern w:val="4"/>
                    </w:rPr>
                    <m:t>B</m:t>
                  </m:r>
                </m:e>
              </m:d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pacing w:val="-300"/>
                      <w:kern w:val="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pacing w:val="-300"/>
                      <w:kern w:val="4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spacing w:val="-300"/>
                      <w:kern w:val="4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  <w:spacing w:val="-300"/>
                      <w:kern w:val="4"/>
                    </w:rPr>
                    <m:t>A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pacing w:val="-300"/>
                      <w:kern w:val="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pacing w:val="-300"/>
                      <w:kern w:val="4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spacing w:val="-300"/>
                      <w:kern w:val="4"/>
                    </w:rPr>
                    <m:t>M</m:t>
                  </m:r>
                </m:sub>
                <m:sup>
                  <m:r>
                    <w:rPr>
                      <w:rFonts w:ascii="Cambria Math" w:eastAsiaTheme="minorEastAsia" w:hAnsi="Cambria Math"/>
                      <w:spacing w:val="-300"/>
                      <w:kern w:val="4"/>
                    </w:rPr>
                    <m:t>B</m:t>
                  </m:r>
                </m:sup>
              </m:sSubSup>
              <m:r>
                <w:rPr>
                  <w:rFonts w:ascii="Cambria Math" w:eastAsiaTheme="minorEastAsia" w:hAnsi="Cambria Math"/>
                  <w:spacing w:val="-300"/>
                  <w:kern w:val="4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pacing w:val="-300"/>
                      <w:kern w:val="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pacing w:val="-300"/>
                      <w:kern w:val="4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spacing w:val="-300"/>
                      <w:kern w:val="4"/>
                    </w:rPr>
                    <m:t>M</m:t>
                  </m:r>
                </m:sub>
                <m:sup>
                  <m:r>
                    <w:rPr>
                      <w:rFonts w:ascii="Cambria Math" w:eastAsiaTheme="minorEastAsia" w:hAnsi="Cambria Math"/>
                      <w:spacing w:val="-300"/>
                      <w:kern w:val="4"/>
                    </w:rPr>
                    <m:t>B</m:t>
                  </m:r>
                </m:sup>
              </m:sSubSup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pacing w:val="-300"/>
                      <w:kern w:val="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pacing w:val="-300"/>
                      <w:kern w:val="4"/>
                    </w:rPr>
                    <m:t>A</m:t>
                  </m:r>
                </m:e>
              </m:d>
              <m:r>
                <w:rPr>
                  <w:rFonts w:ascii="Cambria Math" w:eastAsiaTheme="minorEastAsia" w:hAnsi="Cambria Math"/>
                  <w:spacing w:val="-300"/>
                  <w:kern w:val="4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pacing w:val="-300"/>
                      <w:kern w:val="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pacing w:val="-300"/>
                      <w:kern w:val="4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spacing w:val="-300"/>
                      <w:kern w:val="4"/>
                    </w:rPr>
                    <m:t>M</m:t>
                  </m:r>
                </m:sub>
                <m:sup>
                  <m:r>
                    <w:rPr>
                      <w:rFonts w:ascii="Cambria Math" w:eastAsiaTheme="minorEastAsia" w:hAnsi="Cambria Math"/>
                      <w:spacing w:val="-300"/>
                      <w:kern w:val="4"/>
                    </w:rPr>
                    <m:t>A</m:t>
                  </m:r>
                </m:sup>
              </m:sSubSup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pacing w:val="-300"/>
                      <w:kern w:val="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pacing w:val="-300"/>
                      <w:kern w:val="4"/>
                    </w:rPr>
                    <m:t>B</m:t>
                  </m:r>
                </m:e>
              </m:d>
              <m:r>
                <w:rPr>
                  <w:rFonts w:ascii="Cambria Math" w:eastAsiaTheme="minorEastAsia" w:hAnsi="Cambria Math"/>
                  <w:spacing w:val="-300"/>
                  <w:kern w:val="4"/>
                </w:rPr>
                <m:t>+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pacing w:val="-300"/>
                      <w:kern w:val="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pacing w:val="-300"/>
                      <w:kern w:val="4"/>
                    </w:rPr>
                    <m:t xml:space="preserve">A 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pacing w:val="-300"/>
                      <w:kern w:val="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pacing w:val="-300"/>
                      <w:kern w:val="4"/>
                    </w:rPr>
                    <m:t>B</m:t>
                  </m:r>
                </m:e>
              </m:d>
              <m:r>
                <w:rPr>
                  <w:rFonts w:ascii="Cambria Math" w:eastAsiaTheme="minorEastAsia" w:hAnsi="Cambria Math"/>
                  <w:spacing w:val="-300"/>
                  <w:kern w:val="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pacing w:val="-300"/>
                      <w:kern w:val="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pacing w:val="-300"/>
                          <w:kern w:val="4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pacing w:val="-300"/>
                          <w:kern w:val="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pacing w:val="-300"/>
                          <w:kern w:val="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pacing w:val="-300"/>
                          <w:kern w:val="4"/>
                        </w:rPr>
                        <m:t>A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pacing w:val="-300"/>
                          <w:kern w:val="4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pacing w:val="-300"/>
                          <w:kern w:val="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pacing w:val="-300"/>
                          <w:kern w:val="4"/>
                        </w:rPr>
                        <m:t>M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pacing w:val="-300"/>
                          <w:kern w:val="4"/>
                        </w:rPr>
                        <m:t>B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pacing w:val="-300"/>
                          <w:kern w:val="4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pacing w:val="-300"/>
                          <w:kern w:val="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pacing w:val="-300"/>
                          <w:kern w:val="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pacing w:val="-300"/>
                          <w:kern w:val="4"/>
                        </w:rPr>
                        <m:t>Q</m:t>
                      </m:r>
                    </m:sup>
                  </m:sSubSup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pacing w:val="-300"/>
                      <w:kern w:val="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pacing w:val="-300"/>
                      <w:kern w:val="4"/>
                    </w:rPr>
                    <m:t>Q</m:t>
                  </m:r>
                </m:e>
              </m:d>
              <m:r>
                <w:rPr>
                  <w:rFonts w:ascii="Cambria Math" w:eastAsiaTheme="minorEastAsia" w:hAnsi="Cambria Math"/>
                  <w:spacing w:val="-300"/>
                  <w:kern w:val="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pacing w:val="-300"/>
                      <w:kern w:val="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pacing w:val="-300"/>
                          <w:kern w:val="4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pacing w:val="-300"/>
                          <w:kern w:val="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pacing w:val="-300"/>
                          <w:kern w:val="4"/>
                        </w:rPr>
                        <m:t>M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pacing w:val="-300"/>
                          <w:kern w:val="4"/>
                        </w:rPr>
                        <m:t>A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pacing w:val="-300"/>
                          <w:kern w:val="4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pacing w:val="-300"/>
                          <w:kern w:val="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pacing w:val="-300"/>
                          <w:kern w:val="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pacing w:val="-300"/>
                          <w:kern w:val="4"/>
                        </w:rPr>
                        <m:t>Q</m:t>
                      </m:r>
                    </m:sup>
                  </m:sSubSup>
                </m:den>
              </m:f>
              <m:r>
                <w:rPr>
                  <w:rFonts w:ascii="Cambria Math" w:eastAsiaTheme="minorEastAsia" w:hAnsi="Cambria Math"/>
                  <w:spacing w:val="-300"/>
                  <w:kern w:val="4"/>
                </w:rPr>
                <m:t>[B][Q]</m:t>
              </m:r>
            </m:den>
          </m:f>
          <m:r>
            <w:rPr>
              <w:rFonts w:ascii="Cambria Math" w:eastAsiaTheme="minorEastAsia" w:hAnsi="Cambria Math"/>
              <w:spacing w:val="-200"/>
              <w:kern w:val="4"/>
            </w:rPr>
            <m:t>[</m:t>
          </m:r>
          <m:sSup>
            <m:sSupPr>
              <m:ctrlPr>
                <w:rPr>
                  <w:rFonts w:ascii="Cambria Math" w:eastAsiaTheme="minorEastAsia" w:hAnsi="Cambria Math"/>
                  <w:i/>
                  <w:spacing w:val="-200"/>
                  <w:kern w:val="4"/>
                </w:rPr>
              </m:ctrlPr>
            </m:sSupPr>
            <m:e>
              <m:r>
                <w:rPr>
                  <w:rFonts w:ascii="Cambria Math" w:eastAsiaTheme="minorEastAsia" w:hAnsi="Cambria Math"/>
                  <w:spacing w:val="-200"/>
                  <w:kern w:val="4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pacing w:val="-200"/>
                  <w:kern w:val="4"/>
                </w:rPr>
                <m:t>FDH</m:t>
              </m:r>
            </m:sup>
          </m:sSup>
          <m:r>
            <w:rPr>
              <w:rFonts w:ascii="Cambria Math" w:eastAsiaTheme="minorEastAsia" w:hAnsi="Cambria Math"/>
              <w:spacing w:val="-200"/>
              <w:kern w:val="4"/>
            </w:rPr>
            <m:t>]</m:t>
          </m:r>
          <m:r>
            <m:rPr>
              <m:sty m:val="p"/>
            </m:rPr>
            <w:rPr>
              <w:rFonts w:eastAsiaTheme="minorEastAsia"/>
              <w:spacing w:val="-200"/>
              <w:kern w:val="4"/>
            </w:rPr>
            <w:br/>
          </m:r>
        </m:oMath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NAD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decomp</m:t>
                  </m:r>
                </m:sub>
              </m:sSub>
            </m:e>
          </m:d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dQ</m:t>
              </m:r>
            </m:sub>
          </m:sSub>
          <m:r>
            <w:rPr>
              <w:rFonts w:ascii="Cambria Math" w:hAnsi="Cambria Math"/>
            </w:rPr>
            <m:t>[Q]</m:t>
          </m:r>
        </m:oMath>
      </m:oMathPara>
    </w:p>
    <w:p w14:paraId="627304B2" w14:textId="6AEE3399" w:rsidR="00D30DEF" w:rsidRPr="00542573" w:rsidRDefault="00D30DEF" w:rsidP="00D30DEF">
      <w:pPr>
        <w:contextualSpacing/>
        <w:rPr>
          <w:rFonts w:eastAsiaTheme="minorEastAsia"/>
          <w:spacing w:val="-200"/>
          <w:kern w:val="4"/>
        </w:rPr>
      </w:pPr>
    </w:p>
    <w:p w14:paraId="7AC2780B" w14:textId="762BDAC8" w:rsidR="003F02B9" w:rsidRPr="00174531" w:rsidRDefault="00871B7F" w:rsidP="00944743">
      <w:pPr>
        <w:spacing w:line="240" w:lineRule="auto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</m:t>
          </m:r>
          <m:r>
            <w:rPr>
              <w:rFonts w:ascii="Cambria Math" w:hAnsi="Cambria Math"/>
              <w:spacing w:val="-200"/>
              <w:kern w:val="4"/>
            </w:rPr>
            <m:t>v(FDH)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 -</m:t>
          </m:r>
          <m:r>
            <w:rPr>
              <w:rFonts w:ascii="Cambria Math" w:hAnsi="Cambria Math"/>
              <w:spacing w:val="-200"/>
              <w:kern w:val="4"/>
            </w:rPr>
            <m:t>v(FDH)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spacing w:val="-200"/>
              <w:kern w:val="4"/>
            </w:rPr>
            <m:t>v(FDH)</m:t>
          </m:r>
          <m:r>
            <w:rPr>
              <w:rFonts w:ascii="Cambria Math" w:hAnsi="Cambria Math"/>
            </w:rPr>
            <m:t>- 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NAD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decomp</m:t>
                  </m:r>
                </m:sub>
              </m:sSub>
            </m:e>
          </m:d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meas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0,k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</m:sub>
            <m:sup>
              <m:r>
                <w:rPr>
                  <w:rFonts w:ascii="Cambria Math" w:hAnsi="Cambria Math"/>
                </w:rPr>
                <m:t>pred</m:t>
              </m:r>
            </m:sup>
          </m:sSubSup>
          <m:r>
            <w:rPr>
              <w:rFonts w:ascii="Cambria Math" w:hAnsi="Cambria Math"/>
            </w:rPr>
            <m:t>=A(t)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,B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,Q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≥0</m:t>
          </m:r>
        </m:oMath>
      </m:oMathPara>
    </w:p>
    <w:p w14:paraId="51F13585" w14:textId="77777777" w:rsidR="004F31EF" w:rsidRDefault="004F31EF" w:rsidP="00174531">
      <w:pPr>
        <w:spacing w:line="240" w:lineRule="auto"/>
      </w:pPr>
    </w:p>
    <w:p w14:paraId="25267E90" w14:textId="60665C56" w:rsidR="00174531" w:rsidRDefault="00174531" w:rsidP="00174531">
      <w:pPr>
        <w:spacing w:line="240" w:lineRule="auto"/>
      </w:pPr>
      <w:r>
        <w:t xml:space="preserve">(b) For </w:t>
      </w:r>
      <w:r w:rsidR="00AE2A8C">
        <w:t>B</w:t>
      </w:r>
      <w:r>
        <w:t>DH the formulation is constrained as such:</w:t>
      </w:r>
    </w:p>
    <w:p w14:paraId="50D21462" w14:textId="77777777" w:rsidR="00174531" w:rsidRDefault="00174531" w:rsidP="00174531">
      <w:pPr>
        <w:spacing w:line="240" w:lineRule="auto"/>
      </w:pPr>
      <w:r>
        <w:t>Subject to:</w:t>
      </w:r>
    </w:p>
    <w:p w14:paraId="246EF8DC" w14:textId="77777777" w:rsidR="00AE2A8C" w:rsidRPr="00542573" w:rsidRDefault="00AE2A8C" w:rsidP="00AE2A8C">
      <w:pPr>
        <w:contextualSpacing/>
      </w:pPr>
      <m:oMathPara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BDH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cat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f</m:t>
                      </m:r>
                    </m:sup>
                  </m:sSubSup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d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S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Q</m:t>
                      </m:r>
                    </m:sup>
                  </m:sSubSup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cat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</m:t>
                      </m:r>
                    </m:sup>
                  </m:sSubSup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P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A</m:t>
                      </m:r>
                    </m:sup>
                  </m:sSubSup>
                </m:den>
              </m:f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p>
                      </m:sSubSup>
                    </m:den>
                  </m:f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d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</m:d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p>
                      </m:sSubSup>
                    </m:den>
                  </m:f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d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 xml:space="preserve"> -1</m:t>
              </m:r>
            </m:den>
          </m:f>
          <m:r>
            <w:rPr>
              <w:rFonts w:ascii="Cambria Math" w:hAnsi="Cambria Math"/>
            </w:rPr>
            <m:t>[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BDH</m:t>
              </m:r>
            </m:sup>
          </m:sSup>
          <m:r>
            <w:rPr>
              <w:rFonts w:ascii="Cambria Math" w:hAnsi="Cambria Math"/>
            </w:rPr>
            <m:t>]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NAD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decomp</m:t>
                  </m:r>
                </m:sub>
              </m:sSub>
            </m:e>
          </m:d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dQ</m:t>
              </m:r>
            </m:sub>
          </m:sSub>
          <m:r>
            <w:rPr>
              <w:rFonts w:ascii="Cambria Math" w:hAnsi="Cambria Math"/>
            </w:rPr>
            <m:t>[Q]</m:t>
          </m:r>
        </m:oMath>
      </m:oMathPara>
    </w:p>
    <w:p w14:paraId="0453E75F" w14:textId="504DC4BF" w:rsidR="00AE2A8C" w:rsidRPr="00542573" w:rsidRDefault="00AE2A8C" w:rsidP="00AE2A8C">
      <w:pPr>
        <w:contextualSpacing/>
        <w:jc w:val="center"/>
        <w:rPr>
          <w:rFonts w:eastAsiaTheme="minorEastAsia"/>
        </w:rPr>
      </w:pPr>
    </w:p>
    <w:p w14:paraId="777FE449" w14:textId="77777777" w:rsidR="004F31EF" w:rsidRPr="004F31EF" w:rsidRDefault="00871B7F" w:rsidP="00174531">
      <w:pPr>
        <w:spacing w:line="240" w:lineRule="auto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BDH</m:t>
              </m:r>
            </m:e>
          </m:d>
          <m:r>
            <w:rPr>
              <w:rFonts w:ascii="Cambria Math" w:hAnsi="Cambria Math"/>
            </w:rPr>
            <m:t>- 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NAD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decomp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 -v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BDH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BDH</m:t>
              </m:r>
            </m:e>
          </m:d>
          <m:r>
            <m:rPr>
              <m:sty m:val="p"/>
            </m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BDH</m:t>
              </m:r>
            </m:e>
          </m:d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meas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0,k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</m:sub>
            <m:sup>
              <m:r>
                <w:rPr>
                  <w:rFonts w:ascii="Cambria Math" w:hAnsi="Cambria Math"/>
                </w:rPr>
                <m:t>pred</m:t>
              </m:r>
            </m:sup>
          </m:sSubSup>
          <m:r>
            <w:rPr>
              <w:rFonts w:ascii="Cambria Math" w:hAnsi="Cambria Math"/>
            </w:rPr>
            <m:t>=A(t)</m:t>
          </m:r>
        </m:oMath>
      </m:oMathPara>
    </w:p>
    <w:p w14:paraId="02D9E8DC" w14:textId="1BDF56E6" w:rsidR="00174531" w:rsidRPr="004F31EF" w:rsidRDefault="00871B7F" w:rsidP="004F31EF">
      <w:pPr>
        <w:contextualSpacing/>
        <w:rPr>
          <w:i/>
          <w:iCs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K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eq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cat</m:t>
                  </m:r>
                </m:sub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f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P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A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cat</m:t>
                  </m:r>
                </m:sub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r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S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Q</m:t>
                  </m:r>
                </m:sup>
              </m:sSubSup>
            </m:den>
          </m:f>
          <m:r>
            <w:rPr>
              <w:rFonts w:ascii="Cambria Math" w:hAnsi="Cambria Math"/>
              <w:sz w:val="32"/>
              <w:szCs w:val="32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e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ΔG°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RT</m:t>
                  </m:r>
                </m:den>
              </m:f>
            </m:sup>
          </m:sSup>
          <m:r>
            <w:rPr>
              <w:rFonts w:ascii="Cambria Math" w:hAnsi="Cambria Math"/>
              <w:sz w:val="32"/>
              <w:szCs w:val="32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,S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,Q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,P(t)≥0</m:t>
          </m:r>
        </m:oMath>
      </m:oMathPara>
    </w:p>
    <w:p w14:paraId="4ABBE3FF" w14:textId="77777777" w:rsidR="00174531" w:rsidRDefault="00174531" w:rsidP="00944743">
      <w:pPr>
        <w:spacing w:line="240" w:lineRule="auto"/>
      </w:pPr>
    </w:p>
    <w:p w14:paraId="7338AA1A" w14:textId="77777777" w:rsidR="00AC4887" w:rsidRDefault="00AC4887" w:rsidP="00944743">
      <w:pPr>
        <w:spacing w:line="240" w:lineRule="auto"/>
      </w:pPr>
    </w:p>
    <w:p w14:paraId="159119B1" w14:textId="77777777" w:rsidR="00AC4887" w:rsidRDefault="00AC4887" w:rsidP="00944743">
      <w:pPr>
        <w:spacing w:line="240" w:lineRule="auto"/>
      </w:pPr>
    </w:p>
    <w:p w14:paraId="026CC102" w14:textId="77777777" w:rsidR="00AC4887" w:rsidRDefault="00AC4887" w:rsidP="00944743">
      <w:pPr>
        <w:spacing w:line="240" w:lineRule="auto"/>
      </w:pPr>
    </w:p>
    <w:p w14:paraId="0F29947F" w14:textId="49328F46" w:rsidR="00AC4887" w:rsidRDefault="00AC4887">
      <w:pPr>
        <w:snapToGrid/>
        <w:spacing w:line="278" w:lineRule="auto"/>
        <w:jc w:val="left"/>
      </w:pPr>
      <w:r>
        <w:br w:type="page"/>
      </w:r>
    </w:p>
    <w:p w14:paraId="33AF40AE" w14:textId="2F4140C8" w:rsidR="00AC4887" w:rsidRDefault="00AC4887" w:rsidP="00944743">
      <w:pPr>
        <w:spacing w:line="240" w:lineRule="auto"/>
      </w:pPr>
      <w:r>
        <w:lastRenderedPageBreak/>
        <w:t>Model discrimination</w:t>
      </w:r>
    </w:p>
    <w:p w14:paraId="57087557" w14:textId="2276BD12" w:rsidR="00AC4887" w:rsidRDefault="00AC4887" w:rsidP="00AC4887">
      <w:pPr>
        <w:spacing w:line="240" w:lineRule="auto"/>
      </w:pPr>
      <w:r>
        <w:t xml:space="preserve">To determine significance of the time-lag adjustment, we use an adjusted Bartlett’s </w:t>
      </w:r>
      <w:r w:rsidRPr="00AC4887">
        <w:t>χ</w:t>
      </w:r>
      <w:r w:rsidRPr="00AC4887">
        <w:rPr>
          <w:vertAlign w:val="superscript"/>
        </w:rPr>
        <w:t>2</w:t>
      </w:r>
      <w:r>
        <w:t xml:space="preserve">-test to determine if the models (with and without time-lag adjustment) parameterized are independent from each other. We used equation (5) from </w:t>
      </w:r>
      <w:proofErr w:type="spellStart"/>
      <w:r>
        <w:t>Heijnen</w:t>
      </w:r>
      <w:proofErr w:type="spellEnd"/>
      <w:r>
        <w:t xml:space="preserve"> 200</w:t>
      </w:r>
      <w:r w:rsidR="008C07C2">
        <w:t>3</w:t>
      </w:r>
      <w:sdt>
        <w:sdtPr>
          <w:rPr>
            <w:color w:val="000000"/>
          </w:rPr>
          <w:tag w:val="MENDELEY_CITATION_v3_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"/>
          <w:id w:val="1695034257"/>
          <w:placeholder>
            <w:docPart w:val="DefaultPlaceholder_-1854013440"/>
          </w:placeholder>
        </w:sdtPr>
        <w:sdtEndPr/>
        <w:sdtContent>
          <w:r w:rsidR="000D472C" w:rsidRPr="000D472C">
            <w:rPr>
              <w:color w:val="000000"/>
            </w:rPr>
            <w:t>[1]</w:t>
          </w:r>
        </w:sdtContent>
      </w:sdt>
      <w:r>
        <w:t>, a study focusing on model discrimination of kinetic models shown below</w:t>
      </w:r>
      <w:r w:rsidR="00174509">
        <w:t>, we use variance of the SSR of all solutions found for s</w:t>
      </w:r>
      <w:r w:rsidR="00174509">
        <w:rPr>
          <w:vertAlign w:val="superscript"/>
        </w:rPr>
        <w:t>2</w:t>
      </w:r>
      <w:r>
        <w:t>:</w:t>
      </w:r>
    </w:p>
    <w:p w14:paraId="2D00E5BA" w14:textId="77777777" w:rsidR="00AC4887" w:rsidRDefault="00AC4887" w:rsidP="00AC4887">
      <w:pPr>
        <w:spacing w:line="240" w:lineRule="auto"/>
      </w:pPr>
    </w:p>
    <w:p w14:paraId="5D0BBC5C" w14:textId="73090392" w:rsidR="00AC4887" w:rsidRPr="007F0E3F" w:rsidRDefault="00AC4887" w:rsidP="00AC4887">
      <w:pPr>
        <w:spacing w:line="240" w:lineRule="auto"/>
      </w:pPr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m=1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tot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bSup>
                            </m:num>
                            <m:den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bSup>
                            </m:den>
                          </m:f>
                        </m:e>
                      </m:d>
                    </m:e>
                  </m:func>
                </m:e>
              </m:nary>
            </m:num>
            <m:den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M-1</m:t>
                      </m:r>
                    </m:e>
                  </m:d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m=1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M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n-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sub>
                          </m:sSub>
                        </m:den>
                      </m:f>
                    </m:e>
                  </m:nary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m=1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p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</m:sub>
                              </m:sSub>
                            </m:e>
                          </m:d>
                        </m:e>
                      </m:nary>
                    </m:den>
                  </m:f>
                </m:e>
              </m:d>
              <m:r>
                <w:rPr>
                  <w:rFonts w:ascii="Cambria Math" w:hAnsi="Cambria Math"/>
                </w:rPr>
                <m:t xml:space="preserve"> </m:t>
              </m:r>
            </m:den>
          </m:f>
          <m:r>
            <w:rPr>
              <w:rFonts w:ascii="Cambria Math" w:hAnsi="Cambria Math"/>
            </w:rPr>
            <m:t>~</m:t>
          </m:r>
          <m:r>
            <m:rPr>
              <m:sty m:val="p"/>
            </m:rPr>
            <w:rPr>
              <w:rFonts w:ascii="Cambria Math" w:hAnsi="Cambria Math"/>
            </w:rPr>
            <m:t>χ</m:t>
          </m:r>
          <m:r>
            <m:rPr>
              <m:sty m:val="p"/>
            </m:rPr>
            <w:rPr>
              <w:rFonts w:ascii="Cambria Math" w:hAnsi="Cambria Math"/>
              <w:vertAlign w:val="superscript"/>
            </w:rPr>
            <m:t>2</m:t>
          </m:r>
          <m:d>
            <m:dPr>
              <m:ctrlPr>
                <w:rPr>
                  <w:rFonts w:ascii="Cambria Math" w:hAnsi="Cambria Math"/>
                  <w:vertAlign w:val="superscript"/>
                </w:rPr>
              </m:ctrlPr>
            </m:dPr>
            <m:e>
              <m:r>
                <m:rPr>
                  <m:sty m:val="p"/>
                </m:rPr>
                <w:rPr>
                  <w:rFonts w:ascii="Cambria Math"/>
                  <w:vertAlign w:val="superscript"/>
                </w:rPr>
                <m:t>M</m:t>
              </m:r>
              <m:r>
                <m:rPr>
                  <m:sty m:val="p"/>
                </m:rPr>
                <w:rPr>
                  <w:rFonts w:ascii="Cambria Math"/>
                  <w:vertAlign w:val="superscript"/>
                </w:rPr>
                <m:t>-</m:t>
              </m:r>
              <m:r>
                <m:rPr>
                  <m:sty m:val="p"/>
                </m:rPr>
                <w:rPr>
                  <w:rFonts w:ascii="Cambria Math"/>
                  <w:vertAlign w:val="superscript"/>
                </w:rPr>
                <m:t>1</m:t>
              </m:r>
            </m:e>
          </m:d>
        </m:oMath>
      </m:oMathPara>
    </w:p>
    <w:p w14:paraId="19D13782" w14:textId="7F787467" w:rsidR="007F0E3F" w:rsidRDefault="007F0E3F" w:rsidP="00AC4887">
      <w:pPr>
        <w:spacing w:line="240" w:lineRule="auto"/>
      </w:pPr>
      <w:r>
        <w:t>Variable values are listed below:</w:t>
      </w:r>
    </w:p>
    <w:tbl>
      <w:tblPr>
        <w:tblStyle w:val="TableGrid"/>
        <w:tblW w:w="10623" w:type="dxa"/>
        <w:tblLook w:val="04A0" w:firstRow="1" w:lastRow="0" w:firstColumn="1" w:lastColumn="0" w:noHBand="0" w:noVBand="1"/>
      </w:tblPr>
      <w:tblGrid>
        <w:gridCol w:w="1178"/>
        <w:gridCol w:w="1070"/>
        <w:gridCol w:w="1405"/>
        <w:gridCol w:w="868"/>
        <w:gridCol w:w="1441"/>
        <w:gridCol w:w="1141"/>
        <w:gridCol w:w="1441"/>
        <w:gridCol w:w="1163"/>
        <w:gridCol w:w="916"/>
      </w:tblGrid>
      <w:tr w:rsidR="00B12CE3" w14:paraId="2E8B58B0" w14:textId="416C7882" w:rsidTr="00B12CE3">
        <w:trPr>
          <w:trHeight w:val="443"/>
        </w:trPr>
        <w:tc>
          <w:tcPr>
            <w:tcW w:w="1178" w:type="dxa"/>
          </w:tcPr>
          <w:p w14:paraId="2E4B723A" w14:textId="77777777" w:rsidR="00B12CE3" w:rsidRDefault="00B12CE3" w:rsidP="00514E58">
            <w:pPr>
              <w:spacing w:line="240" w:lineRule="auto"/>
              <w:jc w:val="left"/>
            </w:pPr>
          </w:p>
        </w:tc>
        <w:tc>
          <w:tcPr>
            <w:tcW w:w="1070" w:type="dxa"/>
          </w:tcPr>
          <w:p w14:paraId="1F69EB52" w14:textId="77777777" w:rsidR="00B12CE3" w:rsidRDefault="00B12CE3" w:rsidP="00514E58">
            <w:pPr>
              <w:spacing w:line="240" w:lineRule="auto"/>
              <w:jc w:val="left"/>
            </w:pPr>
          </w:p>
        </w:tc>
        <w:tc>
          <w:tcPr>
            <w:tcW w:w="1405" w:type="dxa"/>
          </w:tcPr>
          <w:p w14:paraId="3D7570DF" w14:textId="77777777" w:rsidR="00B12CE3" w:rsidRDefault="00B12CE3" w:rsidP="00514E58">
            <w:pPr>
              <w:spacing w:line="240" w:lineRule="auto"/>
              <w:jc w:val="left"/>
            </w:pPr>
          </w:p>
        </w:tc>
        <w:tc>
          <w:tcPr>
            <w:tcW w:w="868" w:type="dxa"/>
          </w:tcPr>
          <w:p w14:paraId="5D77EACF" w14:textId="77777777" w:rsidR="00B12CE3" w:rsidRDefault="00B12CE3" w:rsidP="00514E58">
            <w:pPr>
              <w:spacing w:line="240" w:lineRule="auto"/>
              <w:jc w:val="left"/>
            </w:pPr>
          </w:p>
        </w:tc>
        <w:tc>
          <w:tcPr>
            <w:tcW w:w="2582" w:type="dxa"/>
            <w:gridSpan w:val="2"/>
          </w:tcPr>
          <w:p w14:paraId="12BB2CE0" w14:textId="638BC750" w:rsidR="00B12CE3" w:rsidRDefault="00B12CE3" w:rsidP="00514E58">
            <w:pPr>
              <w:spacing w:line="240" w:lineRule="auto"/>
              <w:jc w:val="left"/>
            </w:pPr>
            <w:r>
              <w:t>With time delay</w:t>
            </w:r>
          </w:p>
        </w:tc>
        <w:tc>
          <w:tcPr>
            <w:tcW w:w="2604" w:type="dxa"/>
            <w:gridSpan w:val="2"/>
          </w:tcPr>
          <w:p w14:paraId="009350B1" w14:textId="2F7337B1" w:rsidR="00B12CE3" w:rsidRDefault="00B12CE3" w:rsidP="00514E58">
            <w:pPr>
              <w:spacing w:line="240" w:lineRule="auto"/>
              <w:jc w:val="left"/>
            </w:pPr>
            <w:r>
              <w:t>Without time delay</w:t>
            </w:r>
          </w:p>
        </w:tc>
        <w:tc>
          <w:tcPr>
            <w:tcW w:w="916" w:type="dxa"/>
          </w:tcPr>
          <w:p w14:paraId="7957F514" w14:textId="77777777" w:rsidR="00B12CE3" w:rsidRDefault="00B12CE3" w:rsidP="00514E58">
            <w:pPr>
              <w:spacing w:line="240" w:lineRule="auto"/>
              <w:jc w:val="left"/>
            </w:pPr>
          </w:p>
        </w:tc>
      </w:tr>
      <w:tr w:rsidR="00B12CE3" w14:paraId="7163E4DA" w14:textId="3E620903" w:rsidTr="00B12CE3">
        <w:trPr>
          <w:trHeight w:val="880"/>
        </w:trPr>
        <w:tc>
          <w:tcPr>
            <w:tcW w:w="1178" w:type="dxa"/>
          </w:tcPr>
          <w:p w14:paraId="68BA917C" w14:textId="2FB04E81" w:rsidR="00B12CE3" w:rsidRDefault="00B12CE3" w:rsidP="00514E58">
            <w:pPr>
              <w:spacing w:line="240" w:lineRule="auto"/>
              <w:jc w:val="left"/>
            </w:pPr>
            <w:r>
              <w:t>Model name</w:t>
            </w:r>
          </w:p>
        </w:tc>
        <w:tc>
          <w:tcPr>
            <w:tcW w:w="1070" w:type="dxa"/>
          </w:tcPr>
          <w:p w14:paraId="19236DA4" w14:textId="77777777" w:rsidR="00B12CE3" w:rsidRDefault="00B12CE3" w:rsidP="00514E58">
            <w:pPr>
              <w:spacing w:line="240" w:lineRule="auto"/>
              <w:jc w:val="left"/>
            </w:pPr>
            <w:r>
              <w:t xml:space="preserve">M </w:t>
            </w:r>
          </w:p>
          <w:p w14:paraId="586C3AAE" w14:textId="31CBF19F" w:rsidR="00B12CE3" w:rsidRDefault="00B12CE3" w:rsidP="00514E58">
            <w:pPr>
              <w:spacing w:line="240" w:lineRule="auto"/>
              <w:jc w:val="left"/>
            </w:pPr>
            <w:r>
              <w:t># Models</w:t>
            </w:r>
          </w:p>
        </w:tc>
        <w:tc>
          <w:tcPr>
            <w:tcW w:w="1405" w:type="dxa"/>
          </w:tcPr>
          <w:p w14:paraId="64C4796E" w14:textId="77777777" w:rsidR="00B12CE3" w:rsidRDefault="00B12CE3" w:rsidP="00514E58">
            <w:pPr>
              <w:spacing w:line="240" w:lineRule="auto"/>
              <w:jc w:val="left"/>
            </w:pPr>
            <w:r>
              <w:t xml:space="preserve">n </w:t>
            </w:r>
          </w:p>
          <w:p w14:paraId="4B140FFC" w14:textId="482AB887" w:rsidR="00B12CE3" w:rsidRDefault="00B12CE3" w:rsidP="00514E58">
            <w:pPr>
              <w:spacing w:line="240" w:lineRule="auto"/>
              <w:jc w:val="left"/>
            </w:pPr>
            <w:r>
              <w:t># data</w:t>
            </w:r>
            <w:r w:rsidR="00174509">
              <w:t>sets</w:t>
            </w:r>
          </w:p>
        </w:tc>
        <w:tc>
          <w:tcPr>
            <w:tcW w:w="868" w:type="dxa"/>
          </w:tcPr>
          <w:p w14:paraId="5BB60A2A" w14:textId="6CF7E59C" w:rsidR="00B12CE3" w:rsidRPr="007F0E3F" w:rsidRDefault="00871B7F" w:rsidP="00514E58">
            <w:pPr>
              <w:spacing w:line="240" w:lineRule="auto"/>
              <w:jc w:val="left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tot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1441" w:type="dxa"/>
          </w:tcPr>
          <w:p w14:paraId="6F33C4E7" w14:textId="242E9900" w:rsidR="00B12CE3" w:rsidRDefault="00B12CE3" w:rsidP="00514E58">
            <w:pPr>
              <w:spacing w:line="240" w:lineRule="auto"/>
              <w:jc w:val="left"/>
            </w:pPr>
            <w:r>
              <w:t>P</w:t>
            </w:r>
            <w:r>
              <w:rPr>
                <w:vertAlign w:val="subscript"/>
              </w:rPr>
              <w:t xml:space="preserve">m </w:t>
            </w:r>
          </w:p>
          <w:p w14:paraId="71B0E25E" w14:textId="7A3BB66C" w:rsidR="00B12CE3" w:rsidRPr="00514E58" w:rsidRDefault="00B12CE3" w:rsidP="00514E58">
            <w:pPr>
              <w:spacing w:line="240" w:lineRule="auto"/>
              <w:jc w:val="left"/>
            </w:pPr>
            <w:r>
              <w:t># parameters</w:t>
            </w:r>
          </w:p>
        </w:tc>
        <w:tc>
          <w:tcPr>
            <w:tcW w:w="1140" w:type="dxa"/>
          </w:tcPr>
          <w:p w14:paraId="10D384E3" w14:textId="1734056F" w:rsidR="00B12CE3" w:rsidRDefault="00871B7F" w:rsidP="00514E58">
            <w:pPr>
              <w:spacing w:line="240" w:lineRule="auto"/>
              <w:jc w:val="left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1441" w:type="dxa"/>
          </w:tcPr>
          <w:p w14:paraId="18B41E08" w14:textId="6CB984F5" w:rsidR="00B12CE3" w:rsidRDefault="00B12CE3" w:rsidP="00514E58">
            <w:pPr>
              <w:spacing w:line="240" w:lineRule="auto"/>
              <w:jc w:val="left"/>
            </w:pPr>
            <w:r>
              <w:t>P</w:t>
            </w:r>
            <w:r>
              <w:rPr>
                <w:vertAlign w:val="subscript"/>
              </w:rPr>
              <w:t xml:space="preserve">m </w:t>
            </w:r>
          </w:p>
          <w:p w14:paraId="6C45E372" w14:textId="4C424BCD" w:rsidR="00B12CE3" w:rsidRDefault="00B12CE3" w:rsidP="00514E58">
            <w:pPr>
              <w:spacing w:line="240" w:lineRule="auto"/>
              <w:jc w:val="left"/>
            </w:pPr>
            <w:r>
              <w:t># parameters</w:t>
            </w:r>
          </w:p>
        </w:tc>
        <w:tc>
          <w:tcPr>
            <w:tcW w:w="1162" w:type="dxa"/>
          </w:tcPr>
          <w:p w14:paraId="29E92CAE" w14:textId="3A62683E" w:rsidR="00B12CE3" w:rsidRPr="00514E58" w:rsidRDefault="00871B7F" w:rsidP="00514E58">
            <w:pPr>
              <w:spacing w:line="240" w:lineRule="auto"/>
              <w:jc w:val="left"/>
              <w:rPr>
                <w:rFonts w:ascii="Cambria Math" w:hAnsi="Cambria Math"/>
                <w:i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916" w:type="dxa"/>
          </w:tcPr>
          <w:p w14:paraId="52007E99" w14:textId="207EC82B" w:rsidR="00B12CE3" w:rsidRDefault="00B12CE3" w:rsidP="00514E58">
            <w:pPr>
              <w:spacing w:line="240" w:lineRule="auto"/>
              <w:jc w:val="left"/>
            </w:pPr>
            <w:r>
              <w:t>T</w:t>
            </w:r>
            <w:r w:rsidR="009E1F41">
              <w:t xml:space="preserve"> </w:t>
            </w:r>
          </w:p>
        </w:tc>
      </w:tr>
      <w:tr w:rsidR="00B12CE3" w14:paraId="3CEC0098" w14:textId="78058A7F" w:rsidTr="00B12CE3">
        <w:trPr>
          <w:trHeight w:val="450"/>
        </w:trPr>
        <w:tc>
          <w:tcPr>
            <w:tcW w:w="1178" w:type="dxa"/>
          </w:tcPr>
          <w:p w14:paraId="204F70A4" w14:textId="3C86E108" w:rsidR="00B12CE3" w:rsidRDefault="00B12CE3" w:rsidP="00514E58">
            <w:pPr>
              <w:spacing w:line="240" w:lineRule="auto"/>
              <w:jc w:val="left"/>
            </w:pPr>
            <w:r>
              <w:t>FDH – B1</w:t>
            </w:r>
          </w:p>
        </w:tc>
        <w:tc>
          <w:tcPr>
            <w:tcW w:w="1070" w:type="dxa"/>
          </w:tcPr>
          <w:p w14:paraId="22A0F75B" w14:textId="4A3A0A21" w:rsidR="00B12CE3" w:rsidRDefault="00B12CE3" w:rsidP="00514E58">
            <w:pPr>
              <w:spacing w:line="240" w:lineRule="auto"/>
              <w:jc w:val="left"/>
            </w:pPr>
            <w:r>
              <w:t>2</w:t>
            </w:r>
          </w:p>
        </w:tc>
        <w:tc>
          <w:tcPr>
            <w:tcW w:w="1405" w:type="dxa"/>
          </w:tcPr>
          <w:p w14:paraId="143E253E" w14:textId="6DC370BF" w:rsidR="00B12CE3" w:rsidRDefault="00174509" w:rsidP="00514E58">
            <w:pPr>
              <w:spacing w:line="240" w:lineRule="auto"/>
              <w:jc w:val="left"/>
            </w:pPr>
            <w:r>
              <w:t>19</w:t>
            </w:r>
          </w:p>
        </w:tc>
        <w:tc>
          <w:tcPr>
            <w:tcW w:w="868" w:type="dxa"/>
          </w:tcPr>
          <w:p w14:paraId="2F27846E" w14:textId="5FDB6B36" w:rsidR="00B12CE3" w:rsidRDefault="00B12CE3" w:rsidP="00514E58">
            <w:pPr>
              <w:spacing w:line="240" w:lineRule="auto"/>
              <w:jc w:val="left"/>
            </w:pPr>
            <w:r>
              <w:t>0.109</w:t>
            </w:r>
          </w:p>
        </w:tc>
        <w:tc>
          <w:tcPr>
            <w:tcW w:w="1441" w:type="dxa"/>
          </w:tcPr>
          <w:p w14:paraId="1A103FB0" w14:textId="6E2DB84F" w:rsidR="00B12CE3" w:rsidRDefault="00174509" w:rsidP="00514E58">
            <w:pPr>
              <w:spacing w:line="240" w:lineRule="auto"/>
              <w:jc w:val="left"/>
            </w:pPr>
            <w:r>
              <w:t>8</w:t>
            </w:r>
          </w:p>
        </w:tc>
        <w:tc>
          <w:tcPr>
            <w:tcW w:w="1140" w:type="dxa"/>
          </w:tcPr>
          <w:p w14:paraId="48946349" w14:textId="01C6E563" w:rsidR="00B12CE3" w:rsidRDefault="00B12CE3" w:rsidP="00514E58">
            <w:pPr>
              <w:spacing w:line="240" w:lineRule="auto"/>
              <w:jc w:val="left"/>
            </w:pPr>
            <w:r>
              <w:t>0.00569</w:t>
            </w:r>
          </w:p>
        </w:tc>
        <w:tc>
          <w:tcPr>
            <w:tcW w:w="1441" w:type="dxa"/>
          </w:tcPr>
          <w:p w14:paraId="5FE391FA" w14:textId="64E247CA" w:rsidR="00B12CE3" w:rsidRDefault="00174509" w:rsidP="00514E58">
            <w:pPr>
              <w:spacing w:line="240" w:lineRule="auto"/>
              <w:jc w:val="left"/>
            </w:pPr>
            <w:r>
              <w:t>7</w:t>
            </w:r>
          </w:p>
        </w:tc>
        <w:tc>
          <w:tcPr>
            <w:tcW w:w="1162" w:type="dxa"/>
          </w:tcPr>
          <w:p w14:paraId="7C68009A" w14:textId="258EE9E2" w:rsidR="00B12CE3" w:rsidRDefault="00B12CE3" w:rsidP="00514E58">
            <w:pPr>
              <w:spacing w:line="240" w:lineRule="auto"/>
              <w:jc w:val="left"/>
            </w:pPr>
            <w:r>
              <w:t>0.0860</w:t>
            </w:r>
          </w:p>
        </w:tc>
        <w:tc>
          <w:tcPr>
            <w:tcW w:w="916" w:type="dxa"/>
          </w:tcPr>
          <w:p w14:paraId="079F1EF4" w14:textId="30B97EAB" w:rsidR="00B12CE3" w:rsidRDefault="009E1F41" w:rsidP="00514E58">
            <w:pPr>
              <w:spacing w:line="240" w:lineRule="auto"/>
              <w:jc w:val="left"/>
            </w:pPr>
            <w:r>
              <w:t>33.8</w:t>
            </w:r>
          </w:p>
        </w:tc>
      </w:tr>
      <w:tr w:rsidR="00B12CE3" w14:paraId="38C7CDE3" w14:textId="7E733102" w:rsidTr="00B12CE3">
        <w:trPr>
          <w:trHeight w:val="425"/>
        </w:trPr>
        <w:tc>
          <w:tcPr>
            <w:tcW w:w="1178" w:type="dxa"/>
          </w:tcPr>
          <w:p w14:paraId="3441729C" w14:textId="3F46D40E" w:rsidR="00B12CE3" w:rsidRDefault="00B12CE3" w:rsidP="00514E58">
            <w:pPr>
              <w:spacing w:line="240" w:lineRule="auto"/>
              <w:jc w:val="left"/>
            </w:pPr>
            <w:r>
              <w:t>FDH – B2</w:t>
            </w:r>
          </w:p>
        </w:tc>
        <w:tc>
          <w:tcPr>
            <w:tcW w:w="1070" w:type="dxa"/>
          </w:tcPr>
          <w:p w14:paraId="4DD6A842" w14:textId="2FA37E8A" w:rsidR="00B12CE3" w:rsidRDefault="00B12CE3" w:rsidP="00514E58">
            <w:pPr>
              <w:spacing w:line="240" w:lineRule="auto"/>
              <w:jc w:val="left"/>
            </w:pPr>
            <w:r>
              <w:t>2</w:t>
            </w:r>
          </w:p>
        </w:tc>
        <w:tc>
          <w:tcPr>
            <w:tcW w:w="1405" w:type="dxa"/>
          </w:tcPr>
          <w:p w14:paraId="3F01D7CC" w14:textId="00566815" w:rsidR="00B12CE3" w:rsidRDefault="00174509" w:rsidP="00514E58">
            <w:pPr>
              <w:spacing w:line="240" w:lineRule="auto"/>
              <w:jc w:val="left"/>
            </w:pPr>
            <w:r>
              <w:t>59</w:t>
            </w:r>
          </w:p>
        </w:tc>
        <w:tc>
          <w:tcPr>
            <w:tcW w:w="868" w:type="dxa"/>
          </w:tcPr>
          <w:p w14:paraId="44C0958F" w14:textId="2C2C3E0C" w:rsidR="00B12CE3" w:rsidRDefault="00B12CE3" w:rsidP="00514E58">
            <w:pPr>
              <w:spacing w:line="240" w:lineRule="auto"/>
              <w:jc w:val="left"/>
            </w:pPr>
            <w:r>
              <w:t>9.89</w:t>
            </w:r>
          </w:p>
        </w:tc>
        <w:tc>
          <w:tcPr>
            <w:tcW w:w="1441" w:type="dxa"/>
          </w:tcPr>
          <w:p w14:paraId="2B3670BB" w14:textId="15D8A14A" w:rsidR="00B12CE3" w:rsidRDefault="00174509" w:rsidP="00514E58">
            <w:pPr>
              <w:spacing w:line="240" w:lineRule="auto"/>
              <w:jc w:val="left"/>
            </w:pPr>
            <w:r>
              <w:t>8</w:t>
            </w:r>
          </w:p>
        </w:tc>
        <w:tc>
          <w:tcPr>
            <w:tcW w:w="1140" w:type="dxa"/>
          </w:tcPr>
          <w:p w14:paraId="6330E2A0" w14:textId="60828ADA" w:rsidR="00B12CE3" w:rsidRDefault="00B12CE3" w:rsidP="00514E58">
            <w:pPr>
              <w:spacing w:line="240" w:lineRule="auto"/>
              <w:jc w:val="left"/>
            </w:pPr>
            <w:r>
              <w:t>1.86</w:t>
            </w:r>
          </w:p>
        </w:tc>
        <w:tc>
          <w:tcPr>
            <w:tcW w:w="1441" w:type="dxa"/>
          </w:tcPr>
          <w:p w14:paraId="7325FE9A" w14:textId="0292ACE2" w:rsidR="00B12CE3" w:rsidRDefault="00B12CE3" w:rsidP="00514E58">
            <w:pPr>
              <w:spacing w:line="240" w:lineRule="auto"/>
              <w:jc w:val="left"/>
            </w:pPr>
            <w:r>
              <w:t>7</w:t>
            </w:r>
          </w:p>
        </w:tc>
        <w:tc>
          <w:tcPr>
            <w:tcW w:w="1162" w:type="dxa"/>
          </w:tcPr>
          <w:p w14:paraId="628F9158" w14:textId="392C805D" w:rsidR="00B12CE3" w:rsidRDefault="00B12CE3" w:rsidP="00514E58">
            <w:pPr>
              <w:spacing w:line="240" w:lineRule="auto"/>
              <w:jc w:val="left"/>
            </w:pPr>
            <w:r>
              <w:t>7.82</w:t>
            </w:r>
          </w:p>
        </w:tc>
        <w:tc>
          <w:tcPr>
            <w:tcW w:w="916" w:type="dxa"/>
          </w:tcPr>
          <w:p w14:paraId="242C06AD" w14:textId="780F0267" w:rsidR="00B12CE3" w:rsidRDefault="009E1F41" w:rsidP="00514E58">
            <w:pPr>
              <w:spacing w:line="240" w:lineRule="auto"/>
              <w:jc w:val="left"/>
            </w:pPr>
            <w:r>
              <w:t>96.5</w:t>
            </w:r>
          </w:p>
        </w:tc>
      </w:tr>
      <w:tr w:rsidR="00B12CE3" w14:paraId="4BB3C1E7" w14:textId="4808D285" w:rsidTr="00B12CE3">
        <w:trPr>
          <w:trHeight w:val="450"/>
        </w:trPr>
        <w:tc>
          <w:tcPr>
            <w:tcW w:w="1178" w:type="dxa"/>
          </w:tcPr>
          <w:p w14:paraId="44DF8961" w14:textId="38346779" w:rsidR="00B12CE3" w:rsidRDefault="00B12CE3" w:rsidP="00514E58">
            <w:pPr>
              <w:spacing w:line="240" w:lineRule="auto"/>
              <w:jc w:val="left"/>
            </w:pPr>
            <w:r>
              <w:t>BDH – Z1</w:t>
            </w:r>
          </w:p>
        </w:tc>
        <w:tc>
          <w:tcPr>
            <w:tcW w:w="1070" w:type="dxa"/>
          </w:tcPr>
          <w:p w14:paraId="4EA636FD" w14:textId="2E3A32D9" w:rsidR="00B12CE3" w:rsidRDefault="00B12CE3" w:rsidP="00514E58">
            <w:pPr>
              <w:spacing w:line="240" w:lineRule="auto"/>
              <w:jc w:val="left"/>
            </w:pPr>
            <w:r>
              <w:t>2</w:t>
            </w:r>
          </w:p>
        </w:tc>
        <w:tc>
          <w:tcPr>
            <w:tcW w:w="1405" w:type="dxa"/>
          </w:tcPr>
          <w:p w14:paraId="59985F33" w14:textId="377C87A0" w:rsidR="00B12CE3" w:rsidRDefault="00174509" w:rsidP="00514E58">
            <w:pPr>
              <w:spacing w:line="240" w:lineRule="auto"/>
              <w:jc w:val="left"/>
            </w:pPr>
            <w:r>
              <w:t>78</w:t>
            </w:r>
          </w:p>
        </w:tc>
        <w:tc>
          <w:tcPr>
            <w:tcW w:w="868" w:type="dxa"/>
          </w:tcPr>
          <w:p w14:paraId="458918D2" w14:textId="3EDC3D28" w:rsidR="00B12CE3" w:rsidRDefault="00FD702A" w:rsidP="00514E58">
            <w:pPr>
              <w:spacing w:line="240" w:lineRule="auto"/>
              <w:jc w:val="left"/>
            </w:pPr>
            <w:r>
              <w:t>8.06</w:t>
            </w:r>
          </w:p>
        </w:tc>
        <w:tc>
          <w:tcPr>
            <w:tcW w:w="1441" w:type="dxa"/>
          </w:tcPr>
          <w:p w14:paraId="3789FC58" w14:textId="32B052D3" w:rsidR="00B12CE3" w:rsidRDefault="00B12CE3" w:rsidP="00514E58">
            <w:pPr>
              <w:spacing w:line="240" w:lineRule="auto"/>
              <w:jc w:val="left"/>
            </w:pPr>
            <w:r>
              <w:t xml:space="preserve"> </w:t>
            </w:r>
            <w:r w:rsidR="00174509">
              <w:t>9</w:t>
            </w:r>
          </w:p>
        </w:tc>
        <w:tc>
          <w:tcPr>
            <w:tcW w:w="1140" w:type="dxa"/>
          </w:tcPr>
          <w:p w14:paraId="0605E40F" w14:textId="5EC5321C" w:rsidR="00B12CE3" w:rsidRDefault="00FD702A" w:rsidP="00514E58">
            <w:pPr>
              <w:spacing w:line="240" w:lineRule="auto"/>
              <w:jc w:val="left"/>
            </w:pPr>
            <w:r>
              <w:t>0.068</w:t>
            </w:r>
          </w:p>
        </w:tc>
        <w:tc>
          <w:tcPr>
            <w:tcW w:w="1441" w:type="dxa"/>
          </w:tcPr>
          <w:p w14:paraId="46FF3251" w14:textId="4FFF099B" w:rsidR="00B12CE3" w:rsidRDefault="00B12CE3" w:rsidP="00514E58">
            <w:pPr>
              <w:spacing w:line="240" w:lineRule="auto"/>
              <w:jc w:val="left"/>
            </w:pPr>
            <w:r>
              <w:t>8</w:t>
            </w:r>
          </w:p>
        </w:tc>
        <w:tc>
          <w:tcPr>
            <w:tcW w:w="1162" w:type="dxa"/>
          </w:tcPr>
          <w:p w14:paraId="43A27D75" w14:textId="6D1E634F" w:rsidR="00FD702A" w:rsidRDefault="00FD702A" w:rsidP="00514E58">
            <w:pPr>
              <w:spacing w:line="240" w:lineRule="auto"/>
              <w:jc w:val="left"/>
            </w:pPr>
            <w:r>
              <w:t>10.3</w:t>
            </w:r>
          </w:p>
        </w:tc>
        <w:tc>
          <w:tcPr>
            <w:tcW w:w="916" w:type="dxa"/>
          </w:tcPr>
          <w:p w14:paraId="15811096" w14:textId="3A7ADB74" w:rsidR="00B12CE3" w:rsidRDefault="00FD702A" w:rsidP="00514E58">
            <w:pPr>
              <w:spacing w:line="240" w:lineRule="auto"/>
              <w:jc w:val="left"/>
            </w:pPr>
            <w:r>
              <w:t>310.1</w:t>
            </w:r>
          </w:p>
        </w:tc>
      </w:tr>
    </w:tbl>
    <w:p w14:paraId="3BDC6FED" w14:textId="77777777" w:rsidR="007F0E3F" w:rsidRDefault="007F0E3F" w:rsidP="00AC4887">
      <w:pPr>
        <w:spacing w:line="240" w:lineRule="auto"/>
      </w:pPr>
    </w:p>
    <w:p w14:paraId="2150CBBE" w14:textId="6D4B4741" w:rsidR="009E1F41" w:rsidRDefault="009E1F41" w:rsidP="00AC4887">
      <w:pPr>
        <w:spacing w:line="240" w:lineRule="auto"/>
      </w:pPr>
      <w:r w:rsidRPr="00AC4887">
        <w:t>χ</w:t>
      </w:r>
      <w:r w:rsidRPr="00AC4887">
        <w:rPr>
          <w:vertAlign w:val="superscript"/>
        </w:rPr>
        <w:t>2</w:t>
      </w:r>
      <w:r>
        <w:t>(</w:t>
      </w:r>
      <w:proofErr w:type="spellStart"/>
      <w:r>
        <w:t>df</w:t>
      </w:r>
      <w:proofErr w:type="spellEnd"/>
      <w:r>
        <w:t>= 1, α=0.0</w:t>
      </w:r>
      <w:r w:rsidR="001F2D0A">
        <w:t>01</w:t>
      </w:r>
      <w:r>
        <w:t xml:space="preserve">) = </w:t>
      </w:r>
      <w:r w:rsidR="001F2D0A">
        <w:t>10.828</w:t>
      </w:r>
    </w:p>
    <w:p w14:paraId="0030D0FC" w14:textId="549042F9" w:rsidR="009E1F41" w:rsidRDefault="009E1F41" w:rsidP="00AC4887">
      <w:pPr>
        <w:spacing w:line="240" w:lineRule="auto"/>
      </w:pPr>
      <w:r>
        <w:t xml:space="preserve">Test scores for all models </w:t>
      </w:r>
      <w:r w:rsidR="00144E0C">
        <w:t>are</w:t>
      </w:r>
      <w:r>
        <w:t xml:space="preserve"> greater than </w:t>
      </w:r>
      <w:r w:rsidR="00144E0C">
        <w:t>Bartlett’s</w:t>
      </w:r>
      <w:r>
        <w:t xml:space="preserve"> test score at α = 0.0</w:t>
      </w:r>
      <w:r w:rsidR="001F2D0A">
        <w:t>01</w:t>
      </w:r>
      <w:r>
        <w:t>, indicating significance between models.</w:t>
      </w:r>
    </w:p>
    <w:p w14:paraId="1323DF44" w14:textId="14BDBF87" w:rsidR="008C07C2" w:rsidRDefault="008C07C2">
      <w:pPr>
        <w:snapToGrid/>
        <w:spacing w:line="278" w:lineRule="auto"/>
        <w:jc w:val="left"/>
      </w:pPr>
      <w:r>
        <w:br w:type="page"/>
      </w:r>
    </w:p>
    <w:sdt>
      <w:sdtPr>
        <w:rPr>
          <w:color w:val="000000"/>
        </w:rPr>
        <w:tag w:val="MENDELEY_BIBLIOGRAPHY"/>
        <w:id w:val="842049322"/>
        <w:placeholder>
          <w:docPart w:val="DefaultPlaceholder_-1854013440"/>
        </w:placeholder>
      </w:sdtPr>
      <w:sdtEndPr/>
      <w:sdtContent>
        <w:p w14:paraId="61BB13FF" w14:textId="77777777" w:rsidR="000D472C" w:rsidRPr="000D472C" w:rsidRDefault="000D472C">
          <w:pPr>
            <w:autoSpaceDE w:val="0"/>
            <w:autoSpaceDN w:val="0"/>
            <w:ind w:hanging="640"/>
            <w:divId w:val="706295895"/>
            <w:rPr>
              <w:color w:val="000000"/>
            </w:rPr>
          </w:pPr>
          <w:r w:rsidRPr="000D472C">
            <w:rPr>
              <w:color w:val="000000"/>
            </w:rPr>
            <w:t xml:space="preserve">1. </w:t>
          </w:r>
          <w:r w:rsidRPr="000D472C">
            <w:rPr>
              <w:color w:val="000000"/>
            </w:rPr>
            <w:tab/>
            <w:t>Verheijen PJT. Model selection: An overview of practices in chemical engineering. 2003. pp. 85–104. doi:10.1016/S1570-7946(03)80071-8</w:t>
          </w:r>
        </w:p>
        <w:p w14:paraId="4E69618E" w14:textId="60FB0C74" w:rsidR="009E1F41" w:rsidRPr="009E1F41" w:rsidRDefault="000D472C" w:rsidP="00AC4887">
          <w:pPr>
            <w:spacing w:line="240" w:lineRule="auto"/>
          </w:pPr>
          <w:r w:rsidRPr="000D472C">
            <w:rPr>
              <w:color w:val="000000"/>
            </w:rPr>
            <w:t> </w:t>
          </w:r>
        </w:p>
      </w:sdtContent>
    </w:sdt>
    <w:sectPr w:rsidR="009E1F41" w:rsidRPr="009E1F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66760"/>
    <w:multiLevelType w:val="hybridMultilevel"/>
    <w:tmpl w:val="54966712"/>
    <w:lvl w:ilvl="0" w:tplc="5B32E5C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3004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980"/>
    <w:rsid w:val="00010030"/>
    <w:rsid w:val="00062AEA"/>
    <w:rsid w:val="00077D7C"/>
    <w:rsid w:val="000D472C"/>
    <w:rsid w:val="0010177E"/>
    <w:rsid w:val="00144E0C"/>
    <w:rsid w:val="00174509"/>
    <w:rsid w:val="00174531"/>
    <w:rsid w:val="0018470F"/>
    <w:rsid w:val="001D64EF"/>
    <w:rsid w:val="001F2D0A"/>
    <w:rsid w:val="003554BB"/>
    <w:rsid w:val="00390EF3"/>
    <w:rsid w:val="003F02B9"/>
    <w:rsid w:val="00401693"/>
    <w:rsid w:val="00437835"/>
    <w:rsid w:val="00455A38"/>
    <w:rsid w:val="004B0B6F"/>
    <w:rsid w:val="004B4EF0"/>
    <w:rsid w:val="004F31EF"/>
    <w:rsid w:val="00514E58"/>
    <w:rsid w:val="00647A86"/>
    <w:rsid w:val="00703708"/>
    <w:rsid w:val="00715255"/>
    <w:rsid w:val="00736D6A"/>
    <w:rsid w:val="007F0E3F"/>
    <w:rsid w:val="00871B7F"/>
    <w:rsid w:val="00873698"/>
    <w:rsid w:val="008C07C2"/>
    <w:rsid w:val="00935A5C"/>
    <w:rsid w:val="00944743"/>
    <w:rsid w:val="009E1F41"/>
    <w:rsid w:val="00A04099"/>
    <w:rsid w:val="00A70168"/>
    <w:rsid w:val="00AC4887"/>
    <w:rsid w:val="00AC6908"/>
    <w:rsid w:val="00AE2106"/>
    <w:rsid w:val="00AE2A8C"/>
    <w:rsid w:val="00B12CE3"/>
    <w:rsid w:val="00B35AAC"/>
    <w:rsid w:val="00B42797"/>
    <w:rsid w:val="00B85723"/>
    <w:rsid w:val="00C72CB3"/>
    <w:rsid w:val="00CC4914"/>
    <w:rsid w:val="00D30DEF"/>
    <w:rsid w:val="00D6071B"/>
    <w:rsid w:val="00D72C3D"/>
    <w:rsid w:val="00E0064D"/>
    <w:rsid w:val="00E417E2"/>
    <w:rsid w:val="00EC2980"/>
    <w:rsid w:val="00ED3E57"/>
    <w:rsid w:val="00F91519"/>
    <w:rsid w:val="00FD7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46F02"/>
  <w15:chartTrackingRefBased/>
  <w15:docId w15:val="{33DD8CCF-141C-47D0-9477-73540C6EF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D7C"/>
    <w:pPr>
      <w:snapToGrid w:val="0"/>
      <w:spacing w:line="480" w:lineRule="auto"/>
      <w:jc w:val="both"/>
    </w:pPr>
    <w:rPr>
      <w:rFonts w:ascii="Times New Roman" w:eastAsia="Times New Roman" w:hAnsi="Times New Roman" w:cs="Times New Roman"/>
      <w:bCs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2980"/>
    <w:pPr>
      <w:keepNext/>
      <w:keepLines/>
      <w:snapToGrid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bCs w:val="0"/>
      <w:color w:val="0F4761" w:themeColor="accent1" w:themeShade="BF"/>
      <w:kern w:val="2"/>
      <w:sz w:val="40"/>
      <w:szCs w:val="40"/>
      <w:lang w:eastAsia="ko-K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980"/>
    <w:pPr>
      <w:keepNext/>
      <w:keepLines/>
      <w:snapToGrid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bCs w:val="0"/>
      <w:color w:val="0F4761" w:themeColor="accent1" w:themeShade="BF"/>
      <w:kern w:val="2"/>
      <w:sz w:val="32"/>
      <w:szCs w:val="32"/>
      <w:lang w:eastAsia="ko-K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980"/>
    <w:pPr>
      <w:keepNext/>
      <w:keepLines/>
      <w:snapToGrid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bCs w:val="0"/>
      <w:color w:val="0F4761" w:themeColor="accent1" w:themeShade="BF"/>
      <w:kern w:val="2"/>
      <w:sz w:val="28"/>
      <w:szCs w:val="28"/>
      <w:lang w:eastAsia="ko-K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980"/>
    <w:pPr>
      <w:keepNext/>
      <w:keepLines/>
      <w:snapToGrid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bCs w:val="0"/>
      <w:i/>
      <w:iCs/>
      <w:color w:val="0F4761" w:themeColor="accent1" w:themeShade="BF"/>
      <w:kern w:val="2"/>
      <w:lang w:eastAsia="ko-KR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980"/>
    <w:pPr>
      <w:keepNext/>
      <w:keepLines/>
      <w:snapToGrid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bCs w:val="0"/>
      <w:color w:val="0F4761" w:themeColor="accent1" w:themeShade="BF"/>
      <w:kern w:val="2"/>
      <w:lang w:eastAsia="ko-KR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980"/>
    <w:pPr>
      <w:keepNext/>
      <w:keepLines/>
      <w:snapToGrid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bCs w:val="0"/>
      <w:i/>
      <w:iCs/>
      <w:color w:val="595959" w:themeColor="text1" w:themeTint="A6"/>
      <w:kern w:val="2"/>
      <w:lang w:eastAsia="ko-KR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980"/>
    <w:pPr>
      <w:keepNext/>
      <w:keepLines/>
      <w:snapToGrid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bCs w:val="0"/>
      <w:color w:val="595959" w:themeColor="text1" w:themeTint="A6"/>
      <w:kern w:val="2"/>
      <w:lang w:eastAsia="ko-KR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980"/>
    <w:pPr>
      <w:keepNext/>
      <w:keepLines/>
      <w:snapToGrid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bCs w:val="0"/>
      <w:i/>
      <w:iCs/>
      <w:color w:val="272727" w:themeColor="text1" w:themeTint="D8"/>
      <w:kern w:val="2"/>
      <w:lang w:eastAsia="ko-KR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980"/>
    <w:pPr>
      <w:keepNext/>
      <w:keepLines/>
      <w:snapToGrid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bCs w:val="0"/>
      <w:color w:val="272727" w:themeColor="text1" w:themeTint="D8"/>
      <w:kern w:val="2"/>
      <w:lang w:eastAsia="ko-KR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9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9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9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9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9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9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9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9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9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980"/>
    <w:pPr>
      <w:snapToGrid/>
      <w:spacing w:after="80" w:line="240" w:lineRule="auto"/>
      <w:contextualSpacing/>
      <w:jc w:val="left"/>
    </w:pPr>
    <w:rPr>
      <w:rFonts w:asciiTheme="majorHAnsi" w:eastAsiaTheme="majorEastAsia" w:hAnsiTheme="majorHAnsi" w:cstheme="majorBidi"/>
      <w:bCs w:val="0"/>
      <w:spacing w:val="-10"/>
      <w:kern w:val="28"/>
      <w:sz w:val="56"/>
      <w:szCs w:val="56"/>
      <w:lang w:eastAsia="ko-K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C2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980"/>
    <w:pPr>
      <w:numPr>
        <w:ilvl w:val="1"/>
      </w:numPr>
      <w:snapToGrid/>
      <w:spacing w:line="278" w:lineRule="auto"/>
      <w:jc w:val="left"/>
    </w:pPr>
    <w:rPr>
      <w:rFonts w:asciiTheme="minorHAnsi" w:eastAsiaTheme="majorEastAsia" w:hAnsiTheme="minorHAnsi" w:cstheme="majorBidi"/>
      <w:bCs w:val="0"/>
      <w:color w:val="595959" w:themeColor="text1" w:themeTint="A6"/>
      <w:spacing w:val="15"/>
      <w:kern w:val="2"/>
      <w:sz w:val="28"/>
      <w:szCs w:val="28"/>
      <w:lang w:eastAsia="ko-K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C2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980"/>
    <w:pPr>
      <w:snapToGrid/>
      <w:spacing w:before="160" w:line="278" w:lineRule="auto"/>
      <w:jc w:val="center"/>
    </w:pPr>
    <w:rPr>
      <w:rFonts w:asciiTheme="minorHAnsi" w:eastAsiaTheme="minorEastAsia" w:hAnsiTheme="minorHAnsi" w:cstheme="minorBidi"/>
      <w:bCs w:val="0"/>
      <w:i/>
      <w:iCs/>
      <w:color w:val="404040" w:themeColor="text1" w:themeTint="BF"/>
      <w:kern w:val="2"/>
      <w:lang w:eastAsia="ko-K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C29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980"/>
    <w:pPr>
      <w:snapToGrid/>
      <w:spacing w:line="278" w:lineRule="auto"/>
      <w:ind w:left="720"/>
      <w:contextualSpacing/>
      <w:jc w:val="left"/>
    </w:pPr>
    <w:rPr>
      <w:rFonts w:asciiTheme="minorHAnsi" w:eastAsiaTheme="minorEastAsia" w:hAnsiTheme="minorHAnsi" w:cstheme="minorBidi"/>
      <w:bCs w:val="0"/>
      <w:kern w:val="2"/>
      <w:lang w:eastAsia="ko-KR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C29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napToGrid/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bCs w:val="0"/>
      <w:i/>
      <w:iCs/>
      <w:color w:val="0F4761" w:themeColor="accent1" w:themeShade="BF"/>
      <w:kern w:val="2"/>
      <w:lang w:eastAsia="ko-KR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9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9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44743"/>
    <w:pPr>
      <w:spacing w:after="0" w:line="240" w:lineRule="auto"/>
    </w:pPr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417E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56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958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368BE4-E15C-4929-8D5C-9DA830DF5D00}"/>
      </w:docPartPr>
      <w:docPartBody>
        <w:p w:rsidR="00FD3DDF" w:rsidRDefault="00FD3DDF">
          <w:r w:rsidRPr="00AD273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DDF"/>
    <w:rsid w:val="00010030"/>
    <w:rsid w:val="00647A86"/>
    <w:rsid w:val="006B7E2E"/>
    <w:rsid w:val="00D72C3D"/>
    <w:rsid w:val="00FD3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B7E2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2715BAA-6877-4E71-83CE-E78E6FF90588}">
  <we:reference id="f78a3046-9e99-4300-aa2b-5814002b01a2" version="1.55.1.0" store="EXCatalog" storeType="EXCatalog"/>
  <we:alternateReferences>
    <we:reference id="WA104382081" version="1.55.1.0" store="en-US" storeType="OMEX"/>
  </we:alternateReferences>
  <we:properties>
    <we:property name="MENDELEY_CITATIONS" value="[{&quot;citationID&quot;:&quot;MENDELEY_CITATION_2bafdc2b-3a29-48a6-8f2a-4cb4a4c5deb1&quot;,&quot;properties&quot;:{&quot;noteIndex&quot;:0},&quot;isEdited&quot;:false,&quot;manualOverride&quot;:{&quot;isManuallyOverridden&quot;:false,&quot;citeprocText&quot;:&quot;[1]&quot;,&quot;manualOverrideText&quot;:&quot;&quot;},&quot;citationTag&quot;:&quot;MENDELEY_CITATION_v3_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&quot;,&quot;citationItems&quot;:[{&quot;id&quot;:&quot;16aec92a-693c-3258-8a0a-ddc13d3d045c&quot;,&quot;itemData&quot;:{&quot;type&quot;:&quot;chapter&quot;,&quot;id&quot;:&quot;16aec92a-693c-3258-8a0a-ddc13d3d045c&quot;,&quot;title&quot;:&quot;Model selection: An overview of practices in chemical engineering&quot;,&quot;author&quot;:[{&quot;family&quot;:&quot;Verheijen&quot;,&quot;given&quot;:&quot;Peter J.T.&quot;,&quot;parse-names&quot;:false,&quot;dropping-particle&quot;:&quot;&quot;,&quot;non-dropping-particle&quot;:&quot;&quot;}],&quot;DOI&quot;:&quot;10.1016/S1570-7946(03)80071-8&quot;,&quot;URL&quot;:&quot;https://linkinghub.elsevier.com/retrieve/pii/S1570794603800718&quot;,&quot;issued&quot;:{&quot;date-parts&quot;:[[2003]]},&quot;page&quot;:&quot;85-104&quot;,&quot;abstract&quot;:&quot;The problem of choosing out of a large set of models is considered here. Five criteria are mentioned: the level of rigor that a model describes phenomena; the accuracy of the model with respect to data; the adequacy of the model for the purpose of simulation, optimization or design; the flexibility of a model; and the computational complexity. The focus is on the purely statistical criteria. A systematic procedure is presented to eliminate sequentially hierarchical models and equivalent models, based on the F-test and Bartlett's χ 2-test. The use of Bayesian statistics as a tool is reviewed. And recent developments in optimization-based approaches are listed. An overview of available measures for the distance between models is given. It is shown that one should not accept a single model, as is engineering practice, but rather allow for a set of models when the selection does not give sufficient reason to discriminate between models. Examples from the area of reaction kinetics and adsorption are given.&quot;,&quot;container-title-short&quot;:&quot;&quot;},&quot;isTemporary&quot;:false}]}]"/>
    <we:property name="MENDELEY_CITATIONS_LOCALE_CODE" value="&quot;en-US&quot;"/>
    <we:property name="MENDELEY_CITATIONS_STYLE" value="{&quot;id&quot;:&quot;https://www.zotero.org/styles/plos-computational-biology&quot;,&quot;title&quot;:&quot;PLOS Computational Biology&quot;,&quot;format&quot;:&quot;numeric&quot;,&quot;defaultLocale&quot;:&quot;en-US&quot;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EF7379-A955-477B-B63C-2828FC54FA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5</Pages>
  <Words>635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Hu, Mengqi</dc:creator>
  <cp:keywords/>
  <dc:description/>
  <cp:lastModifiedBy>Hu, Mengqi</cp:lastModifiedBy>
  <cp:revision>29</cp:revision>
  <dcterms:created xsi:type="dcterms:W3CDTF">2025-07-08T20:45:00Z</dcterms:created>
  <dcterms:modified xsi:type="dcterms:W3CDTF">2025-07-29T15:18:00Z</dcterms:modified>
</cp:coreProperties>
</file>