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90F02" w14:textId="4D52C0C1" w:rsidR="007D4F45" w:rsidRPr="00617F09" w:rsidRDefault="00105C30" w:rsidP="00105C30">
      <w:pPr>
        <w:pStyle w:val="NoSpacing"/>
        <w:rPr>
          <w:b/>
          <w:bCs/>
          <w:sz w:val="24"/>
          <w:szCs w:val="24"/>
        </w:rPr>
      </w:pPr>
      <w:r w:rsidRPr="00617F09">
        <w:rPr>
          <w:b/>
          <w:bCs/>
          <w:sz w:val="24"/>
          <w:szCs w:val="24"/>
        </w:rPr>
        <w:t>Supplementary Materials 3</w:t>
      </w:r>
    </w:p>
    <w:p w14:paraId="7AB98773" w14:textId="3A8E30BA" w:rsidR="00617F09" w:rsidRDefault="00617F09" w:rsidP="00105C30">
      <w:pPr>
        <w:pStyle w:val="NoSpacing"/>
        <w:rPr>
          <w:sz w:val="24"/>
          <w:szCs w:val="24"/>
        </w:rPr>
      </w:pPr>
    </w:p>
    <w:p w14:paraId="7BF02369" w14:textId="5111A312" w:rsidR="00617F09" w:rsidRDefault="00D865F4" w:rsidP="00105C30">
      <w:pPr>
        <w:pStyle w:val="NoSpacing"/>
        <w:rPr>
          <w:sz w:val="24"/>
          <w:szCs w:val="24"/>
        </w:rPr>
      </w:pPr>
      <w:r>
        <w:rPr>
          <w:sz w:val="24"/>
          <w:szCs w:val="24"/>
        </w:rPr>
        <w:t>Comparison of m</w:t>
      </w:r>
      <w:r w:rsidR="00EE73F7">
        <w:rPr>
          <w:sz w:val="24"/>
          <w:szCs w:val="24"/>
        </w:rPr>
        <w:t xml:space="preserve">etabolic fluxes </w:t>
      </w:r>
      <w:r>
        <w:rPr>
          <w:sz w:val="24"/>
          <w:szCs w:val="24"/>
        </w:rPr>
        <w:t>distribution using Escher visualization</w:t>
      </w:r>
    </w:p>
    <w:p w14:paraId="58FD07B0" w14:textId="1D9CC8E5" w:rsidR="00EE73F7" w:rsidRDefault="00EE73F7" w:rsidP="00105C30">
      <w:pPr>
        <w:pStyle w:val="NoSpacing"/>
        <w:rPr>
          <w:sz w:val="24"/>
          <w:szCs w:val="24"/>
        </w:rPr>
      </w:pPr>
    </w:p>
    <w:p w14:paraId="72B085D9" w14:textId="6CE32485" w:rsidR="003960DE" w:rsidRPr="00DD296B" w:rsidRDefault="00D865F4" w:rsidP="00416224">
      <w:pPr>
        <w:pStyle w:val="NoSpacing"/>
        <w:jc w:val="both"/>
        <w:rPr>
          <w:b/>
          <w:bCs/>
          <w:sz w:val="24"/>
          <w:szCs w:val="24"/>
        </w:rPr>
      </w:pPr>
      <w:r>
        <w:rPr>
          <w:b/>
          <w:bCs/>
          <w:sz w:val="24"/>
          <w:szCs w:val="24"/>
        </w:rPr>
        <w:t xml:space="preserve">Case 1: </w:t>
      </w:r>
      <w:r w:rsidR="00D4581C">
        <w:rPr>
          <w:b/>
          <w:bCs/>
          <w:sz w:val="24"/>
          <w:szCs w:val="24"/>
        </w:rPr>
        <w:t>Growth maximization vs. TAG overproduction</w:t>
      </w:r>
    </w:p>
    <w:p w14:paraId="199ADC37" w14:textId="77777777" w:rsidR="00416224" w:rsidRDefault="00416224" w:rsidP="00416224">
      <w:pPr>
        <w:pStyle w:val="NoSpacing"/>
        <w:jc w:val="both"/>
        <w:rPr>
          <w:sz w:val="24"/>
          <w:szCs w:val="24"/>
        </w:rPr>
      </w:pPr>
    </w:p>
    <w:p w14:paraId="346A6D4A" w14:textId="3F2410DD" w:rsidR="00EE73F7" w:rsidRDefault="00B15899" w:rsidP="00416224">
      <w:pPr>
        <w:pStyle w:val="NoSpacing"/>
        <w:jc w:val="both"/>
        <w:rPr>
          <w:sz w:val="24"/>
          <w:szCs w:val="24"/>
        </w:rPr>
      </w:pPr>
      <w:r>
        <w:rPr>
          <w:sz w:val="24"/>
          <w:szCs w:val="24"/>
        </w:rPr>
        <w:t xml:space="preserve">Flux distributions for </w:t>
      </w:r>
      <w:r w:rsidR="00550A4E">
        <w:rPr>
          <w:sz w:val="24"/>
          <w:szCs w:val="24"/>
        </w:rPr>
        <w:t>growth maximization and TAG overproduction phenotype</w:t>
      </w:r>
      <w:r>
        <w:rPr>
          <w:sz w:val="24"/>
          <w:szCs w:val="24"/>
        </w:rPr>
        <w:t xml:space="preserve"> were obtained by performing parsimonious flux balance analysis procedure</w:t>
      </w:r>
      <w:r w:rsidR="005679AE">
        <w:rPr>
          <w:sz w:val="24"/>
          <w:szCs w:val="24"/>
        </w:rPr>
        <w:t xml:space="preserve"> (pFBA)</w:t>
      </w:r>
      <w:r>
        <w:rPr>
          <w:sz w:val="24"/>
          <w:szCs w:val="24"/>
        </w:rPr>
        <w:t xml:space="preserve"> </w:t>
      </w:r>
      <w:r>
        <w:rPr>
          <w:sz w:val="24"/>
          <w:szCs w:val="24"/>
        </w:rPr>
        <w:fldChar w:fldCharType="begin" w:fldLock="1"/>
      </w:r>
      <w:r w:rsidR="00124369">
        <w:rPr>
          <w:sz w:val="24"/>
          <w:szCs w:val="24"/>
        </w:rPr>
        <w:instrText>ADDIN CSL_CITATION {"citationItems":[{"id":"ITEM-1","itemData":{"DOI":"10.1038/msb.2010.47","ISSN":"1744-4292","PMID":"20664636","abstract":"After hundreds of generations of adaptive evolution at exponential growth, Escherichia coli grows as predicted using flux balance analysis (FBA) on genome-scale metabolic models (GEMs). However, it is not known whether the predicted pathway usage in FBA solutions is consistent with gene and protein expression in the wild-type and evolved strains. Here, we report that &gt;98% of active reactions from FBA optimal growth solutions are supported by transcriptomic and proteomic data. Moreover, when E. coli adapts to growth rate selective pressure, the evolved strains upregulate genes within the optimal growth predictions, and downregulate genes outside of the optimal growth solutions. In addition, bottlenecks from dosage limitations of computationally predicted essential genes are overcome in the evolved strains. We also identify regulatory processes that may contribute to the development of the optimal growth phenotype in the evolved strains, such as the downregulation of known regulons and stringent response suppression. Thus, differential gene and protein expression from wild-type and adaptively evolved strains supports observed growth phenotype changes, and is consistent with GEM-computed optimal growth states.","author":[{"dropping-particle":"","family":"Lewis","given":"Nathan E","non-dropping-particle":"","parse-names":false,"suffix":""},{"dropping-particle":"","family":"Hixson","given":"Kim K","non-dropping-particle":"","parse-names":false,"suffix":""},{"dropping-particle":"","family":"Conrad","given":"Tom M","non-dropping-particle":"","parse-names":false,"suffix":""},{"dropping-particle":"","family":"Lerman","given":"Joshua A","non-dropping-particle":"","parse-names":false,"suffix":""},{"dropping-particle":"","family":"Charusanti","given":"Pep","non-dropping-particle":"","parse-names":false,"suffix":""},{"dropping-particle":"","family":"Polpitiya","given":"Ashoka D","non-dropping-particle":"","parse-names":false,"suffix":""},{"dropping-particle":"","family":"Adkins","given":"Joshua N","non-dropping-particle":"","parse-names":false,"suffix":""},{"dropping-particle":"","family":"Schramm","given":"Gunnar","non-dropping-particle":"","parse-names":false,"suffix":""},{"dropping-particle":"","family":"Purvine","given":"Samuel O","non-dropping-particle":"","parse-names":false,"suffix":""},{"dropping-particle":"","family":"Lopez-Ferrer","given":"Daniel","non-dropping-particle":"","parse-names":false,"suffix":""},{"dropping-particle":"","family":"Weitz","given":"Karl K","non-dropping-particle":"","parse-names":false,"suffix":""},{"dropping-particle":"","family":"Eils","given":"Roland","non-dropping-particle":"","parse-names":false,"suffix":""},{"dropping-particle":"","family":"König","given":"Rainer","non-dropping-particle":"","parse-names":false,"suffix":""},{"dropping-particle":"","family":"Smith","given":"Richard D","non-dropping-particle":"","parse-names":false,"suffix":""},{"dropping-particle":"","family":"Palsson","given":"Bernhard Ø","non-dropping-particle":"","parse-names":false,"suffix":""}],"container-title":"Molecular systems biology","id":"ITEM-1","issue":"1","issued":{"date-parts":[["2010","7","1"]]},"page":"390","publisher":"EMBO Press","title":"Omic data from evolved E. coli are consistent with computed optimal growth from genome-scale models.","type":"article-journal","volume":"6"},"uris":["http://www.mendeley.com/documents/?uuid=7ed67f78-7233-3c8b-9e76-803744db8840"]}],"mendeley":{"formattedCitation":"(Lewis et al., 2010)","plainTextFormattedCitation":"(Lewis et al., 2010)","previouslyFormattedCitation":"(Lewis et al., 2010)"},"properties":{"noteIndex":0},"schema":"https://github.com/citation-style-language/schema/raw/master/csl-citation.json"}</w:instrText>
      </w:r>
      <w:r>
        <w:rPr>
          <w:sz w:val="24"/>
          <w:szCs w:val="24"/>
        </w:rPr>
        <w:fldChar w:fldCharType="separate"/>
      </w:r>
      <w:r w:rsidR="00124369" w:rsidRPr="00124369">
        <w:rPr>
          <w:noProof/>
          <w:sz w:val="24"/>
          <w:szCs w:val="24"/>
        </w:rPr>
        <w:t>(Lewis et al., 2010)</w:t>
      </w:r>
      <w:r>
        <w:rPr>
          <w:sz w:val="24"/>
          <w:szCs w:val="24"/>
        </w:rPr>
        <w:fldChar w:fldCharType="end"/>
      </w:r>
      <w:r w:rsidR="00341B2B">
        <w:rPr>
          <w:sz w:val="24"/>
          <w:szCs w:val="24"/>
        </w:rPr>
        <w:t xml:space="preserve"> and were visualized in Figure 1 and 2, respectively.</w:t>
      </w:r>
      <w:r w:rsidR="00416224">
        <w:rPr>
          <w:sz w:val="24"/>
          <w:szCs w:val="24"/>
        </w:rPr>
        <w:t xml:space="preserve"> In both case</w:t>
      </w:r>
      <w:r w:rsidR="00AC079A">
        <w:rPr>
          <w:sz w:val="24"/>
          <w:szCs w:val="24"/>
        </w:rPr>
        <w:t>s</w:t>
      </w:r>
      <w:r w:rsidR="00416224">
        <w:rPr>
          <w:sz w:val="24"/>
          <w:szCs w:val="24"/>
        </w:rPr>
        <w:t>, an uptake rate of 5 mmol glucose</w:t>
      </w:r>
      <w:r w:rsidR="00AD4F07">
        <w:rPr>
          <w:sz w:val="24"/>
          <w:szCs w:val="24"/>
        </w:rPr>
        <w:t>.</w:t>
      </w:r>
      <w:r w:rsidR="00416224">
        <w:rPr>
          <w:sz w:val="24"/>
          <w:szCs w:val="24"/>
        </w:rPr>
        <w:t>gDW</w:t>
      </w:r>
      <w:r w:rsidR="00AD4F07">
        <w:rPr>
          <w:sz w:val="24"/>
          <w:szCs w:val="24"/>
          <w:vertAlign w:val="superscript"/>
        </w:rPr>
        <w:t>-1</w:t>
      </w:r>
      <w:r w:rsidR="00AD4F07">
        <w:rPr>
          <w:sz w:val="24"/>
          <w:szCs w:val="24"/>
        </w:rPr>
        <w:t>.</w:t>
      </w:r>
      <w:r w:rsidR="00416224">
        <w:rPr>
          <w:sz w:val="24"/>
          <w:szCs w:val="24"/>
        </w:rPr>
        <w:t>hr</w:t>
      </w:r>
      <w:r w:rsidR="00AD4F07">
        <w:rPr>
          <w:sz w:val="24"/>
          <w:szCs w:val="24"/>
          <w:vertAlign w:val="superscript"/>
        </w:rPr>
        <w:t>-1</w:t>
      </w:r>
      <w:r w:rsidR="00416224">
        <w:rPr>
          <w:sz w:val="24"/>
          <w:szCs w:val="24"/>
        </w:rPr>
        <w:t xml:space="preserve"> was used.</w:t>
      </w:r>
      <w:r w:rsidR="005679AE">
        <w:rPr>
          <w:sz w:val="24"/>
          <w:szCs w:val="24"/>
        </w:rPr>
        <w:t xml:space="preserve"> On the figures, glucose, triacylglycerol (TAG), and </w:t>
      </w:r>
      <w:r w:rsidR="00780A4E">
        <w:rPr>
          <w:sz w:val="24"/>
          <w:szCs w:val="24"/>
        </w:rPr>
        <w:t>cytoplasmic</w:t>
      </w:r>
      <w:r w:rsidR="005679AE">
        <w:rPr>
          <w:sz w:val="24"/>
          <w:szCs w:val="24"/>
        </w:rPr>
        <w:t xml:space="preserve"> NADPH (used for fatty acid biosynthesis) were annotated. In TAG production maximization, </w:t>
      </w:r>
      <w:r w:rsidR="006C3D8F">
        <w:rPr>
          <w:sz w:val="24"/>
          <w:szCs w:val="24"/>
        </w:rPr>
        <w:t xml:space="preserve">oxygen uptake and </w:t>
      </w:r>
      <w:r w:rsidR="005679AE">
        <w:rPr>
          <w:sz w:val="24"/>
          <w:szCs w:val="24"/>
        </w:rPr>
        <w:t>electron transport chain</w:t>
      </w:r>
      <w:r w:rsidR="001D739D">
        <w:rPr>
          <w:sz w:val="24"/>
          <w:szCs w:val="24"/>
        </w:rPr>
        <w:t xml:space="preserve"> reactions</w:t>
      </w:r>
      <w:r w:rsidR="005679AE">
        <w:rPr>
          <w:sz w:val="24"/>
          <w:szCs w:val="24"/>
        </w:rPr>
        <w:t xml:space="preserve"> carry smaller amounts of fluxes compared to growth maximization. However, those energy generation fluxes</w:t>
      </w:r>
      <w:r w:rsidR="001D739D">
        <w:rPr>
          <w:sz w:val="24"/>
          <w:szCs w:val="24"/>
        </w:rPr>
        <w:t xml:space="preserve"> yielding TAG overproduction phenotype</w:t>
      </w:r>
      <w:r w:rsidR="005679AE">
        <w:rPr>
          <w:sz w:val="24"/>
          <w:szCs w:val="24"/>
        </w:rPr>
        <w:t xml:space="preserve"> were still significant. Oxidative pentose phosphate pathway was determined to be the main source of cytosolic NADPH</w:t>
      </w:r>
      <w:r w:rsidR="00770726">
        <w:rPr>
          <w:sz w:val="24"/>
          <w:szCs w:val="24"/>
        </w:rPr>
        <w:t xml:space="preserve"> in both phenotype</w:t>
      </w:r>
      <w:r w:rsidR="002E359E">
        <w:rPr>
          <w:sz w:val="24"/>
          <w:szCs w:val="24"/>
        </w:rPr>
        <w:t>s</w:t>
      </w:r>
      <w:r w:rsidR="00780A4E">
        <w:rPr>
          <w:sz w:val="24"/>
          <w:szCs w:val="24"/>
        </w:rPr>
        <w:t>.</w:t>
      </w:r>
      <w:r w:rsidR="00770726">
        <w:rPr>
          <w:sz w:val="24"/>
          <w:szCs w:val="24"/>
        </w:rPr>
        <w:t xml:space="preserve"> Cytoplasmic malic enzyme was found to be active for TAG overproduction phenotype under pFBA’s flux distribution assumption.</w:t>
      </w:r>
    </w:p>
    <w:p w14:paraId="4274C613" w14:textId="14DF8DDD" w:rsidR="00416224" w:rsidRDefault="00416224" w:rsidP="00416224">
      <w:pPr>
        <w:pStyle w:val="NoSpacing"/>
        <w:jc w:val="both"/>
        <w:rPr>
          <w:sz w:val="24"/>
          <w:szCs w:val="24"/>
        </w:rPr>
      </w:pPr>
    </w:p>
    <w:p w14:paraId="5F520B49" w14:textId="2A8CF3E1" w:rsidR="00416224" w:rsidRDefault="00416224" w:rsidP="00416224">
      <w:pPr>
        <w:pStyle w:val="NoSpacing"/>
        <w:jc w:val="both"/>
        <w:rPr>
          <w:sz w:val="24"/>
          <w:szCs w:val="24"/>
        </w:rPr>
      </w:pPr>
    </w:p>
    <w:p w14:paraId="7C74C65E" w14:textId="75185BC4" w:rsidR="00416224" w:rsidRPr="00416224" w:rsidRDefault="00416224" w:rsidP="00416224">
      <w:pPr>
        <w:pStyle w:val="NoSpacing"/>
        <w:jc w:val="both"/>
        <w:rPr>
          <w:b/>
          <w:bCs/>
          <w:sz w:val="24"/>
          <w:szCs w:val="24"/>
        </w:rPr>
      </w:pPr>
      <w:r w:rsidRPr="00416224">
        <w:rPr>
          <w:b/>
          <w:bCs/>
          <w:sz w:val="24"/>
          <w:szCs w:val="24"/>
        </w:rPr>
        <w:t>Case 2: Biomass reaction in carbon vs. nitrogen limitation</w:t>
      </w:r>
    </w:p>
    <w:p w14:paraId="42857573" w14:textId="14F79160" w:rsidR="00416224" w:rsidRDefault="00416224" w:rsidP="00416224">
      <w:pPr>
        <w:pStyle w:val="NoSpacing"/>
        <w:jc w:val="both"/>
        <w:rPr>
          <w:sz w:val="24"/>
          <w:szCs w:val="24"/>
        </w:rPr>
      </w:pPr>
    </w:p>
    <w:p w14:paraId="7890C61F" w14:textId="5FEC997E" w:rsidR="00416224" w:rsidRPr="007A710D" w:rsidRDefault="00AD4F07" w:rsidP="00416224">
      <w:pPr>
        <w:pStyle w:val="NoSpacing"/>
        <w:jc w:val="both"/>
        <w:rPr>
          <w:sz w:val="24"/>
          <w:szCs w:val="24"/>
        </w:rPr>
      </w:pPr>
      <w:r>
        <w:rPr>
          <w:sz w:val="24"/>
          <w:szCs w:val="24"/>
        </w:rPr>
        <w:t>Flux distributions</w:t>
      </w:r>
      <w:r w:rsidR="007B3BE4">
        <w:rPr>
          <w:sz w:val="24"/>
          <w:szCs w:val="24"/>
        </w:rPr>
        <w:t xml:space="preserve">, </w:t>
      </w:r>
      <w:r w:rsidR="00E934F0">
        <w:rPr>
          <w:sz w:val="24"/>
          <w:szCs w:val="24"/>
        </w:rPr>
        <w:t>obtained with using</w:t>
      </w:r>
      <w:r>
        <w:rPr>
          <w:sz w:val="24"/>
          <w:szCs w:val="24"/>
        </w:rPr>
        <w:t xml:space="preserve"> biomass reaction derived for carbon and nitrogen limitation</w:t>
      </w:r>
      <w:r w:rsidR="007B3BE4">
        <w:rPr>
          <w:sz w:val="24"/>
          <w:szCs w:val="24"/>
        </w:rPr>
        <w:t xml:space="preserve"> (respectively),</w:t>
      </w:r>
      <w:r>
        <w:rPr>
          <w:sz w:val="24"/>
          <w:szCs w:val="24"/>
        </w:rPr>
        <w:t xml:space="preserve"> were obtained by performing parsimonious flux balance analysis procedure (pFBA) </w:t>
      </w:r>
      <w:r>
        <w:rPr>
          <w:sz w:val="24"/>
          <w:szCs w:val="24"/>
        </w:rPr>
        <w:fldChar w:fldCharType="begin" w:fldLock="1"/>
      </w:r>
      <w:r>
        <w:rPr>
          <w:sz w:val="24"/>
          <w:szCs w:val="24"/>
        </w:rPr>
        <w:instrText>ADDIN CSL_CITATION {"citationItems":[{"id":"ITEM-1","itemData":{"DOI":"10.1038/msb.2010.47","ISSN":"1744-4292","PMID":"20664636","abstract":"After hundreds of generations of adaptive evolution at exponential growth, Escherichia coli grows as predicted using flux balance analysis (FBA) on genome-scale metabolic models (GEMs). However, it is not known whether the predicted pathway usage in FBA solutions is consistent with gene and protein expression in the wild-type and evolved strains. Here, we report that &gt;98% of active reactions from FBA optimal growth solutions are supported by transcriptomic and proteomic data. Moreover, when E. coli adapts to growth rate selective pressure, the evolved strains upregulate genes within the optimal growth predictions, and downregulate genes outside of the optimal growth solutions. In addition, bottlenecks from dosage limitations of computationally predicted essential genes are overcome in the evolved strains. We also identify regulatory processes that may contribute to the development of the optimal growth phenotype in the evolved strains, such as the downregulation of known regulons and stringent response suppression. Thus, differential gene and protein expression from wild-type and adaptively evolved strains supports observed growth phenotype changes, and is consistent with GEM-computed optimal growth states.","author":[{"dropping-particle":"","family":"Lewis","given":"Nathan E","non-dropping-particle":"","parse-names":false,"suffix":""},{"dropping-particle":"","family":"Hixson","given":"Kim K","non-dropping-particle":"","parse-names":false,"suffix":""},{"dropping-particle":"","family":"Conrad","given":"Tom M","non-dropping-particle":"","parse-names":false,"suffix":""},{"dropping-particle":"","family":"Lerman","given":"Joshua A","non-dropping-particle":"","parse-names":false,"suffix":""},{"dropping-particle":"","family":"Charusanti","given":"Pep","non-dropping-particle":"","parse-names":false,"suffix":""},{"dropping-particle":"","family":"Polpitiya","given":"Ashoka D","non-dropping-particle":"","parse-names":false,"suffix":""},{"dropping-particle":"","family":"Adkins","given":"Joshua N","non-dropping-particle":"","parse-names":false,"suffix":""},{"dropping-particle":"","family":"Schramm","given":"Gunnar","non-dropping-particle":"","parse-names":false,"suffix":""},{"dropping-particle":"","family":"Purvine","given":"Samuel O","non-dropping-particle":"","parse-names":false,"suffix":""},{"dropping-particle":"","family":"Lopez-Ferrer","given":"Daniel","non-dropping-particle":"","parse-names":false,"suffix":""},{"dropping-particle":"","family":"Weitz","given":"Karl K","non-dropping-particle":"","parse-names":false,"suffix":""},{"dropping-particle":"","family":"Eils","given":"Roland","non-dropping-particle":"","parse-names":false,"suffix":""},{"dropping-particle":"","family":"König","given":"Rainer","non-dropping-particle":"","parse-names":false,"suffix":""},{"dropping-particle":"","family":"Smith","given":"Richard D","non-dropping-particle":"","parse-names":false,"suffix":""},{"dropping-particle":"","family":"Palsson","given":"Bernhard Ø","non-dropping-particle":"","parse-names":false,"suffix":""}],"container-title":"Molecular systems biology","id":"ITEM-1","issue":"1","issued":{"date-parts":[["2010","7","1"]]},"page":"390","publisher":"EMBO Press","title":"Omic data from evolved E. coli are consistent with computed optimal growth from genome-scale models.","type":"article-journal","volume":"6"},"uris":["http://www.mendeley.com/documents/?uuid=7ed67f78-7233-3c8b-9e76-803744db8840"]}],"mendeley":{"formattedCitation":"(Lewis et al., 2010)","plainTextFormattedCitation":"(Lewis et al., 2010)","previouslyFormattedCitation":"(Lewis et al., 2010)"},"properties":{"noteIndex":0},"schema":"https://github.com/citation-style-language/schema/raw/master/csl-citation.json"}</w:instrText>
      </w:r>
      <w:r>
        <w:rPr>
          <w:sz w:val="24"/>
          <w:szCs w:val="24"/>
        </w:rPr>
        <w:fldChar w:fldCharType="separate"/>
      </w:r>
      <w:r w:rsidRPr="00124369">
        <w:rPr>
          <w:noProof/>
          <w:sz w:val="24"/>
          <w:szCs w:val="24"/>
        </w:rPr>
        <w:t>(Lewis et al., 2010)</w:t>
      </w:r>
      <w:r>
        <w:rPr>
          <w:sz w:val="24"/>
          <w:szCs w:val="24"/>
        </w:rPr>
        <w:fldChar w:fldCharType="end"/>
      </w:r>
      <w:r>
        <w:rPr>
          <w:sz w:val="24"/>
          <w:szCs w:val="24"/>
        </w:rPr>
        <w:t xml:space="preserve"> with an uptake rate 5 mmol glucose.gDW</w:t>
      </w:r>
      <w:r>
        <w:rPr>
          <w:sz w:val="24"/>
          <w:szCs w:val="24"/>
          <w:vertAlign w:val="superscript"/>
        </w:rPr>
        <w:t>-1</w:t>
      </w:r>
      <w:r>
        <w:rPr>
          <w:sz w:val="24"/>
          <w:szCs w:val="24"/>
        </w:rPr>
        <w:t>.hr</w:t>
      </w:r>
      <w:r>
        <w:rPr>
          <w:sz w:val="24"/>
          <w:szCs w:val="24"/>
          <w:vertAlign w:val="superscript"/>
        </w:rPr>
        <w:t>-1</w:t>
      </w:r>
      <w:r w:rsidR="00AF511E">
        <w:rPr>
          <w:sz w:val="24"/>
          <w:szCs w:val="24"/>
        </w:rPr>
        <w:t xml:space="preserve"> and growth maximization as objective</w:t>
      </w:r>
      <w:r>
        <w:rPr>
          <w:sz w:val="24"/>
          <w:szCs w:val="24"/>
        </w:rPr>
        <w:t>.</w:t>
      </w:r>
      <w:r w:rsidR="00A271BB">
        <w:rPr>
          <w:sz w:val="24"/>
          <w:szCs w:val="24"/>
        </w:rPr>
        <w:t xml:space="preserve"> In </w:t>
      </w:r>
      <w:r w:rsidR="00FA6795">
        <w:rPr>
          <w:sz w:val="24"/>
          <w:szCs w:val="24"/>
        </w:rPr>
        <w:t>Escher visualization</w:t>
      </w:r>
      <w:r w:rsidR="00A271BB">
        <w:rPr>
          <w:sz w:val="24"/>
          <w:szCs w:val="24"/>
        </w:rPr>
        <w:t xml:space="preserve"> (Figure 3 and 4), we used log2 of the ratio of fluxes using </w:t>
      </w:r>
      <w:r w:rsidR="002C0A8E">
        <w:rPr>
          <w:sz w:val="24"/>
          <w:szCs w:val="24"/>
        </w:rPr>
        <w:t>N and C-lim</w:t>
      </w:r>
      <w:r w:rsidR="0090082E">
        <w:rPr>
          <w:sz w:val="24"/>
          <w:szCs w:val="24"/>
        </w:rPr>
        <w:t>ited</w:t>
      </w:r>
      <w:r w:rsidR="00A271BB">
        <w:rPr>
          <w:sz w:val="24"/>
          <w:szCs w:val="24"/>
        </w:rPr>
        <w:t xml:space="preserve"> biomass reaction, respectively.</w:t>
      </w:r>
      <w:r w:rsidR="007B0846">
        <w:rPr>
          <w:sz w:val="24"/>
          <w:szCs w:val="24"/>
        </w:rPr>
        <w:t xml:space="preserve"> For biosynthesis pathways (Figure 3), the flux difference reflect</w:t>
      </w:r>
      <w:r w:rsidR="000639A7">
        <w:rPr>
          <w:sz w:val="24"/>
          <w:szCs w:val="24"/>
        </w:rPr>
        <w:t xml:space="preserve">s the shift in biomass composition </w:t>
      </w:r>
      <w:r w:rsidR="00A86B9C">
        <w:rPr>
          <w:rFonts w:cs="Times New Roman"/>
          <w:sz w:val="24"/>
          <w:szCs w:val="24"/>
        </w:rPr>
        <w:t>between</w:t>
      </w:r>
      <w:r w:rsidR="00A86B9C" w:rsidRPr="004F003B">
        <w:rPr>
          <w:rFonts w:cs="Times New Roman"/>
          <w:sz w:val="24"/>
          <w:szCs w:val="24"/>
        </w:rPr>
        <w:t xml:space="preserve"> </w:t>
      </w:r>
      <w:r w:rsidR="00A86B9C">
        <w:rPr>
          <w:rFonts w:cs="Times New Roman"/>
          <w:sz w:val="24"/>
          <w:szCs w:val="24"/>
        </w:rPr>
        <w:t>C and N-limited</w:t>
      </w:r>
      <w:r w:rsidR="00A86B9C" w:rsidRPr="004F003B">
        <w:rPr>
          <w:rFonts w:cs="Times New Roman"/>
          <w:sz w:val="24"/>
          <w:szCs w:val="24"/>
        </w:rPr>
        <w:t xml:space="preserve"> conditions </w:t>
      </w:r>
      <w:r w:rsidR="000639A7">
        <w:rPr>
          <w:sz w:val="24"/>
          <w:szCs w:val="24"/>
        </w:rPr>
        <w:t>such as lower carbohydrate (cell wall) and protein biosynthesis and higher lipid biosynthesis</w:t>
      </w:r>
      <w:r w:rsidR="00005111">
        <w:rPr>
          <w:sz w:val="24"/>
          <w:szCs w:val="24"/>
        </w:rPr>
        <w:t xml:space="preserve"> fluxes in N-limitation</w:t>
      </w:r>
      <w:r w:rsidR="000639A7">
        <w:rPr>
          <w:sz w:val="24"/>
          <w:szCs w:val="24"/>
        </w:rPr>
        <w:t>.</w:t>
      </w:r>
      <w:r w:rsidR="006218B1">
        <w:rPr>
          <w:sz w:val="24"/>
          <w:szCs w:val="24"/>
        </w:rPr>
        <w:t xml:space="preserve"> In central metabolism (Figure 4), due to a higher demand for fatty acid biosynthesis (for lipid) in </w:t>
      </w:r>
      <w:r w:rsidR="00B21C61">
        <w:rPr>
          <w:sz w:val="24"/>
          <w:szCs w:val="24"/>
        </w:rPr>
        <w:t>N-lim</w:t>
      </w:r>
      <w:r w:rsidR="0090082E">
        <w:rPr>
          <w:sz w:val="24"/>
          <w:szCs w:val="24"/>
        </w:rPr>
        <w:t>it</w:t>
      </w:r>
      <w:r w:rsidR="00B831BF">
        <w:rPr>
          <w:sz w:val="24"/>
          <w:szCs w:val="24"/>
        </w:rPr>
        <w:t>ation</w:t>
      </w:r>
      <w:bookmarkStart w:id="0" w:name="_GoBack"/>
      <w:bookmarkEnd w:id="0"/>
      <w:r w:rsidR="006218B1">
        <w:rPr>
          <w:sz w:val="24"/>
          <w:szCs w:val="24"/>
        </w:rPr>
        <w:t xml:space="preserve">, </w:t>
      </w:r>
      <w:r w:rsidR="00D81409">
        <w:rPr>
          <w:sz w:val="24"/>
          <w:szCs w:val="24"/>
        </w:rPr>
        <w:t xml:space="preserve">fluxes through </w:t>
      </w:r>
      <w:r w:rsidR="006218B1">
        <w:rPr>
          <w:sz w:val="24"/>
          <w:szCs w:val="24"/>
        </w:rPr>
        <w:t>pentose phosphate pathway</w:t>
      </w:r>
      <w:r w:rsidR="008B30AE">
        <w:rPr>
          <w:sz w:val="24"/>
          <w:szCs w:val="24"/>
        </w:rPr>
        <w:t xml:space="preserve"> (PPP)</w:t>
      </w:r>
      <w:r w:rsidR="00D81409">
        <w:rPr>
          <w:sz w:val="24"/>
          <w:szCs w:val="24"/>
        </w:rPr>
        <w:t xml:space="preserve"> was 1.7-fold higher</w:t>
      </w:r>
      <w:r w:rsidR="006218B1">
        <w:rPr>
          <w:sz w:val="24"/>
          <w:szCs w:val="24"/>
        </w:rPr>
        <w:t xml:space="preserve"> to </w:t>
      </w:r>
      <w:r w:rsidR="00EB5666">
        <w:rPr>
          <w:sz w:val="24"/>
          <w:szCs w:val="24"/>
        </w:rPr>
        <w:t>over</w:t>
      </w:r>
      <w:r w:rsidR="006218B1">
        <w:rPr>
          <w:sz w:val="24"/>
          <w:szCs w:val="24"/>
        </w:rPr>
        <w:t>produce cofactor NADPH.</w:t>
      </w:r>
      <w:r w:rsidR="008B30AE">
        <w:rPr>
          <w:sz w:val="24"/>
          <w:szCs w:val="24"/>
        </w:rPr>
        <w:t xml:space="preserve"> As a result, lower flux values were observed for TCA cycle</w:t>
      </w:r>
      <w:r w:rsidR="00A7041E">
        <w:rPr>
          <w:sz w:val="24"/>
          <w:szCs w:val="24"/>
        </w:rPr>
        <w:t xml:space="preserve"> (i.e., 2.2-fold)</w:t>
      </w:r>
      <w:r w:rsidR="008B30AE">
        <w:rPr>
          <w:sz w:val="24"/>
          <w:szCs w:val="24"/>
        </w:rPr>
        <w:t xml:space="preserve"> because there is carbon lost (i.e., CO</w:t>
      </w:r>
      <w:r w:rsidR="008B30AE">
        <w:rPr>
          <w:sz w:val="24"/>
          <w:szCs w:val="24"/>
          <w:vertAlign w:val="subscript"/>
        </w:rPr>
        <w:t>2</w:t>
      </w:r>
      <w:r w:rsidR="008B30AE">
        <w:rPr>
          <w:sz w:val="24"/>
          <w:szCs w:val="24"/>
        </w:rPr>
        <w:t>) in oxidative PPP.</w:t>
      </w:r>
      <w:r w:rsidR="007A710D">
        <w:rPr>
          <w:sz w:val="24"/>
          <w:szCs w:val="24"/>
        </w:rPr>
        <w:t xml:space="preserve"> </w:t>
      </w:r>
      <w:r w:rsidR="00B87027" w:rsidRPr="00495966">
        <w:rPr>
          <w:rFonts w:eastAsia="Times New Roman" w:cs="Times New Roman"/>
          <w:sz w:val="24"/>
          <w:szCs w:val="24"/>
        </w:rPr>
        <w:t xml:space="preserve">In this specific case where higher lipid fraction was observed for </w:t>
      </w:r>
      <w:r w:rsidR="00B87027" w:rsidRPr="00495966">
        <w:rPr>
          <w:rFonts w:eastAsia="Times New Roman" w:cs="Times New Roman"/>
          <w:i/>
          <w:iCs/>
          <w:sz w:val="24"/>
          <w:szCs w:val="24"/>
        </w:rPr>
        <w:t>R. toruloides</w:t>
      </w:r>
      <w:r w:rsidR="00B87027" w:rsidRPr="00495966">
        <w:rPr>
          <w:rFonts w:eastAsia="Times New Roman" w:cs="Times New Roman"/>
          <w:sz w:val="24"/>
          <w:szCs w:val="24"/>
        </w:rPr>
        <w:t xml:space="preserve"> in </w:t>
      </w:r>
      <w:r w:rsidR="00484A02">
        <w:rPr>
          <w:rFonts w:eastAsia="Times New Roman" w:cs="Times New Roman"/>
          <w:sz w:val="24"/>
          <w:szCs w:val="24"/>
        </w:rPr>
        <w:t>N-limitation</w:t>
      </w:r>
      <w:r w:rsidR="00B87027" w:rsidRPr="00495966">
        <w:rPr>
          <w:rFonts w:eastAsia="Times New Roman" w:cs="Times New Roman"/>
          <w:sz w:val="24"/>
          <w:szCs w:val="24"/>
        </w:rPr>
        <w:t xml:space="preserve">, </w:t>
      </w:r>
      <w:r w:rsidR="00B87027">
        <w:rPr>
          <w:rFonts w:eastAsia="Times New Roman" w:cs="Times New Roman"/>
          <w:sz w:val="24"/>
          <w:szCs w:val="24"/>
        </w:rPr>
        <w:t>higher demand in fatty acid synthesis</w:t>
      </w:r>
      <w:r w:rsidR="00B87027" w:rsidRPr="00495966">
        <w:rPr>
          <w:rFonts w:eastAsia="Times New Roman" w:cs="Times New Roman"/>
          <w:sz w:val="24"/>
          <w:szCs w:val="24"/>
        </w:rPr>
        <w:t xml:space="preserve"> affect</w:t>
      </w:r>
      <w:r w:rsidR="00B87027">
        <w:rPr>
          <w:rFonts w:eastAsia="Times New Roman" w:cs="Times New Roman"/>
          <w:sz w:val="24"/>
          <w:szCs w:val="24"/>
        </w:rPr>
        <w:t>s</w:t>
      </w:r>
      <w:r w:rsidR="00B87027" w:rsidRPr="00495966">
        <w:rPr>
          <w:rFonts w:eastAsia="Times New Roman" w:cs="Times New Roman"/>
          <w:sz w:val="24"/>
          <w:szCs w:val="24"/>
        </w:rPr>
        <w:t xml:space="preserve"> the upstream central metabolism due to model’s cofactor balances (i.e., NADPH).</w:t>
      </w:r>
    </w:p>
    <w:p w14:paraId="32CD9A7D" w14:textId="77777777" w:rsidR="00E41B0B" w:rsidRDefault="00E41B0B" w:rsidP="00416224">
      <w:pPr>
        <w:pStyle w:val="NoSpacing"/>
        <w:jc w:val="both"/>
        <w:rPr>
          <w:sz w:val="24"/>
          <w:szCs w:val="24"/>
        </w:rPr>
      </w:pPr>
    </w:p>
    <w:p w14:paraId="35E0251C" w14:textId="72FC7CDC" w:rsidR="00124369" w:rsidRDefault="00124369" w:rsidP="00105C30">
      <w:pPr>
        <w:pStyle w:val="NoSpacing"/>
        <w:rPr>
          <w:sz w:val="24"/>
          <w:szCs w:val="24"/>
        </w:rPr>
      </w:pPr>
    </w:p>
    <w:p w14:paraId="19A9434D" w14:textId="164C32A2" w:rsidR="00124369" w:rsidRPr="00105C30" w:rsidRDefault="00124369" w:rsidP="00105C30">
      <w:pPr>
        <w:pStyle w:val="NoSpacing"/>
        <w:rPr>
          <w:sz w:val="24"/>
          <w:szCs w:val="24"/>
        </w:rPr>
      </w:pPr>
    </w:p>
    <w:p w14:paraId="633B8A83" w14:textId="1109A4BE" w:rsidR="00105C30" w:rsidRDefault="00D638E2" w:rsidP="00856F4B">
      <w:pPr>
        <w:pStyle w:val="NoSpacing"/>
        <w:jc w:val="center"/>
        <w:rPr>
          <w:sz w:val="24"/>
          <w:szCs w:val="24"/>
        </w:rPr>
      </w:pPr>
      <w:r>
        <w:rPr>
          <w:noProof/>
          <w:sz w:val="24"/>
          <w:szCs w:val="24"/>
        </w:rPr>
        <w:lastRenderedPageBreak/>
        <w:drawing>
          <wp:inline distT="0" distB="0" distL="0" distR="0" wp14:anchorId="3A01D6E7" wp14:editId="5ED0C4E7">
            <wp:extent cx="7962546" cy="53409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wth_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964614" cy="5342314"/>
                    </a:xfrm>
                    <a:prstGeom prst="rect">
                      <a:avLst/>
                    </a:prstGeom>
                  </pic:spPr>
                </pic:pic>
              </a:graphicData>
            </a:graphic>
          </wp:inline>
        </w:drawing>
      </w:r>
    </w:p>
    <w:p w14:paraId="3274E070" w14:textId="14A6E97F" w:rsidR="00BC2A3F" w:rsidRDefault="006C57CB" w:rsidP="00856A29">
      <w:pPr>
        <w:pStyle w:val="NoSpacing"/>
        <w:jc w:val="both"/>
        <w:rPr>
          <w:sz w:val="24"/>
          <w:szCs w:val="24"/>
        </w:rPr>
      </w:pPr>
      <w:r w:rsidRPr="00CD7B8A">
        <w:rPr>
          <w:b/>
          <w:bCs/>
          <w:sz w:val="24"/>
          <w:szCs w:val="24"/>
        </w:rPr>
        <w:t>Figure 1</w:t>
      </w:r>
      <w:r>
        <w:rPr>
          <w:sz w:val="24"/>
          <w:szCs w:val="24"/>
        </w:rPr>
        <w:t>. Visualization of metabolic fluxes under growth maximization objective</w:t>
      </w:r>
      <w:r w:rsidR="00971010">
        <w:rPr>
          <w:sz w:val="24"/>
          <w:szCs w:val="24"/>
        </w:rPr>
        <w:t>.</w:t>
      </w:r>
    </w:p>
    <w:p w14:paraId="6258754A" w14:textId="77777777" w:rsidR="00BC2A3F" w:rsidRDefault="00BC2A3F">
      <w:pPr>
        <w:rPr>
          <w:sz w:val="24"/>
          <w:szCs w:val="24"/>
        </w:rPr>
      </w:pPr>
      <w:r>
        <w:rPr>
          <w:sz w:val="24"/>
          <w:szCs w:val="24"/>
        </w:rPr>
        <w:br w:type="page"/>
      </w:r>
    </w:p>
    <w:p w14:paraId="28CE7D3A" w14:textId="11CB6FEB" w:rsidR="00BF3E8A" w:rsidRDefault="00D638E2" w:rsidP="00856F4B">
      <w:pPr>
        <w:pStyle w:val="NoSpacing"/>
        <w:jc w:val="center"/>
        <w:rPr>
          <w:sz w:val="24"/>
          <w:szCs w:val="24"/>
        </w:rPr>
      </w:pPr>
      <w:r>
        <w:rPr>
          <w:noProof/>
          <w:sz w:val="24"/>
          <w:szCs w:val="24"/>
        </w:rPr>
        <w:lastRenderedPageBreak/>
        <w:drawing>
          <wp:inline distT="0" distB="0" distL="0" distR="0" wp14:anchorId="44913A7A" wp14:editId="30DF4EDF">
            <wp:extent cx="8045166" cy="5396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ion_ma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045920" cy="5396851"/>
                    </a:xfrm>
                    <a:prstGeom prst="rect">
                      <a:avLst/>
                    </a:prstGeom>
                  </pic:spPr>
                </pic:pic>
              </a:graphicData>
            </a:graphic>
          </wp:inline>
        </w:drawing>
      </w:r>
    </w:p>
    <w:p w14:paraId="17557986" w14:textId="47AED1AB" w:rsidR="00D638E2" w:rsidRDefault="00CD7B8A" w:rsidP="00856A29">
      <w:pPr>
        <w:pStyle w:val="NoSpacing"/>
        <w:jc w:val="both"/>
        <w:rPr>
          <w:sz w:val="24"/>
          <w:szCs w:val="24"/>
        </w:rPr>
      </w:pPr>
      <w:r w:rsidRPr="00CD7B8A">
        <w:rPr>
          <w:b/>
          <w:bCs/>
          <w:sz w:val="24"/>
          <w:szCs w:val="24"/>
        </w:rPr>
        <w:t>Figure 2</w:t>
      </w:r>
      <w:r>
        <w:rPr>
          <w:sz w:val="24"/>
          <w:szCs w:val="24"/>
        </w:rPr>
        <w:t xml:space="preserve">. </w:t>
      </w:r>
      <w:r w:rsidR="007F072D">
        <w:rPr>
          <w:sz w:val="24"/>
          <w:szCs w:val="24"/>
        </w:rPr>
        <w:t>Visualization of metabolic fluxes under triacylglycerol production maximization objective.</w:t>
      </w:r>
    </w:p>
    <w:p w14:paraId="18AE5CFF" w14:textId="77777777" w:rsidR="00D638E2" w:rsidRDefault="00D638E2">
      <w:pPr>
        <w:rPr>
          <w:sz w:val="24"/>
          <w:szCs w:val="24"/>
        </w:rPr>
      </w:pPr>
      <w:r>
        <w:rPr>
          <w:sz w:val="24"/>
          <w:szCs w:val="24"/>
        </w:rPr>
        <w:br w:type="page"/>
      </w:r>
    </w:p>
    <w:p w14:paraId="4B599B7C" w14:textId="557F5D73" w:rsidR="00CD7B8A" w:rsidRDefault="00D759FA" w:rsidP="00105C30">
      <w:pPr>
        <w:pStyle w:val="NoSpacing"/>
        <w:rPr>
          <w:sz w:val="24"/>
          <w:szCs w:val="24"/>
        </w:rPr>
      </w:pPr>
      <w:r>
        <w:rPr>
          <w:noProof/>
          <w:sz w:val="24"/>
          <w:szCs w:val="24"/>
        </w:rPr>
        <w:lastRenderedPageBreak/>
        <w:drawing>
          <wp:inline distT="0" distB="0" distL="0" distR="0" wp14:anchorId="1230DB3F" wp14:editId="2EDCEB90">
            <wp:extent cx="8229600" cy="453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lim_map_comprehens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9600" cy="4539615"/>
                    </a:xfrm>
                    <a:prstGeom prst="rect">
                      <a:avLst/>
                    </a:prstGeom>
                  </pic:spPr>
                </pic:pic>
              </a:graphicData>
            </a:graphic>
          </wp:inline>
        </w:drawing>
      </w:r>
    </w:p>
    <w:p w14:paraId="4DBBFE90" w14:textId="0B9CEAAD" w:rsidR="00DA3E0A" w:rsidRDefault="00D638E2" w:rsidP="00856A29">
      <w:pPr>
        <w:pStyle w:val="NoSpacing"/>
        <w:jc w:val="both"/>
        <w:rPr>
          <w:sz w:val="24"/>
          <w:szCs w:val="24"/>
        </w:rPr>
      </w:pPr>
      <w:r w:rsidRPr="00C9445F">
        <w:rPr>
          <w:b/>
          <w:bCs/>
          <w:sz w:val="24"/>
          <w:szCs w:val="24"/>
        </w:rPr>
        <w:t>Figure 3</w:t>
      </w:r>
      <w:r>
        <w:rPr>
          <w:sz w:val="24"/>
          <w:szCs w:val="24"/>
        </w:rPr>
        <w:t xml:space="preserve">. </w:t>
      </w:r>
      <w:r w:rsidR="002E4A58">
        <w:rPr>
          <w:sz w:val="24"/>
          <w:szCs w:val="24"/>
        </w:rPr>
        <w:t>Visualization of metabolic fluxes</w:t>
      </w:r>
      <w:r w:rsidR="002F5B35">
        <w:rPr>
          <w:sz w:val="24"/>
          <w:szCs w:val="24"/>
        </w:rPr>
        <w:t xml:space="preserve"> </w:t>
      </w:r>
      <w:r w:rsidR="002E4A58">
        <w:rPr>
          <w:sz w:val="24"/>
          <w:szCs w:val="24"/>
        </w:rPr>
        <w:t>contrast between using carbon vs. nitrogen limitation biomass reaction</w:t>
      </w:r>
      <w:r w:rsidR="002F5B35">
        <w:rPr>
          <w:sz w:val="24"/>
          <w:szCs w:val="24"/>
        </w:rPr>
        <w:t>, for central metabolism and biosynthesis pathways</w:t>
      </w:r>
      <w:r w:rsidR="002E4A58">
        <w:rPr>
          <w:sz w:val="24"/>
          <w:szCs w:val="24"/>
        </w:rPr>
        <w:t>. The values being visualized for each reaction were the log2 of the ratio of flux</w:t>
      </w:r>
      <w:r w:rsidR="00D759FA">
        <w:rPr>
          <w:sz w:val="24"/>
          <w:szCs w:val="24"/>
        </w:rPr>
        <w:t>es</w:t>
      </w:r>
      <w:r w:rsidR="002E4A58">
        <w:rPr>
          <w:sz w:val="24"/>
          <w:szCs w:val="24"/>
        </w:rPr>
        <w:t xml:space="preserve"> </w:t>
      </w:r>
      <w:r w:rsidR="00D759FA">
        <w:rPr>
          <w:sz w:val="24"/>
          <w:szCs w:val="24"/>
        </w:rPr>
        <w:t xml:space="preserve">using nitrogen </w:t>
      </w:r>
      <w:r w:rsidR="00A271BB">
        <w:rPr>
          <w:sz w:val="24"/>
          <w:szCs w:val="24"/>
        </w:rPr>
        <w:t>over</w:t>
      </w:r>
      <w:r w:rsidR="00D759FA">
        <w:rPr>
          <w:sz w:val="24"/>
          <w:szCs w:val="24"/>
        </w:rPr>
        <w:t xml:space="preserve"> carbon limitation biomass reaction, respectively</w:t>
      </w:r>
      <w:r w:rsidR="002E4A58">
        <w:rPr>
          <w:sz w:val="24"/>
          <w:szCs w:val="24"/>
        </w:rPr>
        <w:t>.</w:t>
      </w:r>
    </w:p>
    <w:p w14:paraId="307E25F4" w14:textId="77777777" w:rsidR="00DA3E0A" w:rsidRDefault="00DA3E0A">
      <w:pPr>
        <w:rPr>
          <w:sz w:val="24"/>
          <w:szCs w:val="24"/>
        </w:rPr>
      </w:pPr>
      <w:r>
        <w:rPr>
          <w:sz w:val="24"/>
          <w:szCs w:val="24"/>
        </w:rPr>
        <w:br w:type="page"/>
      </w:r>
    </w:p>
    <w:p w14:paraId="4032F144" w14:textId="7166E3D5" w:rsidR="00D638E2" w:rsidRDefault="00856A29" w:rsidP="00856A29">
      <w:pPr>
        <w:pStyle w:val="NoSpacing"/>
        <w:jc w:val="center"/>
        <w:rPr>
          <w:sz w:val="24"/>
          <w:szCs w:val="24"/>
        </w:rPr>
      </w:pPr>
      <w:r>
        <w:rPr>
          <w:noProof/>
          <w:sz w:val="24"/>
          <w:szCs w:val="24"/>
        </w:rPr>
        <w:lastRenderedPageBreak/>
        <w:drawing>
          <wp:inline distT="0" distB="0" distL="0" distR="0" wp14:anchorId="133F4F8D" wp14:editId="5270B45F">
            <wp:extent cx="7735340" cy="5188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lim_map_centr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6974" cy="5189623"/>
                    </a:xfrm>
                    <a:prstGeom prst="rect">
                      <a:avLst/>
                    </a:prstGeom>
                  </pic:spPr>
                </pic:pic>
              </a:graphicData>
            </a:graphic>
          </wp:inline>
        </w:drawing>
      </w:r>
    </w:p>
    <w:p w14:paraId="20F711AF" w14:textId="7F70BAD2" w:rsidR="00D81409" w:rsidRDefault="00DA3E0A" w:rsidP="00856A29">
      <w:pPr>
        <w:pStyle w:val="NoSpacing"/>
        <w:jc w:val="both"/>
        <w:rPr>
          <w:sz w:val="24"/>
          <w:szCs w:val="24"/>
        </w:rPr>
      </w:pPr>
      <w:r w:rsidRPr="00C9445F">
        <w:rPr>
          <w:b/>
          <w:bCs/>
          <w:sz w:val="24"/>
          <w:szCs w:val="24"/>
        </w:rPr>
        <w:t xml:space="preserve">Figure </w:t>
      </w:r>
      <w:r>
        <w:rPr>
          <w:b/>
          <w:bCs/>
          <w:sz w:val="24"/>
          <w:szCs w:val="24"/>
        </w:rPr>
        <w:t>4</w:t>
      </w:r>
      <w:r>
        <w:rPr>
          <w:sz w:val="24"/>
          <w:szCs w:val="24"/>
        </w:rPr>
        <w:t xml:space="preserve">. Visualization of metabolic fluxes contrast between using carbon vs. nitrogen limitation biomass reaction, for central metabolism. The values being visualized for each reaction were the log2 of the ratio of fluxes using nitrogen </w:t>
      </w:r>
      <w:r w:rsidR="00A271BB">
        <w:rPr>
          <w:sz w:val="24"/>
          <w:szCs w:val="24"/>
        </w:rPr>
        <w:t>over</w:t>
      </w:r>
      <w:r>
        <w:rPr>
          <w:sz w:val="24"/>
          <w:szCs w:val="24"/>
        </w:rPr>
        <w:t xml:space="preserve"> carbon limitation biomass reaction, respectively.</w:t>
      </w:r>
    </w:p>
    <w:p w14:paraId="22BC004E" w14:textId="77777777" w:rsidR="00D81409" w:rsidRDefault="00D81409">
      <w:pPr>
        <w:rPr>
          <w:sz w:val="24"/>
          <w:szCs w:val="24"/>
        </w:rPr>
      </w:pPr>
      <w:r>
        <w:rPr>
          <w:sz w:val="24"/>
          <w:szCs w:val="24"/>
        </w:rPr>
        <w:br w:type="page"/>
      </w:r>
    </w:p>
    <w:p w14:paraId="2164671C" w14:textId="77777777" w:rsidR="00D81409" w:rsidRPr="00124369" w:rsidRDefault="00D81409" w:rsidP="00D81409">
      <w:pPr>
        <w:pStyle w:val="NoSpacing"/>
        <w:rPr>
          <w:b/>
          <w:bCs/>
          <w:sz w:val="24"/>
          <w:szCs w:val="24"/>
        </w:rPr>
      </w:pPr>
      <w:r w:rsidRPr="00124369">
        <w:rPr>
          <w:b/>
          <w:bCs/>
          <w:sz w:val="24"/>
          <w:szCs w:val="24"/>
        </w:rPr>
        <w:lastRenderedPageBreak/>
        <w:t>References</w:t>
      </w:r>
    </w:p>
    <w:p w14:paraId="23D46E8C" w14:textId="77777777" w:rsidR="00D81409" w:rsidRPr="00124369" w:rsidRDefault="00D81409" w:rsidP="00D81409">
      <w:pPr>
        <w:widowControl w:val="0"/>
        <w:autoSpaceDE w:val="0"/>
        <w:autoSpaceDN w:val="0"/>
        <w:adjustRightInd w:val="0"/>
        <w:spacing w:after="0" w:line="240" w:lineRule="auto"/>
        <w:ind w:left="480" w:hanging="480"/>
        <w:rPr>
          <w:rFonts w:cs="Times New Roman"/>
          <w:noProof/>
          <w:sz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124369">
        <w:rPr>
          <w:rFonts w:cs="Times New Roman"/>
          <w:noProof/>
          <w:sz w:val="24"/>
          <w:szCs w:val="24"/>
        </w:rPr>
        <w:t>Lewis, N.E., Hixson, K.K., Conrad, T.M., Lerman, J.A., Charusanti, P., Polpitiya, A.D., Adkins, J.N., Schramm, G., Purvine, S.O., Lopez-Ferrer, D., Weitz, K.K., Eils, R., König, R., Smith, R.D., Palsson, B.Ø., 2010. Omic data from evolved E. coli are consistent with computed optimal growth from genome-scale models. Mol. Syst. Biol. 6, 390. https://doi.org/10.1038/msb.2010.47</w:t>
      </w:r>
    </w:p>
    <w:p w14:paraId="08DF73F9" w14:textId="27A1AE61" w:rsidR="00DA3E0A" w:rsidRPr="00105C30" w:rsidRDefault="00D81409" w:rsidP="00D81409">
      <w:pPr>
        <w:pStyle w:val="NoSpacing"/>
        <w:jc w:val="both"/>
        <w:rPr>
          <w:sz w:val="24"/>
          <w:szCs w:val="24"/>
        </w:rPr>
      </w:pPr>
      <w:r>
        <w:rPr>
          <w:sz w:val="24"/>
          <w:szCs w:val="24"/>
        </w:rPr>
        <w:fldChar w:fldCharType="end"/>
      </w:r>
    </w:p>
    <w:sectPr w:rsidR="00DA3E0A" w:rsidRPr="00105C30" w:rsidSect="00105C3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C30"/>
    <w:rsid w:val="00000C72"/>
    <w:rsid w:val="00005111"/>
    <w:rsid w:val="00023B4C"/>
    <w:rsid w:val="000639A7"/>
    <w:rsid w:val="000E1C01"/>
    <w:rsid w:val="00105C30"/>
    <w:rsid w:val="00124369"/>
    <w:rsid w:val="00125C09"/>
    <w:rsid w:val="00145D31"/>
    <w:rsid w:val="00183785"/>
    <w:rsid w:val="001D739D"/>
    <w:rsid w:val="002201BE"/>
    <w:rsid w:val="002C0A8E"/>
    <w:rsid w:val="002D5F4E"/>
    <w:rsid w:val="002E359E"/>
    <w:rsid w:val="002E4A58"/>
    <w:rsid w:val="002F5B35"/>
    <w:rsid w:val="00341B2B"/>
    <w:rsid w:val="003960DE"/>
    <w:rsid w:val="003F63EF"/>
    <w:rsid w:val="00416224"/>
    <w:rsid w:val="00484A02"/>
    <w:rsid w:val="004930D2"/>
    <w:rsid w:val="00550A4E"/>
    <w:rsid w:val="005679AE"/>
    <w:rsid w:val="005879F6"/>
    <w:rsid w:val="00617F09"/>
    <w:rsid w:val="006218B1"/>
    <w:rsid w:val="006C3D8F"/>
    <w:rsid w:val="006C57CB"/>
    <w:rsid w:val="006D38F7"/>
    <w:rsid w:val="00770726"/>
    <w:rsid w:val="00780A4E"/>
    <w:rsid w:val="00781A7E"/>
    <w:rsid w:val="007A710D"/>
    <w:rsid w:val="007B0846"/>
    <w:rsid w:val="007B3BE4"/>
    <w:rsid w:val="007C45FC"/>
    <w:rsid w:val="007D4F45"/>
    <w:rsid w:val="007F072D"/>
    <w:rsid w:val="00856A29"/>
    <w:rsid w:val="00856F4B"/>
    <w:rsid w:val="008729FC"/>
    <w:rsid w:val="008B30AE"/>
    <w:rsid w:val="0090082E"/>
    <w:rsid w:val="009204F3"/>
    <w:rsid w:val="009336CD"/>
    <w:rsid w:val="00971010"/>
    <w:rsid w:val="00A271BB"/>
    <w:rsid w:val="00A7041E"/>
    <w:rsid w:val="00A86B9C"/>
    <w:rsid w:val="00A95670"/>
    <w:rsid w:val="00AB2109"/>
    <w:rsid w:val="00AC079A"/>
    <w:rsid w:val="00AD4F07"/>
    <w:rsid w:val="00AF511E"/>
    <w:rsid w:val="00B15899"/>
    <w:rsid w:val="00B21C61"/>
    <w:rsid w:val="00B70158"/>
    <w:rsid w:val="00B831BF"/>
    <w:rsid w:val="00B87027"/>
    <w:rsid w:val="00BC2A3F"/>
    <w:rsid w:val="00BF3E8A"/>
    <w:rsid w:val="00C9445F"/>
    <w:rsid w:val="00CD7B8A"/>
    <w:rsid w:val="00D4581C"/>
    <w:rsid w:val="00D638E2"/>
    <w:rsid w:val="00D759FA"/>
    <w:rsid w:val="00D81409"/>
    <w:rsid w:val="00D865F4"/>
    <w:rsid w:val="00DA3E0A"/>
    <w:rsid w:val="00DD296B"/>
    <w:rsid w:val="00E41B0B"/>
    <w:rsid w:val="00E934F0"/>
    <w:rsid w:val="00EB5666"/>
    <w:rsid w:val="00EE73F7"/>
    <w:rsid w:val="00FA6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AF86"/>
  <w15:chartTrackingRefBased/>
  <w15:docId w15:val="{816C6355-D9EB-4945-8229-AFA6F215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C09"/>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5C09"/>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E148E-5490-46AA-AEC3-12693E7ED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Dinh</dc:creator>
  <cp:keywords/>
  <dc:description/>
  <cp:lastModifiedBy>Hoang Dinh</cp:lastModifiedBy>
  <cp:revision>94</cp:revision>
  <dcterms:created xsi:type="dcterms:W3CDTF">2019-06-22T20:11:00Z</dcterms:created>
  <dcterms:modified xsi:type="dcterms:W3CDTF">2019-06-26T19:01:00Z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http://www.zotero.org/styles/biotechnology-for-biofuels</vt:lpwstr>
  </property>
  <property fmtid="{D5CDD505-2E9C-101B-9397-08002B2CF9AE}" pid="7" name="Mendeley Recent Style Name 2_1">
    <vt:lpwstr>Biotechnology for Biofuels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http://www.zotero.org/styles/metabolic-engineering-communications</vt:lpwstr>
  </property>
  <property fmtid="{D5CDD505-2E9C-101B-9397-08002B2CF9AE}" pid="15" name="Mendeley Recent Style Name 6_1">
    <vt:lpwstr>Metabolic Engineering Communications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http://www.zotero.org/styles/plos-computational-biology</vt:lpwstr>
  </property>
  <property fmtid="{D5CDD505-2E9C-101B-9397-08002B2CF9AE}" pid="19" name="Mendeley Recent Style Name 8_1">
    <vt:lpwstr>PLOS Computational Biology</vt:lpwstr>
  </property>
  <property fmtid="{D5CDD505-2E9C-101B-9397-08002B2CF9AE}" pid="20" name="Mendeley Recent Style Id 9_1">
    <vt:lpwstr>http://www.zotero.org/styles/plos-one</vt:lpwstr>
  </property>
  <property fmtid="{D5CDD505-2E9C-101B-9397-08002B2CF9AE}" pid="21" name="Mendeley Recent Style Name 9_1">
    <vt:lpwstr>PLOS ONE</vt:lpwstr>
  </property>
  <property fmtid="{D5CDD505-2E9C-101B-9397-08002B2CF9AE}" pid="22" name="Mendeley Document_1">
    <vt:lpwstr>True</vt:lpwstr>
  </property>
  <property fmtid="{D5CDD505-2E9C-101B-9397-08002B2CF9AE}" pid="23" name="Mendeley Unique User Id_1">
    <vt:lpwstr>7a9bcaa2-8af0-3813-99da-d72eee8dce39</vt:lpwstr>
  </property>
  <property fmtid="{D5CDD505-2E9C-101B-9397-08002B2CF9AE}" pid="24" name="Mendeley Citation Style_1">
    <vt:lpwstr>http://www.zotero.org/styles/metabolic-engineering-communications</vt:lpwstr>
  </property>
</Properties>
</file>