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6wcp9fml2ew8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9025.511811023622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087.411061569111"/>
        <w:gridCol w:w="3610.204724409449"/>
        <w:gridCol w:w="1174.4039464946402"/>
        <w:gridCol w:w="3153.492078550422"/>
        <w:tblGridChange w:id="0">
          <w:tblGrid>
            <w:gridCol w:w="1087.411061569111"/>
            <w:gridCol w:w="3610.204724409449"/>
            <w:gridCol w:w="1174.4039464946402"/>
            <w:gridCol w:w="3153.492078550422"/>
          </w:tblGrid>
        </w:tblGridChange>
      </w:tblGrid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Галиулин Марат Шамилевич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Лысиков Валерий Сергеевич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Бережной Александр Александрович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Казанский Дмитрий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Волков. Н.В.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Оценка эффективности совершения сделок внутридневной и междудневной торговли на основании различных факторов разворота цены на примере торговли валютных пар</w:t>
            </w:r>
          </w:p>
        </w:tc>
      </w:tr>
    </w:tbl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8sz2ue8niao7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 чек-поинт: Обзор литературы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Трейдинг как рыночный феномен и модель осуществления сделок на ФР и ВР</w:t>
      </w:r>
    </w:p>
    <w:p w:rsidR="00000000" w:rsidDel="00000000" w:rsidP="00000000" w:rsidRDefault="00000000" w:rsidRPr="00000000" w14:paraId="0000000A">
      <w:pPr>
        <w:spacing w:after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упоминании фраз "валютный рынок", "фондовый рынок", "биржа", "Форекс", многим из нас представляются кадры из зарубежных фильмов, где в заполненном зале, усыпанном мониторами с котировками цен, трейдеры толкаются, кричат и машут ордерами на покупку или продажу ценных бумаг. Некоторым на ум приходят биржевые аналитики, изучающие финансовые показатели компании перед приобретением её акций или облигаций, а также составляющие еженедельные обзоры фондового рынка на популярных телевизионных каналах.</w:t>
      </w:r>
    </w:p>
    <w:p w:rsidR="00000000" w:rsidDel="00000000" w:rsidP="00000000" w:rsidRDefault="00000000" w:rsidRPr="00000000" w14:paraId="0000000B">
      <w:pPr>
        <w:spacing w:after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финансовых и валютных рынках существуют два принципиально различных подхода: инвестирование и трейдинг. Инвестирование, базирующееся на фундаментальном анализе (изучение финансовых показателей компании, её выручки, прибыли, дивидендов и т.д.), представляет собой формирование долгосрочного портфеля. С другой стороны, трейдинг — это краткосрочная покупка или продажа активов с целью получения прибыли от ценовых различий.</w:t>
      </w:r>
    </w:p>
    <w:p w:rsidR="00000000" w:rsidDel="00000000" w:rsidP="00000000" w:rsidRDefault="00000000" w:rsidRPr="00000000" w14:paraId="0000000C">
      <w:pPr>
        <w:spacing w:after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Сложность фундаментального подхода в формировании инвестиционного портфеля очевидна. Он включает в себя детальный анализ финансовой отчётности компаний, оценку их финансового состояния, анализ других компаний в данном сегменте, а также учёт глобальной и региональной политической обстановки и новостного фона.</w:t>
      </w:r>
    </w:p>
    <w:p w:rsidR="00000000" w:rsidDel="00000000" w:rsidP="00000000" w:rsidRDefault="00000000" w:rsidRPr="00000000" w14:paraId="0000000D">
      <w:pPr>
        <w:spacing w:after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Однако, привлекательность кажущейся простоты внутридневной торговли на фондовом и валютном рынках, основанной на принципе "купи дешевле, продай дороже", часто вводит в заблуждение. Популяризация дей-трейдинга в кинематографе, литературе и социальных сетях привлекает огромное количество желающих быстро заработать деньги, часть из которых, к сожалению, сталкивается с финансовыми потерями.</w:t>
      </w:r>
    </w:p>
    <w:p w:rsidR="00000000" w:rsidDel="00000000" w:rsidP="00000000" w:rsidRDefault="00000000" w:rsidRPr="00000000" w14:paraId="0000000E">
      <w:pPr>
        <w:spacing w:after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Интерес к внутридневной торговле возможно объяснить интуитивной привлекательностью её концепции. Однако, при более глубоком изучении, оказывается, что внутридневная торговля не менее сложна, чем инвестирование на основе фундаментального анализа.</w:t>
      </w:r>
    </w:p>
    <w:p w:rsidR="00000000" w:rsidDel="00000000" w:rsidP="00000000" w:rsidRDefault="00000000" w:rsidRPr="00000000" w14:paraId="0000000F">
      <w:pPr>
        <w:spacing w:after="24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line="360" w:lineRule="auto"/>
        <w:ind w:left="-135" w:hanging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Торговые стратегии. </w:t>
      </w:r>
    </w:p>
    <w:p w:rsidR="00000000" w:rsidDel="00000000" w:rsidP="00000000" w:rsidRDefault="00000000" w:rsidRPr="00000000" w14:paraId="00000011">
      <w:pPr>
        <w:shd w:fill="ffffff" w:val="clear"/>
        <w:spacing w:after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разработки индивидуальной торговой стратегии трейдер может использовать разнообразные инструменты [1], прежде всего, такие классические методы, как: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hd w:fill="ffffff" w:val="clear"/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Свечной анализ: включает в себя изучение уровней поддержки и сопротивления, фигур разворота и продолжения тренда, применение волновой теории Эллиота, уровней Фибоначчи и других техник.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hd w:fill="ffffff" w:val="clear"/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Торговые индикаторы: результат математического анализа ценовых колебаний, объема торгов, общественного сентимента и др. Некоторые из них включают:</w:t>
      </w:r>
    </w:p>
    <w:p w:rsidR="00000000" w:rsidDel="00000000" w:rsidP="00000000" w:rsidRDefault="00000000" w:rsidRPr="00000000" w14:paraId="00000014">
      <w:pPr>
        <w:numPr>
          <w:ilvl w:val="1"/>
          <w:numId w:val="6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Стохастический осциллятор: определяет перепроданность/перекупленность рынка и может использоваться для обнаружения дивергенций и конвергенций.</w:t>
      </w:r>
    </w:p>
    <w:p w:rsidR="00000000" w:rsidDel="00000000" w:rsidP="00000000" w:rsidRDefault="00000000" w:rsidRPr="00000000" w14:paraId="00000015">
      <w:pPr>
        <w:numPr>
          <w:ilvl w:val="1"/>
          <w:numId w:val="6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RSI (индекс относительной силы): аналогичен стохастическому осциллятору и может указывать на зоны перекупленности/перепроданности.</w:t>
      </w:r>
    </w:p>
    <w:p w:rsidR="00000000" w:rsidDel="00000000" w:rsidP="00000000" w:rsidRDefault="00000000" w:rsidRPr="00000000" w14:paraId="00000016">
      <w:pPr>
        <w:numPr>
          <w:ilvl w:val="1"/>
          <w:numId w:val="6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Parabolic SAR (стоп-реверс): служит индикатором уровней поддержки и сопротивления, а также подтверждением для входа в рынок.</w:t>
      </w:r>
    </w:p>
    <w:p w:rsidR="00000000" w:rsidDel="00000000" w:rsidP="00000000" w:rsidRDefault="00000000" w:rsidRPr="00000000" w14:paraId="00000017">
      <w:pPr>
        <w:numPr>
          <w:ilvl w:val="1"/>
          <w:numId w:val="6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EMA (экспоненциальная скользящая средняя): используется для анализа пересечения скользящих средних и выявления разворотов.</w:t>
      </w:r>
    </w:p>
    <w:p w:rsidR="00000000" w:rsidDel="00000000" w:rsidP="00000000" w:rsidRDefault="00000000" w:rsidRPr="00000000" w14:paraId="00000018">
      <w:pPr>
        <w:numPr>
          <w:ilvl w:val="1"/>
          <w:numId w:val="6"/>
        </w:numPr>
        <w:shd w:fill="ffffff" w:val="clear"/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Линии Боллинджера: строит канал вокруг ценовой динамики и используется для выявления отбоев и начала импульсов.</w:t>
      </w:r>
    </w:p>
    <w:p w:rsidR="00000000" w:rsidDel="00000000" w:rsidP="00000000" w:rsidRDefault="00000000" w:rsidRPr="00000000" w14:paraId="00000019">
      <w:pPr>
        <w:shd w:fill="ffffff" w:val="clear"/>
        <w:spacing w:after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Также трейдеры могут включать в свои стратегии анализ цены одного актива относительно другого, известного как парный трейдинг. Например, можно рассматривать корреляцию между фьючерсами на нефть марки Brent и курсом рубля к доллару США или движения акций двух компаний из одного сегмента рынка.</w:t>
      </w:r>
    </w:p>
    <w:p w:rsidR="00000000" w:rsidDel="00000000" w:rsidP="00000000" w:rsidRDefault="00000000" w:rsidRPr="00000000" w14:paraId="0000001A">
      <w:pPr>
        <w:shd w:fill="ffffff" w:val="clear"/>
        <w:spacing w:after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Современные технологические тенденции также существенно повлияли на область финансов и торговли. Бурное развитие систем работы с большими данными, алгоритмов машинного обучения и искусственного интеллекта сделали программный доступ к финансовым данным более широким и эффективным [2]. Алгоритмы машинного обучения активно применяются для анализа рыночной информации и автоматизации торговых стратегий.</w:t>
      </w:r>
    </w:p>
    <w:p w:rsidR="00000000" w:rsidDel="00000000" w:rsidP="00000000" w:rsidRDefault="00000000" w:rsidRPr="00000000" w14:paraId="0000001B">
      <w:pPr>
        <w:shd w:fill="ffffff" w:val="clear"/>
        <w:spacing w:after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Наиболее распространенными языками программирования в области алгоритмической торговли являются Python, GoLang, R и Java. Python с его богатой экосистемой библиотек широко используется для анализа данных, машинного обучения и глубокого обучения [3]. GoLang, представляющий собой компилируемый язык, обеспечивает высокую скорость выполнения и эффективность [4]. R служит основным инструментом для статистического анализа и визуализации данных [5]. Java, как строго типизированный язык, нашел применение в высокоэффективных распределенных системах [6].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line="360" w:lineRule="auto"/>
        <w:ind w:left="-135" w:hanging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Ликвидность, как фактор принятия торгового решения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D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Одним из ключевых факторов, оказывающих влияние на поведение цены активов, является ликвидность. Ликвидность рынка относится к способности рынка поглощать торговые операции без значительного влияния на цену актива. Размер ликвидности может существенно влиять на волатильность и стоимость торгуемых инструментов, что делает эту тему актуальной для исследователей и практиков финансовых рынков. </w:t>
        <w:br w:type="textWrapping"/>
        <w:tab/>
        <w:tab/>
        <w:t xml:space="preserve">Исследования, такие как работа Кайла, которая подробно описывается в статье на сайте Investopedia [7], демонстрируют теоретическую связь между ликвидностью и ценой активов, утверждая, что более высокая ликвидность приводит к меньшей волатильности цен. В то же время, согласно исследованию, опубликованному в Journal of Financial Economics [8], авторы Amihud и Mendelson показали, что инвесторы требуют дополнительную премию за держание активов с низкой ликвидностью, что влияет на ценообразование этих активов. Эти и другие исследования являются основой для понимания взаимосвязи между ликвидностью и ценой на финансовых рынках.</w:t>
      </w:r>
    </w:p>
    <w:p w:rsidR="00000000" w:rsidDel="00000000" w:rsidP="00000000" w:rsidRDefault="00000000" w:rsidRPr="00000000" w14:paraId="0000001E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интернете можно найти множество статей, описывающих стратегии торговли с использованием ликвидности, как с утяжеляющим аргументом в пользу открытия сделки. Так, автор статьи [9] использует понятие “имбаланс” – к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онструкция из трех свечей, где существует явный дисбаланс между продавцами и покупателями – и объясняет причину его появления снятием ликвидности. Идея в том, что после того, как происходит сбор большого количества стоп лоссов трейдеров, цена резко разворач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ивается, образуя имбаланс на покупку. Снятие ликвидности заключается в следующем: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Трейдеры выделяют сильный максимум цены, крупный капитал видит там явное накопление ликвидности, при возврате цены к данному максимуму – цена перебивает данный максимум, но без закрепа телом свечи, тело закрывает ниже чем перебитый максимум.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Также довольно распространена стратегия [10], основанная на отслеживании зон поддержки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зона с потенциальной силой покупателей)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 сопротивления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зона с потенциальной силой продавца). Прежде чем приступить к торговле и сделкам, трейдеры находя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т явные скопления (пулы) ликвидности, поскольку это и будет для них ближайшей целью цены. </w:t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shd w:fill="fafbfd" w:val="clear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Приведем некоторые типы ликвидности (рис.1):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Равные максимумы EQH и минимумы EQL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Структурные точки Swing – значимый High или Low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Границы в боковом движении цены (Range – флэт, боковик)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400" w:line="36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Трендовое движение – ликвидность за трендовой линией</w:t>
      </w:r>
    </w:p>
    <w:p w:rsidR="00000000" w:rsidDel="00000000" w:rsidP="00000000" w:rsidRDefault="00000000" w:rsidRPr="00000000" w14:paraId="00000025">
      <w:pPr>
        <w:spacing w:after="400" w:line="360" w:lineRule="auto"/>
        <w:jc w:val="center"/>
        <w:rPr>
          <w:rFonts w:ascii="Times New Roman" w:cs="Times New Roman" w:eastAsia="Times New Roman" w:hAnsi="Times New Roman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</w:rPr>
        <w:drawing>
          <wp:inline distB="114300" distT="114300" distL="114300" distR="114300">
            <wp:extent cx="4353873" cy="22145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3873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400" w:line="360" w:lineRule="auto"/>
        <w:jc w:val="center"/>
        <w:rPr>
          <w:rFonts w:ascii="Times New Roman" w:cs="Times New Roman" w:eastAsia="Times New Roman" w:hAnsi="Times New Roman"/>
          <w:color w:val="5a5a5a"/>
          <w:sz w:val="24"/>
          <w:szCs w:val="24"/>
          <w:shd w:fill="fafbfd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Рис. 1. Типы ликвидности.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160" w:line="360" w:lineRule="auto"/>
        <w:ind w:left="-135" w:hanging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Описание концепции.</w:t>
      </w:r>
    </w:p>
    <w:p w:rsidR="00000000" w:rsidDel="00000000" w:rsidP="00000000" w:rsidRDefault="00000000" w:rsidRPr="00000000" w14:paraId="00000028">
      <w:pPr>
        <w:spacing w:after="16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Поскольку рынок Forex открыт для совершения сделок 24/5, трейдеры невольно становятся впутанными в бесконечную гонку за процентом. Рано или поздно перед активным трейдером в ряде приоритетных задачах будет стоять вопрос оптимизации рабочего процесса. Эта проблема решается сужением торгового дня до временного промежутка – килзоны.</w:t>
      </w:r>
    </w:p>
    <w:p w:rsidR="00000000" w:rsidDel="00000000" w:rsidP="00000000" w:rsidRDefault="00000000" w:rsidRPr="00000000" w14:paraId="00000029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Итак, килзона (КЗ) - это временной интервал, в течение которого наиболее вероятно происходит сильное движение цены. Самоценность подобного временного окна - это узнаваемые глазом опытного трейдера паттерны, позволяющие осуществлять сделки с большей уверенностью в их положительном исходе. Такие КЗ можно различать по часам наибольшей активности участников рынка после открытия торгов на биржах главных финансовых центров мира.</w:t>
        <w:br w:type="textWrapping"/>
        <w:tab/>
        <w:t xml:space="preserve">Указанное время КЗ соответствует часовому поясу UTC-5 (Нью-Йорк).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20:00 до 00:00 - Азиатская сессия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02:00 до 05:00 - Лондонская сессия (КЗ)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16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07:00 до 11:00 - Нью-Йоркская сессия (КЗ)</w:t>
      </w:r>
    </w:p>
    <w:p w:rsidR="00000000" w:rsidDel="00000000" w:rsidP="00000000" w:rsidRDefault="00000000" w:rsidRPr="00000000" w14:paraId="0000002D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период с 02:00 до 11:00 доставка цен наиболее эффективна. </w:t>
      </w:r>
    </w:p>
    <w:p w:rsidR="00000000" w:rsidDel="00000000" w:rsidP="00000000" w:rsidRDefault="00000000" w:rsidRPr="00000000" w14:paraId="0000002E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КЗ цена движется быстрее (рис. 2), что делает это время наилучшим для открытия позиций. Это расписание применимо к рынку Forex. Криптовалюта, например,  не имеет КЗ и двигается внутри дня более хаотично [11].</w:t>
      </w:r>
    </w:p>
    <w:p w:rsidR="00000000" w:rsidDel="00000000" w:rsidP="00000000" w:rsidRDefault="00000000" w:rsidRPr="00000000" w14:paraId="0000002F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19763" cy="361048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3061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3610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36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 Желтая зона – Азия, зеленая – Лондон, красная – Нью-Йорк</w:t>
      </w:r>
    </w:p>
    <w:p w:rsidR="00000000" w:rsidDel="00000000" w:rsidP="00000000" w:rsidRDefault="00000000" w:rsidRPr="00000000" w14:paraId="00000031">
      <w:pPr>
        <w:spacing w:after="160" w:line="36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аналитической работы в качестве объектов исследование были взяты наиболее ликвидные активы [12] на рынке Forex: валютные пары EUR/USD, USD/JPY, GBP/USD. Пара EUR/USD является самой популярной, так как евро и доллар – самые распространенные валюты, их используют почти во всех странах мира. Доля данной пары составляет 25% всех сделок на бирже. Второй популярной парой на бирже является пара USD/JPY, ее популярность обусловлена большой международной торговлей, японские товары являются конкурентными, поскольку стоимость йены не высока, ее доля 10-15% всех операций на рынке. Что касается пары GBP/USD, то на ее долю приходится 9-13%, что тоже довольно-таки много [12]. </w:t>
      </w:r>
    </w:p>
    <w:p w:rsidR="00000000" w:rsidDel="00000000" w:rsidP="00000000" w:rsidRDefault="00000000" w:rsidRPr="00000000" w14:paraId="00000033">
      <w:pPr>
        <w:spacing w:after="16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рамках текущего исследования предлагается выполнить: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160" w:line="360" w:lineRule="auto"/>
        <w:ind w:left="1440" w:hanging="36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Статистический анализ</w:t>
      </w:r>
    </w:p>
    <w:p w:rsidR="00000000" w:rsidDel="00000000" w:rsidP="00000000" w:rsidRDefault="00000000" w:rsidRPr="00000000" w14:paraId="00000038">
      <w:pPr>
        <w:spacing w:after="16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основе исторических данных найдем процент сделок (“успеха”), удовлетворяющих условию снятия ликвидности на продажу/покупку и устремлении цены актива в ближайшую зону на продажу/покупку в рамках КЗ. 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after="160" w:line="48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Метрика - процент “успеха” в прошлом.</w:t>
      </w:r>
    </w:p>
    <w:p w:rsidR="00000000" w:rsidDel="00000000" w:rsidP="00000000" w:rsidRDefault="00000000" w:rsidRPr="00000000" w14:paraId="0000003A">
      <w:pPr>
        <w:spacing w:after="160"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160" w:line="360" w:lineRule="auto"/>
        <w:ind w:left="1440" w:hanging="36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Корреляционный анализ</w:t>
      </w:r>
    </w:p>
    <w:p w:rsidR="00000000" w:rsidDel="00000000" w:rsidP="00000000" w:rsidRDefault="00000000" w:rsidRPr="00000000" w14:paraId="0000003C">
      <w:pPr>
        <w:spacing w:after="16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На основе исторических данных найдем коэффициент корреляции  между процентом “успеха” и размером ЗЛ - горизонтальным объемом.</w:t>
      </w:r>
    </w:p>
    <w:p w:rsidR="00000000" w:rsidDel="00000000" w:rsidP="00000000" w:rsidRDefault="00000000" w:rsidRPr="00000000" w14:paraId="0000003D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color w:val="1317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Горизонтальный объем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ГО)</w:t>
      </w:r>
      <w:r w:rsidDel="00000000" w:rsidR="00000000" w:rsidRPr="00000000">
        <w:rPr>
          <w:rFonts w:ascii="Times New Roman" w:cs="Times New Roman" w:eastAsia="Times New Roman" w:hAnsi="Times New Roman"/>
          <w:color w:val="131722"/>
          <w:sz w:val="24"/>
          <w:szCs w:val="24"/>
          <w:highlight w:val="white"/>
          <w:rtl w:val="0"/>
        </w:rPr>
        <w:t xml:space="preserve"> – показатель заинтересованности трейдеров в определенном ценовом уровне с учетом всех сделок за выбранный период; т.е. постоянное накопление таких сделок по ряду соответствующих цен.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160" w:line="360" w:lineRule="auto"/>
        <w:ind w:left="1440" w:hanging="360"/>
        <w:jc w:val="both"/>
        <w:rPr>
          <w:rFonts w:ascii="Times New Roman" w:cs="Times New Roman" w:eastAsia="Times New Roman" w:hAnsi="Times New Roman"/>
          <w:color w:val="1317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31722"/>
          <w:sz w:val="24"/>
          <w:szCs w:val="24"/>
          <w:highlight w:val="white"/>
          <w:rtl w:val="0"/>
        </w:rPr>
        <w:t xml:space="preserve">Метрика - к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оэффициент корреляции.</w:t>
      </w:r>
    </w:p>
    <w:p w:rsidR="00000000" w:rsidDel="00000000" w:rsidP="00000000" w:rsidRDefault="00000000" w:rsidRPr="00000000" w14:paraId="0000003F">
      <w:pPr>
        <w:spacing w:after="16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160" w:line="360" w:lineRule="auto"/>
        <w:ind w:left="1440" w:hanging="360"/>
        <w:jc w:val="both"/>
        <w:rPr>
          <w:rFonts w:ascii="Times New Roman" w:cs="Times New Roman" w:eastAsia="Times New Roman" w:hAnsi="Times New Roman"/>
          <w:i w:val="1"/>
          <w:color w:val="1317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31722"/>
          <w:sz w:val="24"/>
          <w:szCs w:val="24"/>
          <w:highlight w:val="white"/>
          <w:rtl w:val="0"/>
        </w:rPr>
        <w:t xml:space="preserve">Регрессионный анализ</w:t>
      </w:r>
    </w:p>
    <w:p w:rsidR="00000000" w:rsidDel="00000000" w:rsidP="00000000" w:rsidRDefault="00000000" w:rsidRPr="00000000" w14:paraId="00000041">
      <w:pPr>
        <w:spacing w:after="160" w:line="360" w:lineRule="auto"/>
        <w:ind w:left="0" w:firstLine="720"/>
        <w:jc w:val="both"/>
        <w:rPr>
          <w:rFonts w:ascii="Times New Roman" w:cs="Times New Roman" w:eastAsia="Times New Roman" w:hAnsi="Times New Roman"/>
          <w:color w:val="1317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31722"/>
          <w:sz w:val="24"/>
          <w:szCs w:val="24"/>
          <w:highlight w:val="white"/>
          <w:rtl w:val="0"/>
        </w:rPr>
        <w:t xml:space="preserve">На основе результата пунктов 1, 2 обучим модель, предсказывающую процент “успеха”.</w:t>
      </w:r>
    </w:p>
    <w:p w:rsidR="00000000" w:rsidDel="00000000" w:rsidP="00000000" w:rsidRDefault="00000000" w:rsidRPr="00000000" w14:paraId="00000042">
      <w:pPr>
        <w:spacing w:after="16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31722"/>
          <w:sz w:val="24"/>
          <w:szCs w:val="24"/>
          <w:highlight w:val="white"/>
          <w:rtl w:val="0"/>
        </w:rPr>
        <w:t xml:space="preserve">Метрика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процент “успеха” в будущем.</w:t>
      </w:r>
    </w:p>
    <w:p w:rsidR="00000000" w:rsidDel="00000000" w:rsidP="00000000" w:rsidRDefault="00000000" w:rsidRPr="00000000" w14:paraId="00000043">
      <w:pPr>
        <w:spacing w:after="16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360" w:lineRule="auto"/>
        <w:ind w:left="0" w:firstLine="72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итог, можно сформулировать гипотезу: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размер ЗЛ влияет на движение цен. Если актив в рамках КЗ снял ликвидность определенного размера, цена актива почти придет в зону противоположной ликвидности.</w:t>
      </w:r>
    </w:p>
    <w:p w:rsidR="00000000" w:rsidDel="00000000" w:rsidP="00000000" w:rsidRDefault="00000000" w:rsidRPr="00000000" w14:paraId="00000045">
      <w:pPr>
        <w:spacing w:after="16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Результаты данного исследования могут иметь значительные практические последствия для определения стратегий торговли. Понимание того, как размер ликвидности влияет на цену, может помочь трейдерам лучше оценить риски и возможности, а также способствовать разработке инструментов для снижения системного риска на финансовых рынках.</w:t>
      </w:r>
    </w:p>
    <w:p w:rsidR="00000000" w:rsidDel="00000000" w:rsidP="00000000" w:rsidRDefault="00000000" w:rsidRPr="00000000" w14:paraId="00000046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360" w:lineRule="auto"/>
        <w:ind w:left="-135" w:hanging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A">
      <w:pPr>
        <w:spacing w:after="160" w:line="360" w:lineRule="auto"/>
        <w:ind w:left="-141.73228346456688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360" w:lineRule="auto"/>
        <w:ind w:left="-141.73228346456688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Список литературы.</w:t>
      </w:r>
    </w:p>
    <w:tbl>
      <w:tblPr>
        <w:tblStyle w:val="Table2"/>
        <w:tblW w:w="939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34"/>
        <w:gridCol w:w="8665"/>
        <w:tblGridChange w:id="0">
          <w:tblGrid>
            <w:gridCol w:w="734"/>
            <w:gridCol w:w="8665"/>
          </w:tblGrid>
        </w:tblGridChange>
      </w:tblGrid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C">
            <w:pPr>
              <w:spacing w:line="360" w:lineRule="auto"/>
              <w:ind w:left="135" w:right="-355.39370078740177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D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Источники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E">
            <w:pPr>
              <w:spacing w:line="360" w:lineRule="auto"/>
              <w:ind w:left="0" w:right="-355.39370078740177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F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https://francber.com/luchshie-indikatory-dlya-trejdinga.html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0">
            <w:pPr>
              <w:spacing w:line="360" w:lineRule="auto"/>
              <w:ind w:left="-225" w:hanging="9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1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Хилпиш И. - Python для финансовых расчетов, 2021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2">
            <w:pPr>
              <w:spacing w:line="360" w:lineRule="auto"/>
              <w:ind w:left="-225" w:hanging="9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3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Хилпиш И. - Python for Algorithmic Trading, 2021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4">
            <w:pPr>
              <w:spacing w:line="360" w:lineRule="auto"/>
              <w:ind w:left="-225" w:hanging="9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5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https://practicum.yandex.ru/blog/zachem-uchit-yazyk-go/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6">
            <w:pPr>
              <w:spacing w:line="360" w:lineRule="auto"/>
              <w:ind w:left="-225" w:hanging="9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7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https://practicum.yandex.ru/blog/chto-takoe-yazyk-r/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spacing w:line="360" w:lineRule="auto"/>
              <w:ind w:left="-225" w:hanging="9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9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Sekhar V. - Building Trading Bots with Java, 2016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A">
            <w:pPr>
              <w:spacing w:line="360" w:lineRule="auto"/>
              <w:ind w:left="-225" w:hanging="9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B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Investopedia. "Understanding Liquidity Risk." Investopedia, 2021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C">
            <w:pPr>
              <w:spacing w:line="360" w:lineRule="auto"/>
              <w:ind w:left="-225" w:hanging="9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D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Amihud, Y., Mendelson, H. "Asset Pricing and the Bid-Ask Spread." Journal of Financial Economics, Vol. 17, No. 2, 1986, pp. 223-249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E">
            <w:pPr>
              <w:spacing w:line="360" w:lineRule="auto"/>
              <w:ind w:left="-225" w:hanging="9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https://dzen.ru/a/ZBHDl14HahZLJfyq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0">
            <w:pPr>
              <w:spacing w:line="360" w:lineRule="auto"/>
              <w:ind w:left="-225" w:hanging="9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1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https://clck.ru/36zuLS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2">
            <w:pPr>
              <w:spacing w:line="360" w:lineRule="auto"/>
              <w:ind w:left="-225" w:hanging="9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3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https://bits.media/nakachannye-obemy-torgov-kriptovalyutnykh-birzh-kak-indikator-nedoveriya-k-kriptoindustrii/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4">
            <w:pPr>
              <w:spacing w:line="360" w:lineRule="auto"/>
              <w:ind w:left="-225" w:hanging="9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5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Сухих И. -  Значение ликвидности ны рынке Forex, 2018</w:t>
            </w:r>
          </w:p>
        </w:tc>
      </w:tr>
    </w:tbl>
    <w:p w:rsidR="00000000" w:rsidDel="00000000" w:rsidP="00000000" w:rsidRDefault="00000000" w:rsidRPr="00000000" w14:paraId="0000006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5a5a5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e6edf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e6edf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zen.ru/a/ZBHDl14HahZLJfyq" TargetMode="External"/><Relationship Id="rId10" Type="http://schemas.openxmlformats.org/officeDocument/2006/relationships/hyperlink" Target="https://practicum.yandex.ru/blog/chto-takoe-yazyk-r/" TargetMode="External"/><Relationship Id="rId13" Type="http://schemas.openxmlformats.org/officeDocument/2006/relationships/footer" Target="footer1.xml"/><Relationship Id="rId12" Type="http://schemas.openxmlformats.org/officeDocument/2006/relationships/hyperlink" Target="https://bits.media/nakachannye-obemy-torgov-kriptovalyutnykh-birzh-kak-indikator-nedoveriya-k-kriptoindustrii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racticum.yandex.ru/blog/zachem-uchit-yazyk-go/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francber.com/luchshie-indikatory-dlya-trejdinga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