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333333"/>
          <w:spacing w:val="0"/>
          <w:sz w:val="28"/>
          <w:highlight w:val="white"/>
        </w:rPr>
      </w:pPr>
      <w:r>
        <w:rPr>
          <w:rFonts w:ascii="XO Thames" w:hAnsi="XO Thames"/>
          <w:b w:val="1"/>
          <w:i w:val="0"/>
          <w:caps w:val="0"/>
          <w:color w:val="333333"/>
          <w:spacing w:val="0"/>
          <w:sz w:val="28"/>
          <w:highlight w:val="white"/>
        </w:rPr>
        <w:t>Уровни спроса и предложения на Форекс</w:t>
      </w:r>
    </w:p>
    <w:p w14:paraId="02000000">
      <w:pPr>
        <w:pStyle w:val="Style_1"/>
      </w:pPr>
    </w:p>
    <w:p w14:paraId="03000000">
      <w:pPr>
        <w:pStyle w:val="Style_1"/>
      </w:pPr>
      <w:r>
        <w:t>https://academyfx.ru/article/blogi/3052-urovni-sprosa-i-predlozheniya-na-foreks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2023-12-02T07:26:29Z</dcterms:modified>
</cp:coreProperties>
</file>