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40" w:before="0" w:line="276"/>
        <w:jc w:val="center"/>
      </w:pPr>
      <w:r>
        <w:rPr>
          <w:rFonts w:ascii="Arial" w:cs="Arial" w:eastAsia="Arial" w:hAnsi="Arial"/>
          <w:b/>
          <w:bCs/>
          <w:color w:val="1F3864"/>
          <w:sz w:val="40"/>
          <w:szCs w:val="40"/>
        </w:rPr>
        <w:t xml:space="preserve">NON-TRADITIONAL INVESTMENT</w:t>
      </w:r>
    </w:p>
    <w:p>
      <w:pPr>
        <w:spacing w:after="80" w:before="0" w:line="276"/>
        <w:jc w:val="center"/>
      </w:pPr>
      <w:r>
        <w:rPr>
          <w:rFonts w:ascii="Arial" w:cs="Arial" w:eastAsia="Arial" w:hAnsi="Arial"/>
          <w:b/>
          <w:bCs/>
          <w:color w:val="1F3864"/>
          <w:sz w:val="40"/>
          <w:szCs w:val="40"/>
        </w:rPr>
        <w:t xml:space="preserve">OPPORTUNITY DISCOVERY</w:t>
      </w:r>
    </w:p>
    <w:p>
      <w:pPr>
        <w:pBdr>
          <w:bottom w:val="single" w:color="2E75B6" w:sz="8" w:space="8"/>
        </w:pBdr>
        <w:spacing w:after="80"/>
      </w:pPr>
    </w:p>
    <w:p>
      <w:pPr>
        <w:spacing w:after="140" w:before="200" w:line="276"/>
        <w:jc w:val="center"/>
      </w:pPr>
      <w:r>
        <w:rPr>
          <w:rFonts w:ascii="Arial" w:cs="Arial" w:eastAsia="Arial" w:hAnsi="Arial"/>
          <w:color w:val="2E75B6"/>
          <w:sz w:val="28"/>
          <w:szCs w:val="28"/>
        </w:rPr>
        <w:t xml:space="preserve">Idea Selection Report</w:t>
      </w:r>
    </w:p>
    <w:p>
      <w:pPr>
        <w:spacing w:after="600" w:before="0" w:line="276"/>
        <w:jc w:val="center"/>
      </w:pPr>
      <w:r>
        <w:rPr>
          <w:rFonts w:ascii="Arial" w:cs="Arial" w:eastAsia="Arial" w:hAnsi="Arial"/>
          <w:i/>
          <w:iCs/>
          <w:color w:val="666666"/>
          <w:sz w:val="22"/>
          <w:szCs w:val="22"/>
        </w:rPr>
        <w:t xml:space="preserve">Which strategies can we actually build, run, and profit from?</w:t>
      </w:r>
    </w:p>
    <w:p>
      <w:pPr>
        <w:spacing w:after="140" w:before="0" w:line="276"/>
        <w:jc w:val="center"/>
      </w:pPr>
      <w:r>
        <w:rPr>
          <w:rFonts w:ascii="Arial" w:cs="Arial" w:eastAsia="Arial" w:hAnsi="Arial"/>
          <w:color w:val="666666"/>
          <w:sz w:val="21"/>
          <w:szCs w:val="21"/>
        </w:rPr>
        <w:t xml:space="preserve">Prepared for: Pedro</w:t>
      </w:r>
    </w:p>
    <w:p>
      <w:pPr>
        <w:spacing w:after="140" w:before="0" w:line="276"/>
        <w:jc w:val="center"/>
      </w:pPr>
      <w:r>
        <w:rPr>
          <w:rFonts w:ascii="Arial" w:cs="Arial" w:eastAsia="Arial" w:hAnsi="Arial"/>
          <w:color w:val="666666"/>
          <w:sz w:val="21"/>
          <w:szCs w:val="21"/>
        </w:rPr>
        <w:t xml:space="preserve">Date: April 2026</w:t>
      </w:r>
    </w:p>
    <w:p>
      <w:pPr>
        <w:spacing w:after="140" w:before="0" w:line="276"/>
        <w:jc w:val="center"/>
      </w:pPr>
      <w:r>
        <w:rPr>
          <w:rFonts w:ascii="Arial" w:cs="Arial" w:eastAsia="Arial" w:hAnsi="Arial"/>
          <w:color w:val="666666"/>
          <w:sz w:val="21"/>
          <w:szCs w:val="21"/>
        </w:rPr>
        <w:t xml:space="preserve">Classification: Confidential</w:t>
      </w:r>
    </w:p>
    <w:p>
      <w:r>
        <w:br w:type="page"/>
      </w:r>
    </w:p>
    <w:p>
      <w:pPr>
        <w:pStyle w:val="Heading1"/>
        <w:spacing w:after="160" w:before="360"/>
      </w:pPr>
      <w:r>
        <w:t xml:space="preserve">1. Selection Criteria</w:t>
      </w:r>
    </w:p>
    <w:p>
      <w:pPr>
        <w:spacing w:after="140" w:before="0" w:line="276"/>
      </w:pPr>
      <w:r>
        <w:rPr>
          <w:rFonts w:ascii="Arial" w:cs="Arial" w:eastAsia="Arial" w:hAnsi="Arial"/>
          <w:color w:val="333333"/>
          <w:sz w:val="21"/>
          <w:szCs w:val="21"/>
        </w:rPr>
        <w:t xml:space="preserve">This report selects from 19 evaluated strategies based on three hard filters:</w:t>
      </w:r>
    </w:p>
    <w:p>
      <w:pPr>
        <w:pStyle w:val="ListParagraph"/>
        <w:numPr>
          <w:ilvl w:val="0"/>
          <w:numId w:val="2"/>
        </w:numPr>
        <w:spacing w:after="80"/>
      </w:pPr>
      <w:r>
        <w:rPr>
          <w:rFonts w:ascii="Arial" w:cs="Arial" w:eastAsia="Arial" w:hAnsi="Arial"/>
          <w:b/>
          <w:bCs/>
          <w:color w:val="333333"/>
          <w:sz w:val="21"/>
          <w:szCs w:val="21"/>
        </w:rPr>
        <w:t xml:space="preserve">Can I actually execute it?</w:t>
      </w:r>
      <w:r>
        <w:rPr>
          <w:rFonts w:ascii="Arial" w:cs="Arial" w:eastAsia="Arial" w:hAnsi="Arial"/>
          <w:color w:val="333333"/>
          <w:sz w:val="21"/>
          <w:szCs w:val="21"/>
        </w:rPr>
        <w:t xml:space="preserve"> The strategy must be implementable using my real capabilities: web search, web fetch, Python scripting, file creation, scheduled Cowork sessions, and browser automation. No Bloomberg terminal, no paid data subscriptions beyond trivial amounts, no real-time market data feeds.</w:t>
      </w:r>
    </w:p>
    <w:p>
      <w:pPr>
        <w:pStyle w:val="ListParagraph"/>
        <w:numPr>
          <w:ilvl w:val="0"/>
          <w:numId w:val="2"/>
        </w:numPr>
        <w:spacing w:after="80"/>
      </w:pPr>
      <w:r>
        <w:rPr>
          <w:rFonts w:ascii="Arial" w:cs="Arial" w:eastAsia="Arial" w:hAnsi="Arial"/>
          <w:b/>
          <w:bCs/>
          <w:color w:val="333333"/>
          <w:sz w:val="21"/>
          <w:szCs w:val="21"/>
        </w:rPr>
        <w:t xml:space="preserve">Does it produce genuine information asymmetry?</w:t>
      </w:r>
      <w:r>
        <w:rPr>
          <w:rFonts w:ascii="Arial" w:cs="Arial" w:eastAsia="Arial" w:hAnsi="Arial"/>
          <w:color w:val="333333"/>
          <w:sz w:val="21"/>
          <w:szCs w:val="21"/>
        </w:rPr>
        <w:t xml:space="preserve"> The signal must come from data that is technically public but practically invisible to most market participants. If the data is already aggregated, clean, and widely available, the edge is zero.</w:t>
      </w:r>
    </w:p>
    <w:p>
      <w:pPr>
        <w:pStyle w:val="ListParagraph"/>
        <w:numPr>
          <w:ilvl w:val="0"/>
          <w:numId w:val="2"/>
        </w:numPr>
        <w:spacing w:after="140"/>
      </w:pPr>
      <w:r>
        <w:rPr>
          <w:rFonts w:ascii="Arial" w:cs="Arial" w:eastAsia="Arial" w:hAnsi="Arial"/>
          <w:b/>
          <w:bCs/>
          <w:color w:val="333333"/>
          <w:sz w:val="21"/>
          <w:szCs w:val="21"/>
        </w:rPr>
        <w:t xml:space="preserve">Is the risk/reward asymmetric?</w:t>
      </w:r>
      <w:r>
        <w:rPr>
          <w:rFonts w:ascii="Arial" w:cs="Arial" w:eastAsia="Arial" w:hAnsi="Arial"/>
          <w:color w:val="333333"/>
          <w:sz w:val="21"/>
          <w:szCs w:val="21"/>
        </w:rPr>
        <w:t xml:space="preserve"> The strategy must have a logical path to returns that justify the effort. Ideas that are intellectually interesting but produce weak, slow, or ambiguous signals are excluded.</w:t>
      </w:r>
    </w:p>
    <w:p>
      <w:pPr>
        <w:spacing w:after="140" w:before="0" w:line="276"/>
      </w:pPr>
      <w:r>
        <w:rPr>
          <w:rFonts w:ascii="Arial" w:cs="Arial" w:eastAsia="Arial" w:hAnsi="Arial"/>
          <w:b/>
          <w:bCs/>
          <w:color w:val="333333"/>
          <w:sz w:val="21"/>
          <w:szCs w:val="21"/>
        </w:rPr>
        <w:t xml:space="preserve">Critical constraint I applied: </w:t>
      </w:r>
      <w:r>
        <w:rPr>
          <w:rFonts w:ascii="Arial" w:cs="Arial" w:eastAsia="Arial" w:hAnsi="Arial"/>
          <w:color w:val="333333"/>
          <w:sz w:val="21"/>
          <w:szCs w:val="21"/>
        </w:rPr>
        <w:t xml:space="preserve">many ideas from the original 19 sound impressive but collapse under honest implementation scrutiny. FIFO inventory analysis requires quarterly data cycles and produces modest signals. Satellite imagery is cost-prohibitive. EU Directive transposition tracking produces signals that take years to materialize. These are excluded not because they lack logic, but because the ratio of effort to actionable edge is poor for our setup.</w:t>
      </w:r>
    </w:p>
    <w:p>
      <w:pPr>
        <w:pStyle w:val="Heading1"/>
        <w:spacing w:after="160" w:before="360"/>
      </w:pPr>
      <w:r>
        <w:t xml:space="preserve">2. The Five Selected Strategies</w:t>
      </w:r>
    </w:p>
    <w:p>
      <w:pPr>
        <w:spacing w:after="140" w:before="0" w:line="276"/>
      </w:pPr>
      <w:r>
        <w:rPr>
          <w:rFonts w:ascii="Arial" w:cs="Arial" w:eastAsia="Arial" w:hAnsi="Arial"/>
          <w:color w:val="333333"/>
          <w:sz w:val="21"/>
          <w:szCs w:val="21"/>
        </w:rPr>
        <w:t xml:space="preserve">These five are ranked by a combined score of implementation feasibility, information asymmetry, and potential reward. Each includes a concrete execution plan describing exactly how I would run it.</w:t>
      </w:r>
    </w:p>
    <w:p>
      <w:r>
        <w:br w:type="page"/>
      </w:r>
    </w:p>
    <w:p>
      <w:pPr>
        <w:pStyle w:val="Heading2"/>
        <w:spacing w:after="160" w:before="240"/>
      </w:pPr>
      <w:r>
        <w:t xml:space="preserve">Strategy 1: EDGAR Keyword Scanning for Distress and M&amp;A Signals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top"/>
          </w:tcPr>
          <w:p>
            <w:pPr>
              <w:spacing w:after="40"/>
            </w:pPr>
            <w:r>
              <w:rPr>
                <w:rFonts w:ascii="Arial" w:cs="Arial" w:eastAsia="Arial" w:hAnsi="Arial"/>
                <w:b/>
                <w:bCs/>
                <w:color w:val="FFFFFF"/>
                <w:sz w:val="19"/>
                <w:szCs w:val="19"/>
              </w:rPr>
              <w:t xml:space="preserve">Verdict</w:t>
            </w:r>
          </w:p>
        </w:tc>
        <w:tc>
          <w:tcPr>
            <w:tcW w:type="dxa" w:w="72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HIGHEST CONVICTION — Free, immediate, proven signal, global coverage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Data Source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SEC EDGAR Full-Text Search (efts.sec.gov) — free, no API key, real-time indexing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Geographic Scope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US-listed equities (NYSE, NASDAQ, OTC) — all public filers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Cost</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Zero</w:t>
            </w:r>
          </w:p>
        </w:tc>
      </w:tr>
    </w:tbl>
    <w:p>
      <w:pPr>
        <w:spacing w:after="80" w:before="0" w:line="276"/>
      </w:pPr>
      <w:r>
        <w:rPr>
          <w:rFonts w:ascii="Arial" w:cs="Arial" w:eastAsia="Arial" w:hAnsi="Arial"/>
          <w:color w:val="333333"/>
          <w:sz w:val="21"/>
          <w:szCs w:val="21"/>
        </w:rPr>
        <w:t xml:space="preserve"/>
      </w:r>
    </w:p>
    <w:p>
      <w:pPr>
        <w:pStyle w:val="Heading3"/>
        <w:spacing w:after="160" w:before="240"/>
      </w:pPr>
      <w:r>
        <w:t xml:space="preserve">What It Does</w:t>
      </w:r>
    </w:p>
    <w:p>
      <w:pPr>
        <w:spacing w:after="140" w:before="0" w:line="276"/>
      </w:pPr>
      <w:r>
        <w:rPr>
          <w:rFonts w:ascii="Arial" w:cs="Arial" w:eastAsia="Arial" w:hAnsi="Arial"/>
          <w:color w:val="333333"/>
          <w:sz w:val="21"/>
          <w:szCs w:val="21"/>
        </w:rPr>
        <w:t xml:space="preserve">Searches the full text of every SEC filing submitted since 2001 for specific phrases that signal distress, M&amp;A activity, activist campaigns, or governance fights. The SEC provides this search for free, indexes new filings within seconds of submission, and requires no authentication.</w:t>
      </w:r>
    </w:p>
    <w:p>
      <w:pPr>
        <w:pStyle w:val="Heading3"/>
        <w:spacing w:after="160" w:before="240"/>
      </w:pPr>
      <w:r>
        <w:t xml:space="preserve">Why This Is the Top Pick</w:t>
      </w:r>
    </w:p>
    <w:p>
      <w:pPr>
        <w:spacing w:after="140" w:before="0" w:line="276"/>
      </w:pPr>
      <w:r>
        <w:rPr>
          <w:rFonts w:ascii="Arial" w:cs="Arial" w:eastAsia="Arial" w:hAnsi="Arial"/>
          <w:color w:val="333333"/>
          <w:sz w:val="21"/>
          <w:szCs w:val="21"/>
        </w:rPr>
        <w:t xml:space="preserve">The EDGAR full-text search API is the single most underused free tool in public equity research.</w:t>
      </w:r>
      <w:r>
        <w:rPr>
          <w:rFonts w:ascii="Arial" w:cs="Arial" w:eastAsia="Arial" w:hAnsi="Arial"/>
          <w:color w:val="333333"/>
          <w:sz w:val="21"/>
          <w:szCs w:val="21"/>
        </w:rPr>
        <w:t xml:space="preserve"> Most investors read individual filings for companies they already follow. Almost nobody runs systematic keyword scans across </w:t>
      </w:r>
      <w:r>
        <w:rPr>
          <w:rFonts w:ascii="Arial" w:cs="Arial" w:eastAsia="Arial" w:hAnsi="Arial"/>
          <w:b/>
          <w:bCs/>
          <w:color w:val="333333"/>
          <w:sz w:val="21"/>
          <w:szCs w:val="21"/>
        </w:rPr>
        <w:t xml:space="preserve">all filers</w:t>
      </w:r>
      <w:r>
        <w:rPr>
          <w:rFonts w:ascii="Arial" w:cs="Arial" w:eastAsia="Arial" w:hAnsi="Arial"/>
          <w:color w:val="333333"/>
          <w:sz w:val="21"/>
          <w:szCs w:val="21"/>
        </w:rPr>
        <w:t xml:space="preserve">. When a small-cap company buries the phrase </w:t>
      </w:r>
      <w:r>
        <w:rPr>
          <w:rFonts w:ascii="Arial" w:cs="Arial" w:eastAsia="Arial" w:hAnsi="Arial"/>
          <w:i/>
          <w:iCs/>
          <w:color w:val="333333"/>
          <w:sz w:val="21"/>
          <w:szCs w:val="21"/>
        </w:rPr>
        <w:t xml:space="preserve">"strategic alternatives"</w:t>
      </w:r>
      <w:r>
        <w:rPr>
          <w:rFonts w:ascii="Arial" w:cs="Arial" w:eastAsia="Arial" w:hAnsi="Arial"/>
          <w:color w:val="333333"/>
          <w:sz w:val="21"/>
          <w:szCs w:val="21"/>
        </w:rPr>
        <w:t xml:space="preserve"> in an 8-K filed at 4:45pm on a Friday, the EDGAR search picks it up instantly. It may take the market days to react.</w:t>
      </w:r>
    </w:p>
    <w:p>
      <w:pPr>
        <w:pStyle w:val="Heading3"/>
        <w:spacing w:after="160" w:before="240"/>
      </w:pPr>
      <w:r>
        <w:t xml:space="preserve">The Keyword Dictionaries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4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Signal Category</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Keywords Scanned</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Filing Types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M&amp;A / Takeover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"strategic alternatives", "exploring options", "received indication of interest", "fairness opinion", "change of control", "merger agreement"</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8-K, SC 13D, DEF 14A, S-4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Distress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"going concern", "covenant breach", "waiver", "forbearance agreement", "debtor in possession", "substantial doubt"</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8-K, 10-Q, 10-K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Activist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"maximize shareholder value", "board representation", "undervalued", "proxy contest", "consent solicitation"</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SC 13D, DEFA14A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Governance Crisis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"restatement", "material weakness", "auditor resignation", "whistleblower", "internal investigation"</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8-K, NT 10-K/Q</w:t>
            </w:r>
          </w:p>
        </w:tc>
      </w:tr>
    </w:tbl>
    <w:p>
      <w:pPr>
        <w:spacing w:after="80" w:before="0" w:line="276"/>
      </w:pPr>
      <w:r>
        <w:rPr>
          <w:rFonts w:ascii="Arial" w:cs="Arial" w:eastAsia="Arial" w:hAnsi="Arial"/>
          <w:color w:val="333333"/>
          <w:sz w:val="21"/>
          <w:szCs w:val="21"/>
        </w:rPr>
        <w:t xml:space="preserve"/>
      </w:r>
    </w:p>
    <w:p>
      <w:pPr>
        <w:pStyle w:val="Heading3"/>
        <w:spacing w:after="160" w:before="240"/>
      </w:pPr>
      <w:r>
        <w:t xml:space="preserve">How I Execute It</w:t>
      </w:r>
    </w:p>
    <w:p>
      <w:pPr>
        <w:spacing w:after="140" w:before="0" w:line="276"/>
      </w:pPr>
      <w:r>
        <w:rPr>
          <w:rFonts w:ascii="Arial" w:cs="Arial" w:eastAsia="Arial" w:hAnsi="Arial"/>
          <w:color w:val="333333"/>
          <w:sz w:val="21"/>
          <w:szCs w:val="21"/>
        </w:rPr>
        <w:t xml:space="preserve">I run a scheduled Cowork session (daily or every few days) that queries the EDGAR EFTS API for each keyword phrase, filtered to the last 48-72 hours. For each hit, I extract the company name, ticker, filing type, and the relevant passage. I score each signal using the 5-dimension framework, filter for composite scores above 16, and produce a ranked report with the most interesting signals. High-scoring signals get a full candidate writeup with thesis, catalysts, and risk factors.</w:t>
      </w:r>
    </w:p>
    <w:p>
      <w:pPr>
        <w:pStyle w:val="Heading3"/>
        <w:spacing w:after="160" w:before="240"/>
      </w:pPr>
      <w:r>
        <w:t xml:space="preserve">What Makes This Special</w:t>
      </w:r>
    </w:p>
    <w:p>
      <w:pPr>
        <w:spacing w:after="140" w:before="0" w:line="276"/>
      </w:pPr>
      <w:r>
        <w:rPr>
          <w:rFonts w:ascii="Arial" w:cs="Arial" w:eastAsia="Arial" w:hAnsi="Arial"/>
          <w:color w:val="333333"/>
          <w:sz w:val="21"/>
          <w:szCs w:val="21"/>
        </w:rPr>
        <w:t xml:space="preserve">The volume filter is the key. EDGAR processes roughly 800,000 filings per year. A daily keyword scan catches needles in this haystack that no human could review manually. The system finds the filing where a $200M market-cap company mentions "received indication of interest" in an 8-K amendment filed on a holiday weekend. By the time a human analyst notices, the stock may have already moved 15%.</w:t>
      </w:r>
    </w:p>
    <w:p>
      <w:r>
        <w:br w:type="page"/>
      </w:r>
    </w:p>
    <w:p>
      <w:pPr>
        <w:pStyle w:val="Heading2"/>
        <w:spacing w:after="160" w:before="240"/>
      </w:pPr>
      <w:r>
        <w:t xml:space="preserve">Strategy 2: ESMA Short Position Aggregation Across 27 National Registers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top"/>
          </w:tcPr>
          <w:p>
            <w:pPr>
              <w:spacing w:after="40"/>
            </w:pPr>
            <w:r>
              <w:rPr>
                <w:rFonts w:ascii="Arial" w:cs="Arial" w:eastAsia="Arial" w:hAnsi="Arial"/>
                <w:b/>
                <w:bCs/>
                <w:color w:val="FFFFFF"/>
                <w:sz w:val="19"/>
                <w:szCs w:val="19"/>
              </w:rPr>
              <w:t xml:space="preserve">Verdict</w:t>
            </w:r>
          </w:p>
        </w:tc>
        <w:tc>
          <w:tcPr>
            <w:tcW w:type="dxa" w:w="72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UNIQUE EDGE — Nobody aggregates this data; first-mover creates a proprietary dataset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Data Source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27 national regulator websites (AFM, CNMV, BaFin, AMF, FCA, etc.) + ESMA register portal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Geographic Scope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All EU + UK listed equities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Cost</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Zero (all public registers)</w:t>
            </w:r>
          </w:p>
        </w:tc>
      </w:tr>
    </w:tbl>
    <w:p>
      <w:pPr>
        <w:spacing w:after="80" w:before="0" w:line="276"/>
      </w:pPr>
      <w:r>
        <w:rPr>
          <w:rFonts w:ascii="Arial" w:cs="Arial" w:eastAsia="Arial" w:hAnsi="Arial"/>
          <w:color w:val="333333"/>
          <w:sz w:val="21"/>
          <w:szCs w:val="21"/>
        </w:rPr>
        <w:t xml:space="preserve"/>
      </w:r>
    </w:p>
    <w:p>
      <w:pPr>
        <w:pStyle w:val="Heading3"/>
        <w:spacing w:after="160" w:before="240"/>
      </w:pPr>
      <w:r>
        <w:t xml:space="preserve">What It Does</w:t>
      </w:r>
    </w:p>
    <w:p>
      <w:pPr>
        <w:spacing w:after="140" w:before="0" w:line="276"/>
      </w:pPr>
      <w:r>
        <w:rPr>
          <w:rFonts w:ascii="Arial" w:cs="Arial" w:eastAsia="Arial" w:hAnsi="Arial"/>
          <w:color w:val="333333"/>
          <w:sz w:val="21"/>
          <w:szCs w:val="21"/>
        </w:rPr>
        <w:t xml:space="preserve">Under the EU Short Selling Regulation, any entity holding a net short position above 0.5% of a listed company must publicly disclose it. These disclosures are published on individual national regulator websites. The data is public but deliberately fragmented across 27+ different websites, each with different formats, languages, and interfaces. Nobody aggregates this into a single usable dataset.</w:t>
      </w:r>
    </w:p>
    <w:p>
      <w:pPr>
        <w:pStyle w:val="Heading3"/>
        <w:spacing w:after="160" w:before="240"/>
      </w:pPr>
      <w:r>
        <w:t xml:space="preserve">Why This Creates a Genuine Edge</w:t>
      </w:r>
    </w:p>
    <w:p>
      <w:pPr>
        <w:spacing w:after="140" w:before="0" w:line="276"/>
      </w:pPr>
      <w:r>
        <w:rPr>
          <w:rFonts w:ascii="Arial" w:cs="Arial" w:eastAsia="Arial" w:hAnsi="Arial"/>
          <w:color w:val="333333"/>
          <w:sz w:val="21"/>
          <w:szCs w:val="21"/>
        </w:rPr>
        <w:t xml:space="preserve">In the US, short interest data is commoditized — Bloomberg, S3 Partners, and others sell it cleanly. In Europe, the equivalent data </w:t>
      </w:r>
      <w:r>
        <w:rPr>
          <w:rFonts w:ascii="Arial" w:cs="Arial" w:eastAsia="Arial" w:hAnsi="Arial"/>
          <w:b/>
          <w:bCs/>
          <w:color w:val="333333"/>
          <w:sz w:val="21"/>
          <w:szCs w:val="21"/>
        </w:rPr>
        <w:t xml:space="preserve">exists and is public</w:t>
      </w:r>
      <w:r>
        <w:rPr>
          <w:rFonts w:ascii="Arial" w:cs="Arial" w:eastAsia="Arial" w:hAnsi="Arial"/>
          <w:color w:val="333333"/>
          <w:sz w:val="21"/>
          <w:szCs w:val="21"/>
        </w:rPr>
        <w:t xml:space="preserve"> but is practically unusable because you would need to visit the Dutch AFM site, the Spanish CNMV site, the German BaFin site, the French AMF site, and 23 others, then normalize the data into a single format. The AFM (Netherlands) even offers CSV export. Most national regulators publish machine-readable data. But nobody stitches it together.</w:t>
      </w:r>
    </w:p>
    <w:p>
      <w:pPr>
        <w:spacing w:after="140" w:before="0" w:line="276"/>
      </w:pPr>
      <w:r>
        <w:rPr>
          <w:rFonts w:ascii="Arial" w:cs="Arial" w:eastAsia="Arial" w:hAnsi="Arial"/>
          <w:color w:val="333333"/>
          <w:sz w:val="21"/>
          <w:szCs w:val="21"/>
        </w:rPr>
        <w:t xml:space="preserve">By aggregating this, we create what is effectively a proprietary European short interest dataset. We can detect when a major hedge fund is building a short position in a Spanish mid-cap, or when short interest across a sector is climbing. This data does not exist in any single commercial product at the granularity and freshness we can achieve.</w:t>
      </w:r>
    </w:p>
    <w:p>
      <w:pPr>
        <w:pStyle w:val="Heading3"/>
        <w:spacing w:after="160" w:before="240"/>
      </w:pPr>
      <w:r>
        <w:t xml:space="preserve">How I Execute It</w:t>
      </w:r>
    </w:p>
    <w:p>
      <w:pPr>
        <w:spacing w:after="140" w:before="0" w:line="276"/>
      </w:pPr>
      <w:r>
        <w:rPr>
          <w:rFonts w:ascii="Arial" w:cs="Arial" w:eastAsia="Arial" w:hAnsi="Arial"/>
          <w:color w:val="333333"/>
          <w:sz w:val="21"/>
          <w:szCs w:val="21"/>
        </w:rPr>
        <w:t xml:space="preserve">I build a scraping pipeline that visits each national regulator site, extracts current short position disclosures, normalizes them (entity name, position size, date, target company, ISIN), and compiles a unified dataset. Then I run analysis: which companies have rising short interest? Which hedge funds are building new positions? Where do short positions diverge from sell-side consensus? I produce a weekly report of the most interesting movements. Scheduled Cowork sessions handle the recurring scrape and analysis.</w:t>
      </w:r>
    </w:p>
    <w:p>
      <w:pPr>
        <w:pStyle w:val="Heading3"/>
        <w:spacing w:after="160" w:before="240"/>
      </w:pPr>
      <w:r>
        <w:t xml:space="preserve">The Strategic Value</w:t>
      </w:r>
    </w:p>
    <w:p>
      <w:pPr>
        <w:spacing w:after="140" w:before="0" w:line="276"/>
      </w:pPr>
      <w:r>
        <w:rPr>
          <w:rFonts w:ascii="Arial" w:cs="Arial" w:eastAsia="Arial" w:hAnsi="Arial"/>
          <w:color w:val="333333"/>
          <w:sz w:val="21"/>
          <w:szCs w:val="21"/>
        </w:rPr>
        <w:t xml:space="preserve">This is the only strategy on this list that produces an entirely new dataset that doesn't exist anywhere else in aggregated form. That makes it inherently defensible: the edge grows with each week of data because historical time series enable trend analysis that a single snapshot cannot.</w:t>
      </w:r>
    </w:p>
    <w:p>
      <w:r>
        <w:br w:type="page"/>
      </w:r>
    </w:p>
    <w:p>
      <w:pPr>
        <w:pStyle w:val="Heading2"/>
        <w:spacing w:after="160" w:before="240"/>
      </w:pPr>
      <w:r>
        <w:t xml:space="preserve">Strategy 3: Congressional and Political Trading Replication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top"/>
          </w:tcPr>
          <w:p>
            <w:pPr>
              <w:spacing w:after="40"/>
            </w:pPr>
            <w:r>
              <w:rPr>
                <w:rFonts w:ascii="Arial" w:cs="Arial" w:eastAsia="Arial" w:hAnsi="Arial"/>
                <w:b/>
                <w:bCs/>
                <w:color w:val="FFFFFF"/>
                <w:sz w:val="19"/>
                <w:szCs w:val="19"/>
              </w:rPr>
              <w:t xml:space="preserve">Verdict</w:t>
            </w:r>
          </w:p>
        </w:tc>
        <w:tc>
          <w:tcPr>
            <w:tcW w:type="dxa" w:w="724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HIGH CONVICTION — Proven alpha, free data, systematic execution, real regulatory asymmetry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Data Source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Senate/House financial disclosures (disclosure.senate.gov, clerk.house.gov), Capitol Trades, Quiver Quantitative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Geographic Scope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US equities (trades by US Senators and Representatives)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Cost</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Zero</w:t>
            </w:r>
          </w:p>
        </w:tc>
      </w:tr>
    </w:tbl>
    <w:p>
      <w:pPr>
        <w:spacing w:after="80" w:before="0" w:line="276"/>
      </w:pPr>
      <w:r>
        <w:rPr>
          <w:rFonts w:ascii="Arial" w:cs="Arial" w:eastAsia="Arial" w:hAnsi="Arial"/>
          <w:color w:val="333333"/>
          <w:sz w:val="21"/>
          <w:szCs w:val="21"/>
        </w:rPr>
        <w:t xml:space="preserve"/>
      </w:r>
    </w:p>
    <w:p>
      <w:pPr>
        <w:pStyle w:val="Heading3"/>
        <w:spacing w:after="160" w:before="240"/>
      </w:pPr>
      <w:r>
        <w:t xml:space="preserve">What It Does</w:t>
      </w:r>
    </w:p>
    <w:p>
      <w:pPr>
        <w:spacing w:after="140" w:before="0" w:line="276"/>
      </w:pPr>
      <w:r>
        <w:rPr>
          <w:rFonts w:ascii="Arial" w:cs="Arial" w:eastAsia="Arial" w:hAnsi="Arial"/>
          <w:color w:val="333333"/>
          <w:sz w:val="21"/>
          <w:szCs w:val="21"/>
        </w:rPr>
        <w:t xml:space="preserve">US legislators are required under the STOCK Act to disclose all stock trades within 45 days. These disclosures are public record. The strategy systematically monitors congressional trades and identifies high-signal patterns: trades by committee members in sectors they oversee, cluster buying before legislative action, and trades by historically high-performing legislators.</w:t>
      </w:r>
    </w:p>
    <w:p>
      <w:pPr>
        <w:pStyle w:val="Heading3"/>
        <w:spacing w:after="160" w:before="240"/>
      </w:pPr>
      <w:r>
        <w:t xml:space="preserve">Why This Belongs in the Top Five</w:t>
      </w:r>
    </w:p>
    <w:p>
      <w:pPr>
        <w:spacing w:after="140" w:before="0" w:line="276"/>
      </w:pPr>
      <w:r>
        <w:rPr>
          <w:rFonts w:ascii="Arial" w:cs="Arial" w:eastAsia="Arial" w:hAnsi="Arial"/>
          <w:color w:val="333333"/>
          <w:sz w:val="21"/>
          <w:szCs w:val="21"/>
        </w:rPr>
        <w:t xml:space="preserve">This is not a novel concept — multiple websites track congressional trades. But that is precisely what makes it valuable: </w:t>
      </w:r>
      <w:r>
        <w:rPr>
          <w:rFonts w:ascii="Arial" w:cs="Arial" w:eastAsia="Arial" w:hAnsi="Arial"/>
          <w:b/>
          <w:bCs/>
          <w:color w:val="333333"/>
          <w:sz w:val="21"/>
          <w:szCs w:val="21"/>
        </w:rPr>
        <w:t xml:space="preserve">the signal is empirically validated.</w:t>
      </w:r>
      <w:r>
        <w:rPr>
          <w:rFonts w:ascii="Arial" w:cs="Arial" w:eastAsia="Arial" w:hAnsi="Arial"/>
          <w:color w:val="333333"/>
          <w:sz w:val="21"/>
          <w:szCs w:val="21"/>
        </w:rPr>
        <w:t xml:space="preserve"> Academic studies and commercial backtests consistently show that portfolios mimicking congressional trades outperform the market by 5-12% annually. The reason is structural: legislators sit on committees that receive non-public briefings about industries they regulate. The 45-day disclosure delay is a legal loophole that creates a tradeable window.</w:t>
      </w:r>
    </w:p>
    <w:p>
      <w:pPr>
        <w:spacing w:after="140" w:before="0" w:line="276"/>
      </w:pPr>
      <w:r>
        <w:rPr>
          <w:rFonts w:ascii="Arial" w:cs="Arial" w:eastAsia="Arial" w:hAnsi="Arial"/>
          <w:color w:val="333333"/>
          <w:sz w:val="21"/>
          <w:szCs w:val="21"/>
        </w:rPr>
        <w:t xml:space="preserve">The edge for us specifically: most tracking platforms show you the raw filings. What they don't do is cross-reference the trade with committee membership, pending legislation, and upcoming regulatory decisions. A senator on the Armed Services Committee buying a defense contractor two weeks before a classified budget briefing is a categorically different signal than a random stock purchase. That cross-referencing analysis is what I can do in each session.</w:t>
      </w:r>
    </w:p>
    <w:p>
      <w:pPr>
        <w:pStyle w:val="Heading3"/>
        <w:spacing w:after="160" w:before="240"/>
      </w:pPr>
      <w:r>
        <w:t xml:space="preserve">How I Execute It</w:t>
      </w:r>
    </w:p>
    <w:p>
      <w:pPr>
        <w:spacing w:after="140" w:before="0" w:line="276"/>
      </w:pPr>
      <w:r>
        <w:rPr>
          <w:rFonts w:ascii="Arial" w:cs="Arial" w:eastAsia="Arial" w:hAnsi="Arial"/>
          <w:color w:val="333333"/>
          <w:sz w:val="21"/>
          <w:szCs w:val="21"/>
        </w:rPr>
        <w:t xml:space="preserve">I scrape or fetch the latest congressional disclosures, cross-reference each trade with the legislator's committee assignments (public data from congress.gov), check for pending legislation in relevant sectors, and produce a filtered report of the highest-signal trades. The scoring favors: trades by committee chairs or ranking members, trades in sectors under their committee's jurisdiction, cluster trades (multiple legislators in same sector within short window), and unusually large positions.</w:t>
      </w:r>
    </w:p>
    <w:p>
      <w:r>
        <w:br w:type="page"/>
      </w:r>
    </w:p>
    <w:p>
      <w:pPr>
        <w:pStyle w:val="Heading2"/>
        <w:spacing w:after="160" w:before="240"/>
      </w:pPr>
      <w:r>
        <w:t xml:space="preserve">Strategy 4: Government Contract Award Monitoring (SAM.gov / FPDS)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top"/>
          </w:tcPr>
          <w:p>
            <w:pPr>
              <w:spacing w:after="40"/>
            </w:pPr>
            <w:r>
              <w:rPr>
                <w:rFonts w:ascii="Arial" w:cs="Arial" w:eastAsia="Arial" w:hAnsi="Arial"/>
                <w:b/>
                <w:bCs/>
                <w:color w:val="FFFFFF"/>
                <w:sz w:val="19"/>
                <w:szCs w:val="19"/>
              </w:rPr>
              <w:t xml:space="preserve">Verdict</w:t>
            </w:r>
          </w:p>
        </w:tc>
        <w:tc>
          <w:tcPr>
            <w:tcW w:type="dxa" w:w="72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HIGH POTENTIAL — Direct revenue signal, free data, undermonitored for small/mid-cap companies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Data Source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SAM.gov Contract Awards API (formerly FPDS), USAspending.gov — free, public, searchable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Geographic Scope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US-listed companies with government contracts (defense, IT, healthcare, infrastructure)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Cost</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Zero (public API, requires free SAM.gov account)</w:t>
            </w:r>
          </w:p>
        </w:tc>
      </w:tr>
    </w:tbl>
    <w:p>
      <w:pPr>
        <w:spacing w:after="80" w:before="0" w:line="276"/>
      </w:pPr>
      <w:r>
        <w:rPr>
          <w:rFonts w:ascii="Arial" w:cs="Arial" w:eastAsia="Arial" w:hAnsi="Arial"/>
          <w:color w:val="333333"/>
          <w:sz w:val="21"/>
          <w:szCs w:val="21"/>
        </w:rPr>
        <w:t xml:space="preserve"/>
      </w:r>
    </w:p>
    <w:p>
      <w:pPr>
        <w:pStyle w:val="Heading3"/>
        <w:spacing w:after="160" w:before="240"/>
      </w:pPr>
      <w:r>
        <w:t xml:space="preserve">What It Does</w:t>
      </w:r>
    </w:p>
    <w:p>
      <w:pPr>
        <w:spacing w:after="140" w:before="0" w:line="276"/>
      </w:pPr>
      <w:r>
        <w:rPr>
          <w:rFonts w:ascii="Arial" w:cs="Arial" w:eastAsia="Arial" w:hAnsi="Arial"/>
          <w:color w:val="333333"/>
          <w:sz w:val="21"/>
          <w:szCs w:val="21"/>
        </w:rPr>
        <w:t xml:space="preserve">The US federal government publishes every contract award in a searchable database. When a small defense contractor wins a $50M contract, that contract award appears on SAM.gov before it appears in the company's 8-K, before the press release, and often before any analyst coverage. For companies where government revenue represents 30-80% of total revenue, a single large contract award can move the stock 10-20%.</w:t>
      </w:r>
    </w:p>
    <w:p>
      <w:pPr>
        <w:pStyle w:val="Heading3"/>
        <w:spacing w:after="160" w:before="240"/>
      </w:pPr>
      <w:r>
        <w:t xml:space="preserve">Why It Works</w:t>
      </w:r>
    </w:p>
    <w:p>
      <w:pPr>
        <w:spacing w:after="140" w:before="0" w:line="276"/>
      </w:pPr>
      <w:r>
        <w:rPr>
          <w:rFonts w:ascii="Arial" w:cs="Arial" w:eastAsia="Arial" w:hAnsi="Arial"/>
          <w:color w:val="333333"/>
          <w:sz w:val="21"/>
          <w:szCs w:val="21"/>
        </w:rPr>
        <w:t xml:space="preserve">Wall Street covers the large defense primes (Lockheed, Raytheon) obsessively. But the government also awards billions to small and mid-cap IT services companies, cybersecurity firms, healthcare services providers, and infrastructure contractors that have 0-3 analysts. For these companies, SAM.gov is the earliest public signal of a material revenue event. The data recently migrated to SAM.gov (February 2026), and the new API is cleaner and more searchable than the old FPDS system, but investor awareness of this data source remains low.</w:t>
      </w:r>
    </w:p>
    <w:p>
      <w:pPr>
        <w:pStyle w:val="Heading3"/>
        <w:spacing w:after="160" w:before="240"/>
      </w:pPr>
      <w:r>
        <w:t xml:space="preserve">How I Execute It</w:t>
      </w:r>
    </w:p>
    <w:p>
      <w:pPr>
        <w:spacing w:after="140" w:before="0" w:line="276"/>
      </w:pPr>
      <w:r>
        <w:rPr>
          <w:rFonts w:ascii="Arial" w:cs="Arial" w:eastAsia="Arial" w:hAnsi="Arial"/>
          <w:color w:val="333333"/>
          <w:sz w:val="21"/>
          <w:szCs w:val="21"/>
        </w:rPr>
        <w:t xml:space="preserve">I build a watchlist of small/mid-cap government contractors (defense tech, cybersecurity, IT services, healthcare IT), then query the SAM.gov Contract Awards API weekly for new awards to these companies. Any contract representing more than 10% of the company's trailing revenue is flagged as a material signal. I cross-reference with the company's market cap, analyst coverage, and recent stock performance to identify the most asymmetric opportunities.</w:t>
      </w:r>
    </w:p>
    <w:p>
      <w:r>
        <w:br w:type="page"/>
      </w:r>
    </w:p>
    <w:p>
      <w:pPr>
        <w:pStyle w:val="Heading2"/>
        <w:spacing w:after="160" w:before="240"/>
      </w:pPr>
      <w:r>
        <w:t xml:space="preserve">Strategy 5: FDA PDUFA Calendar Event Analysis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top"/>
          </w:tcPr>
          <w:p>
            <w:pPr>
              <w:spacing w:after="40"/>
            </w:pPr>
            <w:r>
              <w:rPr>
                <w:rFonts w:ascii="Arial" w:cs="Arial" w:eastAsia="Arial" w:hAnsi="Arial"/>
                <w:b/>
                <w:bCs/>
                <w:color w:val="FFFFFF"/>
                <w:sz w:val="19"/>
                <w:szCs w:val="19"/>
              </w:rPr>
              <w:t xml:space="preserve">Verdict</w:t>
            </w:r>
          </w:p>
        </w:tc>
        <w:tc>
          <w:tcPr>
            <w:tcW w:type="dxa" w:w="72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HIGH POTENTIAL — Known dates, binary outcomes, extreme asymmetry, deep research moat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Data Source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FDA PDUFA calendar, ClinicalTrials.gov, SEC filings (S-1 for pre-IPO biotechs), AdCom transcripts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Geographic Scope</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US-listed biotech/pharma (NYSE, NASDAQ)</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Cost</w:t>
            </w:r>
          </w:p>
        </w:tc>
        <w:tc>
          <w:tcPr>
            <w:tcW w:type="dxa" w:w="7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Zero (all public data)</w:t>
            </w:r>
          </w:p>
        </w:tc>
      </w:tr>
    </w:tbl>
    <w:p>
      <w:pPr>
        <w:spacing w:after="80" w:before="0" w:line="276"/>
      </w:pPr>
      <w:r>
        <w:rPr>
          <w:rFonts w:ascii="Arial" w:cs="Arial" w:eastAsia="Arial" w:hAnsi="Arial"/>
          <w:color w:val="333333"/>
          <w:sz w:val="21"/>
          <w:szCs w:val="21"/>
        </w:rPr>
        <w:t xml:space="preserve"/>
      </w:r>
    </w:p>
    <w:p>
      <w:pPr>
        <w:pStyle w:val="Heading3"/>
        <w:spacing w:after="160" w:before="240"/>
      </w:pPr>
      <w:r>
        <w:t xml:space="preserve">What It Does</w:t>
      </w:r>
    </w:p>
    <w:p>
      <w:pPr>
        <w:spacing w:after="140" w:before="0" w:line="276"/>
      </w:pPr>
      <w:r>
        <w:rPr>
          <w:rFonts w:ascii="Arial" w:cs="Arial" w:eastAsia="Arial" w:hAnsi="Arial"/>
          <w:color w:val="333333"/>
          <w:sz w:val="21"/>
          <w:szCs w:val="21"/>
        </w:rPr>
        <w:t xml:space="preserve">The FDA publishes exact dates when it will decide on drug approvals (PDUFA dates). These are binary events: approved or rejected. For small biotech companies with a single drug in their pipeline, the decision can move the stock 50-200% in either direction. The dates are publicly known months in advance. The edge comes not from knowing the date, but from building a better probability model of the outcome than the market implies.</w:t>
      </w:r>
    </w:p>
    <w:p>
      <w:pPr>
        <w:pStyle w:val="Heading3"/>
        <w:spacing w:after="160" w:before="240"/>
      </w:pPr>
      <w:r>
        <w:t xml:space="preserve">Where the Edge Actually Is</w:t>
      </w:r>
    </w:p>
    <w:p>
      <w:pPr>
        <w:spacing w:after="140" w:before="0" w:line="276"/>
      </w:pPr>
      <w:r>
        <w:rPr>
          <w:rFonts w:ascii="Arial" w:cs="Arial" w:eastAsia="Arial" w:hAnsi="Arial"/>
          <w:color w:val="333333"/>
          <w:sz w:val="21"/>
          <w:szCs w:val="21"/>
        </w:rPr>
        <w:t xml:space="preserve">The PDUFA date itself is well-known. The edge comes from assembling and analyzing the surrounding evidence that most market participants don't synthesize: </w:t>
      </w:r>
      <w:r>
        <w:rPr>
          <w:rFonts w:ascii="Arial" w:cs="Arial" w:eastAsia="Arial" w:hAnsi="Arial"/>
          <w:b/>
          <w:bCs/>
          <w:color w:val="333333"/>
          <w:sz w:val="21"/>
          <w:szCs w:val="21"/>
        </w:rPr>
        <w:t xml:space="preserve">Advisory Committee (AdCom) voting transcripts</w:t>
      </w:r>
      <w:r>
        <w:rPr>
          <w:rFonts w:ascii="Arial" w:cs="Arial" w:eastAsia="Arial" w:hAnsi="Arial"/>
          <w:color w:val="333333"/>
          <w:sz w:val="21"/>
          <w:szCs w:val="21"/>
        </w:rPr>
        <w:t xml:space="preserve"> (where panel experts debate the drug — their specific concerns often predict CRL or approval conditions), </w:t>
      </w:r>
      <w:r>
        <w:rPr>
          <w:rFonts w:ascii="Arial" w:cs="Arial" w:eastAsia="Arial" w:hAnsi="Arial"/>
          <w:b/>
          <w:bCs/>
          <w:color w:val="333333"/>
          <w:sz w:val="21"/>
          <w:szCs w:val="21"/>
        </w:rPr>
        <w:t xml:space="preserve">Complete Response Letter patterns</w:t>
      </w:r>
      <w:r>
        <w:rPr>
          <w:rFonts w:ascii="Arial" w:cs="Arial" w:eastAsia="Arial" w:hAnsi="Arial"/>
          <w:color w:val="333333"/>
          <w:sz w:val="21"/>
          <w:szCs w:val="21"/>
        </w:rPr>
        <w:t xml:space="preserve"> (what the FDA asked for vs. what the company has delivered), and </w:t>
      </w:r>
      <w:r>
        <w:rPr>
          <w:rFonts w:ascii="Arial" w:cs="Arial" w:eastAsia="Arial" w:hAnsi="Arial"/>
          <w:b/>
          <w:bCs/>
          <w:color w:val="333333"/>
          <w:sz w:val="21"/>
          <w:szCs w:val="21"/>
        </w:rPr>
        <w:t xml:space="preserve">comparable drug approval histories</w:t>
      </w:r>
      <w:r>
        <w:rPr>
          <w:rFonts w:ascii="Arial" w:cs="Arial" w:eastAsia="Arial" w:hAnsi="Arial"/>
          <w:color w:val="333333"/>
          <w:sz w:val="21"/>
          <w:szCs w:val="21"/>
        </w:rPr>
        <w:t xml:space="preserve"> (if the FDA approved Drug X with similar efficacy data, Drug Y with better data should have higher probability). I can read and synthesize these FDA documents in each session, building a probability-adjusted thesis that the option market may misprice.</w:t>
      </w:r>
    </w:p>
    <w:p>
      <w:pPr>
        <w:pStyle w:val="Heading3"/>
        <w:spacing w:after="160" w:before="240"/>
      </w:pPr>
      <w:r>
        <w:t xml:space="preserve">How I Execute It</w:t>
      </w:r>
    </w:p>
    <w:p>
      <w:pPr>
        <w:spacing w:after="140" w:before="0" w:line="276"/>
      </w:pPr>
      <w:r>
        <w:rPr>
          <w:rFonts w:ascii="Arial" w:cs="Arial" w:eastAsia="Arial" w:hAnsi="Arial"/>
          <w:color w:val="333333"/>
          <w:sz w:val="21"/>
          <w:szCs w:val="21"/>
        </w:rPr>
        <w:t xml:space="preserve">I maintain a calendar of upcoming PDUFA dates (publicly available from fdatracker.com, RTTNews, biopharmawatch.com). For each approaching date, I research the drug's clinical data, AdCom history, FDA staff review if published, precedent decisions for similar drugs, and the company's share price behavior. I produce a pre-event analysis that estimates approval probability and compares it to the market's implied probability (derived from stock price positioning and option skew if available). The most mispriced events become candidates.</w:t>
      </w:r>
    </w:p>
    <w:p>
      <w:r>
        <w:br w:type="page"/>
      </w:r>
    </w:p>
    <w:p>
      <w:pPr>
        <w:pStyle w:val="Heading1"/>
        <w:spacing w:after="160" w:before="360"/>
      </w:pPr>
      <w:r>
        <w:t xml:space="preserve">3. Why These Five (and Not Others)</w:t>
      </w:r>
    </w:p>
    <w:p>
      <w:pPr>
        <w:pStyle w:val="Heading3"/>
        <w:spacing w:after="160" w:before="240"/>
      </w:pPr>
      <w:r>
        <w:t xml:space="preserve">What Got Cut and Why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520"/>
        <w:gridCol w:w="352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Idea</w:t>
            </w:r>
          </w:p>
        </w:tc>
        <w:tc>
          <w:tcPr>
            <w:tcW w:type="dxa" w:w="3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Sounds Great Because...</w:t>
            </w:r>
          </w:p>
        </w:tc>
        <w:tc>
          <w:tcPr>
            <w:tcW w:type="dxa" w:w="3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Cut Because...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Director Entity Forensics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Strongest theoretical signal. Cross-referencing directors across Registro Mercantil and Luxembourg RCS would catch M&amp;A vehicles weeks early.</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Registro Mercantil charges per document and has no API. Luxembourg RCS requires manual searching. Name matching across languages is error-prone. Brilliant idea but execution bottleneck is too severe for systematic operation. Better as a manual deep-dive tool for specific candidates.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CENDOJ Spanish Court Monitoring</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Maximum information asymmetry. Zero international investors read Spanish court rulings.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CENDOJ's search interface is hostile to automation. Rulings require legal interpretation to assess materiality. Signal frequency is low (maybe 2-3 market-moving rulings per month across all IBEX companies). Excellent for a human Spanish lawyer, harder for me to execute reliably.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Corporate Jet Tracking</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Empirically validated by Oxford study. ADS-B data is free.</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European GDPR allows companies to block tracking. Mapping tail numbers to companies requires a maintained database I don't have. High false positive rate (routine travel vs. deal travel). Better as a confirmation tool than a primary signal source.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Hedging Book Roll-Off</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Quantifiable from disclosed data. Margin cliff is predictable.</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Data is annual (updated once per year in annual reports). Signal plays out over quarters, not weeks. Requires futures curve data for modeling that I can approximate but not track in real-time. Kept in reserve as a supplementary analysis for candidate deep-dives.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BOE Scanning</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Free, daily, high-impact. Government decisions with market impact.</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Volume problem: the BOE publishes hundreds of pages daily. Filtering for market-relevant items at scale requires a level of contextual understanding that produces too many false positives. Included as a supplementary scan within Strategy 1's execution framework rather than standalone.</w:t>
            </w:r>
          </w:p>
        </w:tc>
      </w:tr>
    </w:tbl>
    <w:p>
      <w:pPr>
        <w:spacing w:after="100" w:before="0" w:line="276"/>
      </w:pPr>
      <w:r>
        <w:rPr>
          <w:rFonts w:ascii="Arial" w:cs="Arial" w:eastAsia="Arial" w:hAnsi="Arial"/>
          <w:color w:val="333333"/>
          <w:sz w:val="21"/>
          <w:szCs w:val="21"/>
        </w:rPr>
        <w:t xml:space="preserve"/>
      </w:r>
    </w:p>
    <w:p>
      <w:pPr>
        <w:spacing w:after="140" w:before="0" w:line="276"/>
      </w:pPr>
      <w:r>
        <w:rPr>
          <w:rFonts w:ascii="Arial" w:cs="Arial" w:eastAsia="Arial" w:hAnsi="Arial"/>
          <w:b/>
          <w:bCs/>
          <w:color w:val="333333"/>
          <w:sz w:val="21"/>
          <w:szCs w:val="21"/>
        </w:rPr>
        <w:t xml:space="preserve">Key insight: </w:t>
      </w:r>
      <w:r>
        <w:rPr>
          <w:rFonts w:ascii="Arial" w:cs="Arial" w:eastAsia="Arial" w:hAnsi="Arial"/>
          <w:color w:val="333333"/>
          <w:sz w:val="21"/>
          <w:szCs w:val="21"/>
        </w:rPr>
        <w:t xml:space="preserve">the best ideas on paper are not always the best ideas in practice. The selected five share a common trait: the data is clean, free, accessible via API or structured web interface, and produces signals at a frequency that justifies systematic monitoring. The cut ideas are kept in reserve as manual research tools for when a specific candidate warrants deep investigation.</w:t>
      </w:r>
    </w:p>
    <w:p>
      <w:r>
        <w:br w:type="page"/>
      </w:r>
    </w:p>
    <w:p>
      <w:pPr>
        <w:pStyle w:val="Heading1"/>
        <w:spacing w:after="160" w:before="360"/>
      </w:pPr>
      <w:r>
        <w:t xml:space="preserve">4. How The Five Strategies Work Together</w:t>
      </w:r>
    </w:p>
    <w:p>
      <w:pPr>
        <w:spacing w:after="140" w:before="0" w:line="276"/>
      </w:pPr>
      <w:r>
        <w:rPr>
          <w:rFonts w:ascii="Arial" w:cs="Arial" w:eastAsia="Arial" w:hAnsi="Arial"/>
          <w:color w:val="333333"/>
          <w:sz w:val="21"/>
          <w:szCs w:val="21"/>
        </w:rPr>
        <w:t xml:space="preserve">These strategies are not independent. They form an interconnected discovery system where signals from one strategy confirm or amplify signals from another:</w:t>
      </w:r>
    </w:p>
    <w:p>
      <w:pPr>
        <w:pStyle w:val="ListParagraph"/>
        <w:numPr>
          <w:ilvl w:val="0"/>
          <w:numId w:val="3"/>
        </w:numPr>
        <w:spacing w:after="80"/>
      </w:pPr>
      <w:r>
        <w:rPr>
          <w:rFonts w:ascii="Arial" w:cs="Arial" w:eastAsia="Arial" w:hAnsi="Arial"/>
          <w:b/>
          <w:bCs/>
          <w:color w:val="333333"/>
          <w:sz w:val="21"/>
          <w:szCs w:val="21"/>
        </w:rPr>
        <w:t xml:space="preserve">EDGAR keyword scan</w:t>
      </w:r>
      <w:r>
        <w:rPr>
          <w:rFonts w:ascii="Arial" w:cs="Arial" w:eastAsia="Arial" w:hAnsi="Arial"/>
          <w:color w:val="333333"/>
          <w:sz w:val="21"/>
          <w:szCs w:val="21"/>
        </w:rPr>
        <w:t xml:space="preserve"> finds a small defense company filing "strategic alternatives." </w:t>
      </w:r>
      <w:r>
        <w:rPr>
          <w:rFonts w:ascii="Arial" w:cs="Arial" w:eastAsia="Arial" w:hAnsi="Arial"/>
          <w:b/>
          <w:bCs/>
          <w:color w:val="333333"/>
          <w:sz w:val="21"/>
          <w:szCs w:val="21"/>
        </w:rPr>
        <w:t xml:space="preserve">SAM.gov contract monitoring</w:t>
      </w:r>
      <w:r>
        <w:rPr>
          <w:rFonts w:ascii="Arial" w:cs="Arial" w:eastAsia="Arial" w:hAnsi="Arial"/>
          <w:color w:val="333333"/>
          <w:sz w:val="21"/>
          <w:szCs w:val="21"/>
        </w:rPr>
        <w:t xml:space="preserve"> shows they just won their largest-ever contract. The distress language plus the contract win suggests a forced sale of a healthy business — a classic special situation.</w:t>
      </w:r>
    </w:p>
    <w:p>
      <w:pPr>
        <w:pStyle w:val="ListParagraph"/>
        <w:numPr>
          <w:ilvl w:val="0"/>
          <w:numId w:val="3"/>
        </w:numPr>
        <w:spacing w:after="80"/>
      </w:pPr>
      <w:r>
        <w:rPr>
          <w:rFonts w:ascii="Arial" w:cs="Arial" w:eastAsia="Arial" w:hAnsi="Arial"/>
          <w:b/>
          <w:bCs/>
          <w:color w:val="333333"/>
          <w:sz w:val="21"/>
          <w:szCs w:val="21"/>
        </w:rPr>
        <w:t xml:space="preserve">ESMA short aggregation</w:t>
      </w:r>
      <w:r>
        <w:rPr>
          <w:rFonts w:ascii="Arial" w:cs="Arial" w:eastAsia="Arial" w:hAnsi="Arial"/>
          <w:color w:val="333333"/>
          <w:sz w:val="21"/>
          <w:szCs w:val="21"/>
        </w:rPr>
        <w:t xml:space="preserve"> shows a major hedge fund building a short in a European pharma company. </w:t>
      </w:r>
      <w:r>
        <w:rPr>
          <w:rFonts w:ascii="Arial" w:cs="Arial" w:eastAsia="Arial" w:hAnsi="Arial"/>
          <w:b/>
          <w:bCs/>
          <w:color w:val="333333"/>
          <w:sz w:val="21"/>
          <w:szCs w:val="21"/>
        </w:rPr>
        <w:t xml:space="preserve">FDA PDUFA analysis</w:t>
      </w:r>
      <w:r>
        <w:rPr>
          <w:rFonts w:ascii="Arial" w:cs="Arial" w:eastAsia="Arial" w:hAnsi="Arial"/>
          <w:color w:val="333333"/>
          <w:sz w:val="21"/>
          <w:szCs w:val="21"/>
        </w:rPr>
        <w:t xml:space="preserve"> shows the company has a drug decision in 3 weeks with strong clinical data. The short may be mispriced against a positive binary event.</w:t>
      </w:r>
    </w:p>
    <w:p>
      <w:pPr>
        <w:pStyle w:val="ListParagraph"/>
        <w:numPr>
          <w:ilvl w:val="0"/>
          <w:numId w:val="3"/>
        </w:numPr>
        <w:spacing w:after="140"/>
      </w:pPr>
      <w:r>
        <w:rPr>
          <w:rFonts w:ascii="Arial" w:cs="Arial" w:eastAsia="Arial" w:hAnsi="Arial"/>
          <w:b/>
          <w:bCs/>
          <w:color w:val="333333"/>
          <w:sz w:val="21"/>
          <w:szCs w:val="21"/>
        </w:rPr>
        <w:t xml:space="preserve">Congressional trading</w:t>
      </w:r>
      <w:r>
        <w:rPr>
          <w:rFonts w:ascii="Arial" w:cs="Arial" w:eastAsia="Arial" w:hAnsi="Arial"/>
          <w:color w:val="333333"/>
          <w:sz w:val="21"/>
          <w:szCs w:val="21"/>
        </w:rPr>
        <w:t xml:space="preserve"> shows a Senate Health Committee member buying a biotech. </w:t>
      </w:r>
      <w:r>
        <w:rPr>
          <w:rFonts w:ascii="Arial" w:cs="Arial" w:eastAsia="Arial" w:hAnsi="Arial"/>
          <w:b/>
          <w:bCs/>
          <w:color w:val="333333"/>
          <w:sz w:val="21"/>
          <w:szCs w:val="21"/>
        </w:rPr>
        <w:t xml:space="preserve">EDGAR scan</w:t>
      </w:r>
      <w:r>
        <w:rPr>
          <w:rFonts w:ascii="Arial" w:cs="Arial" w:eastAsia="Arial" w:hAnsi="Arial"/>
          <w:color w:val="333333"/>
          <w:sz w:val="21"/>
          <w:szCs w:val="21"/>
        </w:rPr>
        <w:t xml:space="preserve"> shows the same company filed a pre-NDA meeting disclosure. </w:t>
      </w:r>
      <w:r>
        <w:rPr>
          <w:rFonts w:ascii="Arial" w:cs="Arial" w:eastAsia="Arial" w:hAnsi="Arial"/>
          <w:b/>
          <w:bCs/>
          <w:color w:val="333333"/>
          <w:sz w:val="21"/>
          <w:szCs w:val="21"/>
        </w:rPr>
        <w:t xml:space="preserve">FDA calendar</w:t>
      </w:r>
      <w:r>
        <w:rPr>
          <w:rFonts w:ascii="Arial" w:cs="Arial" w:eastAsia="Arial" w:hAnsi="Arial"/>
          <w:color w:val="333333"/>
          <w:sz w:val="21"/>
          <w:szCs w:val="21"/>
        </w:rPr>
        <w:t xml:space="preserve"> confirms an upcoming decision. Three independent signals converging on the same thesis.</w:t>
      </w:r>
    </w:p>
    <w:p>
      <w:pPr>
        <w:pStyle w:val="Heading2"/>
        <w:spacing w:after="160" w:before="240"/>
      </w:pPr>
      <w:r>
        <w:t xml:space="preserve">Implementation Plan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520"/>
        <w:gridCol w:w="252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Strategies Activated</w:t>
            </w:r>
          </w:p>
        </w:tc>
        <w:tc>
          <w:tcPr>
            <w:tcW w:type="dxa" w:w="2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Deliverable</w:t>
            </w:r>
          </w:p>
        </w:tc>
        <w:tc>
          <w:tcPr>
            <w:tcW w:type="dxa" w:w="25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top"/>
          </w:tcPr>
          <w:p>
            <w:pPr>
              <w:spacing w:after="40"/>
              <w:jc w:val="center"/>
            </w:pPr>
            <w:r>
              <w:rPr>
                <w:rFonts w:ascii="Arial" w:cs="Arial" w:eastAsia="Arial" w:hAnsi="Arial"/>
                <w:b/>
                <w:bCs/>
                <w:color w:val="FFFFFF"/>
                <w:sz w:val="19"/>
                <w:szCs w:val="19"/>
              </w:rPr>
              <w:t xml:space="preserve">Timeline</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Week 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EDGAR Keyword Scanning + Congressional Trading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First signal scan report with scored candidates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Immediate — scripts already built, data is free and API-ready</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Week 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ESMA Short Position Aggregation (build scraper pipeline)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First pan-European short position dataset + weekly analysis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2-3 weeks to build multi-country scraper and normalization</w:t>
            </w:r>
          </w:p>
        </w:tc>
      </w:tr>
      <w:tr>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Week 3-4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SAM.gov Contract Monitoring + FDA PDUFA Calendar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Government contract alerts + first PDUFA event analysis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3-4 weeks for full integration with scoring system</w:t>
            </w:r>
          </w:p>
        </w:tc>
      </w:tr>
      <w:tr>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40"/>
            </w:pPr>
            <w:r>
              <w:rPr>
                <w:rFonts w:ascii="Arial" w:cs="Arial" w:eastAsia="Arial" w:hAnsi="Arial"/>
                <w:b/>
                <w:bCs/>
                <w:color w:val="333333"/>
                <w:sz w:val="19"/>
                <w:szCs w:val="19"/>
              </w:rPr>
              <w:t xml:space="preserve">Month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All five running concurrently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Integrated weekly report: signals, scored candidates, thesis writeups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pPr>
            <w:r>
              <w:rPr>
                <w:rFonts w:ascii="Arial" w:cs="Arial" w:eastAsia="Arial" w:hAnsi="Arial"/>
                <w:color w:val="333333"/>
                <w:sz w:val="19"/>
                <w:szCs w:val="19"/>
              </w:rPr>
              <w:t xml:space="preserve">Ongoing scheduled sessions</w:t>
            </w:r>
          </w:p>
        </w:tc>
      </w:tr>
    </w:tbl>
    <w:p>
      <w:pPr>
        <w:spacing w:after="100" w:before="0" w:line="276"/>
      </w:pPr>
      <w:r>
        <w:rPr>
          <w:rFonts w:ascii="Arial" w:cs="Arial" w:eastAsia="Arial" w:hAnsi="Arial"/>
          <w:color w:val="333333"/>
          <w:sz w:val="21"/>
          <w:szCs w:val="21"/>
        </w:rPr>
        <w:t xml:space="preserve"/>
      </w:r>
    </w:p>
    <w:p>
      <w:pPr>
        <w:pStyle w:val="Heading2"/>
        <w:spacing w:after="160" w:before="240"/>
      </w:pPr>
      <w:r>
        <w:t xml:space="preserve">Execution Model</w:t>
      </w:r>
    </w:p>
    <w:p>
      <w:pPr>
        <w:spacing w:after="140" w:before="0" w:line="276"/>
      </w:pPr>
      <w:r>
        <w:rPr>
          <w:rFonts w:ascii="Arial" w:cs="Arial" w:eastAsia="Arial" w:hAnsi="Arial"/>
          <w:color w:val="333333"/>
          <w:sz w:val="21"/>
          <w:szCs w:val="21"/>
        </w:rPr>
        <w:t xml:space="preserve">Each strategy runs as a scheduled Cowork session on a defined cadence. The sessions produce standardized signal reports that feed into the scoring system. High-scoring signals automatically trigger candidate writeups. The system compounds: as the ESMA short dataset grows over weeks and months, the historical patterns become increasingly valuable for identifying anomalies.</w:t>
      </w:r>
    </w:p>
    <w:p>
      <w:pPr>
        <w:spacing w:after="140" w:before="0" w:line="276"/>
      </w:pPr>
      <w:r>
        <w:rPr>
          <w:rFonts w:ascii="Arial" w:cs="Arial" w:eastAsia="Arial" w:hAnsi="Arial"/>
          <w:b/>
          <w:bCs/>
          <w:color w:val="333333"/>
          <w:sz w:val="21"/>
          <w:szCs w:val="21"/>
        </w:rPr>
        <w:t xml:space="preserve">Total estimated time investment: </w:t>
      </w:r>
      <w:r>
        <w:rPr>
          <w:rFonts w:ascii="Arial" w:cs="Arial" w:eastAsia="Arial" w:hAnsi="Arial"/>
          <w:color w:val="333333"/>
          <w:sz w:val="21"/>
          <w:szCs w:val="21"/>
        </w:rPr>
        <w:t xml:space="preserve">one session of 30-60 minutes every 2-3 days for the daily strategies (EDGAR, Congressional), plus a weekly session for the slower-cycle strategies (ESMA, SAM.gov, FDA). All sessions produce deliverable reports saved to the project workspace for cumulative reference.</w:t>
      </w:r>
    </w:p>
    <w:p>
      <w:r>
        <w:br w:type="page"/>
      </w:r>
    </w:p>
    <w:p>
      <w:pPr>
        <w:pStyle w:val="Heading1"/>
        <w:spacing w:after="160" w:before="360"/>
      </w:pPr>
      <w:r>
        <w:t xml:space="preserve">5. What Makes This Approach Different</w:t>
      </w:r>
    </w:p>
    <w:p>
      <w:pPr>
        <w:spacing w:after="140" w:before="0" w:line="276"/>
      </w:pPr>
      <w:r>
        <w:rPr>
          <w:rFonts w:ascii="Arial" w:cs="Arial" w:eastAsia="Arial" w:hAnsi="Arial"/>
          <w:color w:val="333333"/>
          <w:sz w:val="21"/>
          <w:szCs w:val="21"/>
        </w:rPr>
        <w:t xml:space="preserve">Most non-traditional investment research falls into one of two traps: it either describes data sources abstractly without building anything (a research paper), or it builds sophisticated tools that require Bloomberg terminals, Python servers, and institutional data subscriptions (a fintech product). This system avoids both traps.</w:t>
      </w:r>
    </w:p>
    <w:p>
      <w:pPr>
        <w:spacing w:after="140" w:before="0" w:line="276"/>
      </w:pPr>
      <w:r>
        <w:rPr>
          <w:rFonts w:ascii="Arial" w:cs="Arial" w:eastAsia="Arial" w:hAnsi="Arial"/>
          <w:color w:val="333333"/>
          <w:sz w:val="21"/>
          <w:szCs w:val="21"/>
        </w:rPr>
        <w:t xml:space="preserve">What we are building is a </w:t>
      </w:r>
      <w:r>
        <w:rPr>
          <w:rFonts w:ascii="Arial" w:cs="Arial" w:eastAsia="Arial" w:hAnsi="Arial"/>
          <w:b/>
          <w:bCs/>
          <w:color w:val="333333"/>
          <w:sz w:val="21"/>
          <w:szCs w:val="21"/>
        </w:rPr>
        <w:t xml:space="preserve">discovery pipeline that runs on publicly available, free data, executed through scheduled AI sessions that can search, scrape, analyze, and report autonomously.</w:t>
      </w:r>
      <w:r>
        <w:rPr>
          <w:rFonts w:ascii="Arial" w:cs="Arial" w:eastAsia="Arial" w:hAnsi="Arial"/>
          <w:color w:val="333333"/>
          <w:sz w:val="21"/>
          <w:szCs w:val="21"/>
        </w:rPr>
        <w:t xml:space="preserve"> The five strategies selected are not the most theoretically elegant — they are the ones where the combination of data accessibility, signal strength, and my execution capabilities produces the highest expected value.</w:t>
      </w:r>
    </w:p>
    <w:p>
      <w:pPr>
        <w:spacing w:after="140" w:before="0" w:line="276"/>
      </w:pPr>
      <w:r>
        <w:rPr>
          <w:rFonts w:ascii="Arial" w:cs="Arial" w:eastAsia="Arial" w:hAnsi="Arial"/>
          <w:color w:val="333333"/>
          <w:sz w:val="21"/>
          <w:szCs w:val="21"/>
        </w:rPr>
        <w:t xml:space="preserve">The biggest edge is not in any single strategy. It is in the cross-referencing: when an EDGAR distress signal, a rising ESMA short position, and a congressional trade all point to the same company in the same week, that convergence is a signal that no individual data source produces alone.</w:t>
      </w:r>
    </w:p>
    <w:p>
      <w:pPr>
        <w:spacing w:after="200" w:before="0" w:line="276"/>
      </w:pPr>
      <w:r>
        <w:rPr>
          <w:rFonts w:ascii="Arial" w:cs="Arial" w:eastAsia="Arial" w:hAnsi="Arial"/>
          <w:color w:val="333333"/>
          <w:sz w:val="21"/>
          <w:szCs w:val="21"/>
        </w:rPr>
        <w:t xml:space="preserve"/>
      </w:r>
    </w:p>
    <w:p>
      <w:pPr>
        <w:pBdr>
          <w:top w:val="single" w:color="2E75B6" w:sz="4" w:space="8"/>
        </w:pBdr>
      </w:pPr>
    </w:p>
    <w:p>
      <w:pPr>
        <w:spacing w:after="140" w:before="0" w:line="276"/>
      </w:pPr>
      <w:r>
        <w:rPr>
          <w:rFonts w:ascii="Arial" w:cs="Arial" w:eastAsia="Arial" w:hAnsi="Arial"/>
          <w:b/>
          <w:bCs/>
          <w:color w:val="666666"/>
          <w:sz w:val="19"/>
          <w:szCs w:val="19"/>
        </w:rPr>
        <w:t xml:space="preserve">IMPORTANT DISCLAIMER: </w:t>
      </w:r>
      <w:r>
        <w:rPr>
          <w:rFonts w:ascii="Arial" w:cs="Arial" w:eastAsia="Arial" w:hAnsi="Arial"/>
          <w:i/>
          <w:iCs/>
          <w:color w:val="666666"/>
          <w:sz w:val="19"/>
          <w:szCs w:val="19"/>
        </w:rPr>
        <w:t xml:space="preserve">This system is for research and educational purposes. All analysis represents framework application, not investment advice. All investment decisions remain solely with the user.</w:t>
      </w:r>
    </w:p>
    <w:sectPr>
      <w:headerReference w:type="default" r:id="rId7"/>
      <w:footerReference w:type="default" r:id="rId8"/>
      <w:pgSz w:w="12240" w:h="15840"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Non-Traditional Investment Discovery System</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2026-04-09T14:57:38.348Z</dcterms:created>
  <dcterms:modified xsi:type="dcterms:W3CDTF">2026-04-09T14:57:38.349Z</dcterms:modified>
</cp:coreProperties>
</file>

<file path=docProps/custom.xml><?xml version="1.0" encoding="utf-8"?>
<Properties xmlns="http://schemas.openxmlformats.org/officeDocument/2006/custom-properties" xmlns:vt="http://schemas.openxmlformats.org/officeDocument/2006/docPropsVTypes"/>
</file>