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996600"/>
          <w:sz w:val="72"/>
          <w:szCs w:val="72"/>
        </w:rPr>
        <w:t xml:space="preserve">VRDN</w:t>
      </w:r>
    </w:p>
    <w:p>
      <w:pPr>
        <w:spacing w:after="100"/>
        <w:jc w:val="center"/>
      </w:pPr>
      <w:r>
        <w:rPr>
          <w:rFonts w:ascii="Arial" w:cs="Arial" w:eastAsia="Arial" w:hAnsi="Arial"/>
          <w:color w:val="444444"/>
          <w:sz w:val="40"/>
          <w:szCs w:val="40"/>
        </w:rPr>
        <w:t xml:space="preserve">Deep Dive Research Report</w:t>
      </w:r>
    </w:p>
    <w:p>
      <w:pPr>
        <w:spacing w:after="100"/>
        <w:jc w:val="center"/>
      </w:pPr>
      <w:r>
        <w:rPr>
          <w:rFonts w:ascii="Arial" w:cs="Arial" w:eastAsia="Arial" w:hAnsi="Arial"/>
          <w:b/>
          <w:bCs/>
          <w:color w:val="CC6600"/>
          <w:sz w:val="28"/>
          <w:szCs w:val="28"/>
        </w:rPr>
        <w:t xml:space="preserve">WATCHLIST CANDIDATE</w:t>
      </w:r>
    </w:p>
    <w:p>
      <w:pPr>
        <w:spacing w:after="400"/>
        <w:jc w:val="center"/>
      </w:pPr>
      <w:r>
        <w:rPr>
          <w:rFonts w:ascii="Arial" w:cs="Arial" w:eastAsia="Arial" w:hAnsi="Arial"/>
          <w:color w:val="666666"/>
          <w:sz w:val="28"/>
          <w:szCs w:val="28"/>
        </w:rPr>
        <w:t xml:space="preserve">Viridian Therapeutics, Inc.</w:t>
      </w:r>
    </w:p>
    <w:p>
      <w:pPr>
        <w:spacing w:after="100"/>
        <w:jc w:val="center"/>
      </w:pPr>
      <w:r>
        <w:rPr>
          <w:rFonts w:ascii="Arial" w:cs="Arial" w:eastAsia="Arial" w:hAnsi="Arial"/>
          <w:color w:val="444444"/>
          <w:sz w:val="24"/>
          <w:szCs w:val="24"/>
        </w:rPr>
        <w:t xml:space="preserve">Catalyst: Veligrotug BLA for Thyroid Eye Disease (TED)</w:t>
      </w:r>
    </w:p>
    <w:p>
      <w:pPr>
        <w:spacing w:after="100"/>
        <w:jc w:val="center"/>
      </w:pPr>
      <w:r>
        <w:rPr>
          <w:rFonts w:ascii="Arial" w:cs="Arial" w:eastAsia="Arial" w:hAnsi="Arial"/>
          <w:b/>
          <w:bCs/>
          <w:color w:val="996600"/>
          <w:sz w:val="24"/>
          <w:szCs w:val="24"/>
        </w:rPr>
        <w:t xml:space="preserve">PDUFA Date: June 30, 2026</w:t>
      </w:r>
    </w:p>
    <w:p>
      <w:pPr>
        <w:spacing w:after="100"/>
        <w:jc w:val="center"/>
      </w:pPr>
      <w:r>
        <w:rPr>
          <w:rFonts w:ascii="Arial" w:cs="Arial" w:eastAsia="Arial" w:hAnsi="Arial"/>
          <w:color w:val="444444"/>
          <w:sz w:val="24"/>
          <w:szCs w:val="24"/>
        </w:rPr>
        <w:t xml:space="preserve">Score: 26.00 / 42.5 (Demoted from 31.5)</w:t>
      </w:r>
    </w:p>
    <w:p>
      <w:pPr>
        <w:spacing w:before="1500"/>
      </w:pPr>
    </w:p>
    <w:p>
      <w:pPr>
        <w:spacing w:after="100"/>
        <w:jc w:val="center"/>
      </w:pPr>
      <w:r>
        <w:rPr>
          <w:rFonts w:ascii="Arial" w:cs="Arial" w:eastAsia="Arial" w:hAnsi="Arial"/>
          <w:color w:val="888888"/>
          <w:sz w:val="22"/>
          <w:szCs w:val="22"/>
        </w:rPr>
        <w:t xml:space="preserve">Report Date: April 13, 2026</w:t>
      </w:r>
    </w:p>
    <w:p>
      <w:pPr>
        <w:jc w:val="center"/>
      </w:pPr>
      <w:r>
        <w:rPr>
          <w:rFonts w:ascii="Arial" w:cs="Arial" w:eastAsia="Arial" w:hAnsi="Arial"/>
          <w:i/>
          <w:iCs/>
          <w:color w:val="888888"/>
          <w:sz w:val="20"/>
          <w:szCs w:val="20"/>
        </w:rPr>
        <w:t xml:space="preserve">Automated Research Report — Investment Discovery System</w:t>
      </w:r>
    </w:p>
    <w:p>
      <w:r>
        <w:br w:type="page"/>
      </w:r>
    </w:p>
    <w:p>
      <w:pPr>
        <w:pStyle w:val="Heading1"/>
        <w:spacing w:after="200" w:before="300"/>
      </w:pPr>
      <w:r>
        <w:rPr>
          <w:rFonts w:ascii="Arial" w:cs="Arial" w:eastAsia="Arial" w:hAnsi="Arial"/>
          <w:b/>
          <w:bCs/>
          <w:color w:val="2B5797"/>
          <w:sz w:val="32"/>
          <w:szCs w:val="32"/>
        </w:rPr>
        <w:t xml:space="preserve">1. Executive Summary</w:t>
      </w:r>
    </w:p>
    <w:p>
      <w:pPr>
        <w:spacing w:after="120"/>
      </w:pPr>
      <w:r>
        <w:rPr>
          <w:rFonts w:ascii="Arial" w:cs="Arial" w:eastAsia="Arial" w:hAnsi="Arial"/>
          <w:sz w:val="22"/>
          <w:szCs w:val="22"/>
        </w:rPr>
        <w:t xml:space="preserve">Viridian Therapeutics (NASDAQ: VRDN) has a BLA under FDA Priority Review with Breakthrough Therapy designation for veligrotug, an IV anti-IGF-1R antibody for thyroid eye disease (TED). PDUFA target action date is June 30, 2026. Both pivotal Phase 3 trials (THRIVE for active TED, THRIVE-2 for chronic TED) met all primary and secondary endpoints with robust efficacy data. Regulatory approval probability is very high.</w:t>
      </w:r>
    </w:p>
    <w:p>
      <w:pPr>
        <w:spacing w:after="120"/>
      </w:pPr>
      <w:r>
        <w:rPr>
          <w:rFonts w:ascii="Arial" w:cs="Arial" w:eastAsia="Arial" w:hAnsi="Arial"/>
          <w:sz w:val="22"/>
          <w:szCs w:val="22"/>
        </w:rPr>
        <w:t xml:space="preserve">However, VRDN was DEMOTED from Active Candidate (score 31.5) to Watchlist (score 26.0) in Session 26 after two major competitive blows: (1) Elegrobart (VRDN's own SC pipeline) Phase 3 REVEAL-1 data (March 30) met primary endpoint but disappointed expectations with 54-63% PRR, triggering a 27% single-day drop; (2) Amgen announced positive SC Tepezza Phase 3 results (April 6) showing 77% proptosis response rate, intensifying competitive pressure on Viridian's franchise. Stock fell ~51% from 52-week high ($34.29) to ~$14-15 range.</w:t>
      </w:r>
    </w:p>
    <w:p>
      <w:pPr>
        <w:spacing w:after="120"/>
      </w:pPr>
      <w:r>
        <w:rPr>
          <w:rFonts w:ascii="Arial" w:cs="Arial" w:eastAsia="Arial" w:hAnsi="Arial"/>
          <w:b/>
          <w:bCs/>
          <w:sz w:val="22"/>
          <w:szCs w:val="22"/>
        </w:rPr>
        <w:t xml:space="preserve">Key finding: </w:t>
      </w:r>
      <w:r>
        <w:rPr>
          <w:rFonts w:ascii="Arial" w:cs="Arial" w:eastAsia="Arial" w:hAnsi="Arial"/>
          <w:sz w:val="22"/>
          <w:szCs w:val="22"/>
        </w:rPr>
        <w:t xml:space="preserve">Web research presents a MIXED picture. The veligrotug approval probability remains very high, but the competitive landscape has materially deteriorated. Amgen's SC Tepezza (77% PRR, sBLA expected soon) directly threatens veligrotug's commercial potential. Multiple analysts cut price targets but all maintained Buy ratings, suggesting they see value in the dislocation. The stock at $14-15 vs average PT $33-42 implies 100-180% upside IF the market re-rates on approval — but the 'if' carries more uncertainty now.</w:t>
      </w:r>
    </w:p>
    <w:p>
      <w:pPr>
        <w:spacing w:after="120"/>
      </w:pPr>
      <w:r>
        <w:rPr>
          <w:rFonts w:ascii="Arial" w:cs="Arial" w:eastAsia="Arial" w:hAnsi="Arial"/>
          <w:b/>
          <w:bCs/>
          <w:sz w:val="22"/>
          <w:szCs w:val="22"/>
        </w:rPr>
        <w:t xml:space="preserve">Conviction assessment: </w:t>
      </w:r>
      <w:r>
        <w:rPr>
          <w:rFonts w:ascii="Arial" w:cs="Arial" w:eastAsia="Arial" w:hAnsi="Arial"/>
          <w:sz w:val="22"/>
          <w:szCs w:val="22"/>
        </w:rPr>
        <w:t xml:space="preserve">HOLD (watchlist). Web research neither strengthens nor weakens enough to change status. Re-evaluate at T-30 (~May 30).</w:t>
      </w:r>
    </w:p>
    <w:p>
      <w:pPr>
        <w:pStyle w:val="Heading2"/>
        <w:spacing w:after="150" w:before="200"/>
      </w:pPr>
      <w:r>
        <w:rPr>
          <w:rFonts w:ascii="Arial" w:cs="Arial" w:eastAsia="Arial" w:hAnsi="Arial"/>
          <w:b/>
          <w:bCs/>
          <w:color w:val="2B5797"/>
          <w:sz w:val="26"/>
          <w:szCs w:val="26"/>
        </w:rPr>
        <w:t xml:space="preserve">Top 3 Risks</w:t>
      </w:r>
    </w:p>
    <w:p>
      <w:pPr>
        <w:spacing w:after="120"/>
      </w:pPr>
      <w:r>
        <w:rPr>
          <w:rFonts w:ascii="Arial" w:cs="Arial" w:eastAsia="Arial" w:hAnsi="Arial"/>
          <w:sz w:val="22"/>
          <w:szCs w:val="22"/>
        </w:rPr>
        <w:t xml:space="preserve">1. Amgen SC Tepezza superiority — 77% PRR with convenient SC delivery could dominate the TED market, leaving veligrotug with limited commercial opportunity.</w:t>
      </w:r>
    </w:p>
    <w:p>
      <w:pPr>
        <w:spacing w:after="120"/>
      </w:pPr>
      <w:r>
        <w:rPr>
          <w:rFonts w:ascii="Arial" w:cs="Arial" w:eastAsia="Arial" w:hAnsi="Arial"/>
          <w:sz w:val="22"/>
          <w:szCs w:val="22"/>
        </w:rPr>
        <w:t xml:space="preserve">2. Elegrobart franchise uncertainty — REVEAL-1 disappointed; REVEAL-2 (chronic TED) data expected Q2 2026. Another miss could collapse long-term franchise value.</w:t>
      </w:r>
    </w:p>
    <w:p>
      <w:pPr>
        <w:spacing w:after="120"/>
      </w:pPr>
      <w:r>
        <w:rPr>
          <w:rFonts w:ascii="Arial" w:cs="Arial" w:eastAsia="Arial" w:hAnsi="Arial"/>
          <w:sz w:val="22"/>
          <w:szCs w:val="22"/>
        </w:rPr>
        <w:t xml:space="preserve">3. Stock already pricing in significant downside — at $14-15, the market is signaling deep skepticism about commercial viability despite near-certain approval.</w:t>
      </w:r>
    </w:p>
    <w:p>
      <w:pPr>
        <w:pStyle w:val="Heading2"/>
        <w:spacing w:after="150" w:before="200"/>
      </w:pPr>
      <w:r>
        <w:rPr>
          <w:rFonts w:ascii="Arial" w:cs="Arial" w:eastAsia="Arial" w:hAnsi="Arial"/>
          <w:b/>
          <w:bCs/>
          <w:color w:val="2B5797"/>
          <w:sz w:val="26"/>
          <w:szCs w:val="26"/>
        </w:rPr>
        <w:t xml:space="preserve">Top 3 Bullish Catalysts</w:t>
      </w:r>
    </w:p>
    <w:p>
      <w:pPr>
        <w:spacing w:after="120"/>
      </w:pPr>
      <w:r>
        <w:rPr>
          <w:rFonts w:ascii="Arial" w:cs="Arial" w:eastAsia="Arial" w:hAnsi="Arial"/>
          <w:sz w:val="22"/>
          <w:szCs w:val="22"/>
        </w:rPr>
        <w:t xml:space="preserve">1. Extreme dislocation — stock 51% below 52-week high. Even lowest analyst PT ($20, Wells Fargo) implies 35-40% upside.</w:t>
      </w:r>
    </w:p>
    <w:p>
      <w:pPr>
        <w:spacing w:after="120"/>
      </w:pPr>
      <w:r>
        <w:rPr>
          <w:rFonts w:ascii="Arial" w:cs="Arial" w:eastAsia="Arial" w:hAnsi="Arial"/>
          <w:sz w:val="22"/>
          <w:szCs w:val="22"/>
        </w:rPr>
        <w:t xml:space="preserve">2. Veligrotug differentiation — 5 infusions (vs Tepezza 8), data in both active and chronic TED (unique), better hearing safety profile (5.5% vs ~10%).</w:t>
      </w:r>
    </w:p>
    <w:p>
      <w:pPr>
        <w:spacing w:after="120"/>
      </w:pPr>
      <w:r>
        <w:rPr>
          <w:rFonts w:ascii="Arial" w:cs="Arial" w:eastAsia="Arial" w:hAnsi="Arial"/>
          <w:sz w:val="22"/>
          <w:szCs w:val="22"/>
        </w:rPr>
        <w:t xml:space="preserve">3. $874.7M cash — fully funded through profitability. No dilution risk or financing overhang.</w:t>
      </w:r>
    </w:p>
    <w:p>
      <w:r>
        <w:br w:type="page"/>
      </w:r>
    </w:p>
    <w:p>
      <w:pPr>
        <w:pStyle w:val="Heading1"/>
        <w:spacing w:after="200" w:before="300"/>
      </w:pPr>
      <w:r>
        <w:rPr>
          <w:rFonts w:ascii="Arial" w:cs="Arial" w:eastAsia="Arial" w:hAnsi="Arial"/>
          <w:b/>
          <w:bCs/>
          <w:color w:val="2B5797"/>
          <w:sz w:val="32"/>
          <w:szCs w:val="32"/>
        </w:rPr>
        <w:t xml:space="preserve">2. Company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Full Name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Viridian Therapeutics, Inc.</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Ticker / Exchange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VRDN / NASDAQ</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ISIN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US92763M1053</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Market Cap</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~$1.46-1.57B</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Sector</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Biotechnology — Ophthalmology / Endocrinology</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52-Week Range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$9.90 — $34.29</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Recent Price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~$14-15 (stabilizing after selloff)</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Analyst Coverage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11-14 analysts, Buy consensus</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Cash Position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$874.7M (Dec 31, 2025)</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Revenue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Pre-revenue; planned mid-2026 launch if approved</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Key Pipeline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Veligrotug (IV TED, BLA filed); Elegrobart (SC TED, P3)</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Viridian is a pre-commercial biopharmaceutical company focused on thyroid eye disease. The TED market is currently ~$2B annually (dominated by Amgen's Tepezza). Veligrotug targets the same IGF-1R pathway as Tepezza but with a different antibody and dosing schedule. Elegrobart is a subcutaneous formulation targeting the same pathway, designed to compete with Amgen's forthcoming SC Tepezza. The company had $874.7M in cash as of Dec 31, 2025, providing runway through profitability.</w:t>
      </w:r>
    </w:p>
    <w:p>
      <w:r>
        <w:br w:type="page"/>
      </w:r>
    </w:p>
    <w:p>
      <w:pPr>
        <w:pStyle w:val="Heading1"/>
        <w:spacing w:after="200" w:before="300"/>
      </w:pPr>
      <w:r>
        <w:rPr>
          <w:rFonts w:ascii="Arial" w:cs="Arial" w:eastAsia="Arial" w:hAnsi="Arial"/>
          <w:b/>
          <w:bCs/>
          <w:color w:val="2B5797"/>
          <w:sz w:val="32"/>
          <w:szCs w:val="32"/>
        </w:rPr>
        <w:t xml:space="preserve">3. Catalyst Analysis</w:t>
      </w:r>
    </w:p>
    <w:p>
      <w:pPr>
        <w:pStyle w:val="Heading2"/>
        <w:spacing w:after="150" w:before="200"/>
      </w:pPr>
      <w:r>
        <w:rPr>
          <w:rFonts w:ascii="Arial" w:cs="Arial" w:eastAsia="Arial" w:hAnsi="Arial"/>
          <w:b/>
          <w:bCs/>
          <w:color w:val="2B5797"/>
          <w:sz w:val="26"/>
          <w:szCs w:val="26"/>
        </w:rPr>
        <w:t xml:space="preserve">3.1 Veligrotug Clinical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43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THRIVE (Active TED)</w:t>
            </w:r>
          </w:p>
        </w:tc>
        <w:tc>
          <w:tcPr>
            <w:tcW w:type="dxa" w:w="343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THRIVE-2 (Chronic 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Proptosis Response Rate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70% vs 5% placebo (p&lt;0.0001)</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56% vs 8% placebo (p&lt;0.0001)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Mean Proptosis Reduction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2.9mm vs 0.5mm placebo</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2.34mm vs 0.46mm placebo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Complete Diplopia Resolution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54% vs 12% placebo</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Data available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Rapid Onset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53% PRR after 1 infusion (wk 3)</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Rapid onset confirmed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Hearing Impairment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5.5% placebo-adjusted</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9.6% placebo-adjusted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Dosing</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 IV infusions over 12 weeks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 IV infusions over 12 weeks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Approval probability: 85-90%. Both trials met all endpoints. Priority Review + Breakthrough Therapy. Clean safety. The regulatory question is not whether veligrotug will be approved but what its commercial trajectory will look like.</w:t>
      </w:r>
    </w:p>
    <w:p>
      <w:pPr>
        <w:pStyle w:val="Heading2"/>
        <w:spacing w:after="150" w:before="200"/>
      </w:pPr>
      <w:r>
        <w:rPr>
          <w:rFonts w:ascii="Arial" w:cs="Arial" w:eastAsia="Arial" w:hAnsi="Arial"/>
          <w:b/>
          <w:bCs/>
          <w:color w:val="2B5797"/>
          <w:sz w:val="26"/>
          <w:szCs w:val="26"/>
        </w:rPr>
        <w:t xml:space="preserve">3.2 Competitive Threat: Amgen SC Tepezza</w:t>
      </w:r>
    </w:p>
    <w:p>
      <w:pPr>
        <w:spacing w:after="120"/>
      </w:pPr>
      <w:r>
        <w:rPr>
          <w:rFonts w:ascii="Arial" w:cs="Arial" w:eastAsia="Arial" w:hAnsi="Arial"/>
          <w:sz w:val="22"/>
          <w:szCs w:val="22"/>
        </w:rPr>
        <w:t xml:space="preserve">Amgen announced positive Phase 3 results for subcutaneous Tepezza on April 6, 2026: 77% proptosis response rate vs 19.6% placebo at 24 weeks. This is numerically superior to elegrobart's REVEAL-1 data (54-63% PRR) and comparable to veligrotug's THRIVE data (70% PRR). Amgen is expected to file an sBLA imminently, with potential approval by late 2026 or early 2027. SC Tepezza directly competes with both elegrobart (SC vs SC) and veligrotug (convenience of home administration vs IV infusion).</w:t>
      </w:r>
    </w:p>
    <w:p>
      <w:pPr>
        <w:pStyle w:val="Heading2"/>
        <w:spacing w:after="150" w:before="200"/>
      </w:pPr>
      <w:r>
        <w:rPr>
          <w:rFonts w:ascii="Arial" w:cs="Arial" w:eastAsia="Arial" w:hAnsi="Arial"/>
          <w:b/>
          <w:bCs/>
          <w:color w:val="2B5797"/>
          <w:sz w:val="26"/>
          <w:szCs w:val="26"/>
        </w:rPr>
        <w:t xml:space="preserve">3.3 Scoring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1200"/>
        <w:gridCol w:w="4160"/>
      </w:tblGrid>
      <w:tr>
        <w:tc>
          <w:tcPr>
            <w:tcW w:type="dxa" w:w="2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9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9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Score</w:t>
            </w:r>
          </w:p>
        </w:tc>
        <w:tc>
          <w:tcPr>
            <w:tcW w:type="dxa" w:w="1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Weighted</w:t>
            </w:r>
          </w:p>
        </w:tc>
        <w:tc>
          <w:tcPr>
            <w:tcW w:type="dxa" w:w="41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Commentary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Signal Strength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Priority Review + BTD + two clean P3s. Near-certain approval.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Catalyst Clarity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PDUFA June 30. Exact date known.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Info Asymmetry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x1.5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Well-covered, competitive dynamics widely known. No edge.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Risk/Reward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$14 vs avg PT $33. But PT compression accelerating. Asymmetric but uncertain.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Edge Decay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Edge fully decayed. All information is public.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Liquidity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NASDAQ, $1.5B cap, adequate volume.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Catalyst Timeline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78 days to PDUFA. Moderate timeline.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TOTAL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20"/>
                <w:szCs w:val="20"/>
              </w:rPr>
              <w:t xml:space="preserve">26.00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Below 28-point threshold. WATCHLIST only.</w:t>
            </w:r>
          </w:p>
        </w:tc>
      </w:tr>
    </w:tbl>
    <w:p>
      <w:r>
        <w:br w:type="page"/>
      </w:r>
    </w:p>
    <w:p>
      <w:pPr>
        <w:pStyle w:val="Heading1"/>
        <w:spacing w:after="200" w:before="300"/>
      </w:pPr>
      <w:r>
        <w:rPr>
          <w:rFonts w:ascii="Arial" w:cs="Arial" w:eastAsia="Arial" w:hAnsi="Arial"/>
          <w:b/>
          <w:bCs/>
          <w:color w:val="2B5797"/>
          <w:sz w:val="32"/>
          <w:szCs w:val="32"/>
        </w:rPr>
        <w:t xml:space="preserve">4. Web Research Findings Summary</w:t>
      </w:r>
    </w:p>
    <w:p>
      <w:pPr>
        <w:pStyle w:val="Heading2"/>
        <w:spacing w:after="150" w:before="200"/>
      </w:pPr>
      <w:r>
        <w:rPr>
          <w:rFonts w:ascii="Arial" w:cs="Arial" w:eastAsia="Arial" w:hAnsi="Arial"/>
          <w:b/>
          <w:bCs/>
          <w:color w:val="2B5797"/>
          <w:sz w:val="26"/>
          <w:szCs w:val="26"/>
        </w:rPr>
        <w:t xml:space="preserve">4.1 Analyst Activity</w:t>
      </w:r>
    </w:p>
    <w:p>
      <w:pPr>
        <w:spacing w:after="120"/>
      </w:pPr>
      <w:r>
        <w:rPr>
          <w:rFonts w:ascii="Arial" w:cs="Arial" w:eastAsia="Arial" w:hAnsi="Arial"/>
          <w:sz w:val="22"/>
          <w:szCs w:val="22"/>
        </w:rPr>
        <w:t xml:space="preserve">Widespread PT cuts: RBC $42-&gt;$30, Goldman $36-&gt;$31, Evercore $45-&gt;$32, HC Wainwright $34-&gt;$22, Wells Fargo $29-&gt;$20, Wedbush $44-&gt;$37, Truist $40-&gt;$36. ALL maintained Buy/Outperform. Consensus remains Buy with 0 Sell ratings. Average PT $33-42 depending on source. Even lowest PT ($20) implies 33% upside from $15. Leerink called the selloff 'overdone.'</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MIXED — PTs falling rapidly but all analysts still bullish. Market dislocation vs analyst view is significant.</w:t>
      </w:r>
    </w:p>
    <w:p>
      <w:pPr>
        <w:pStyle w:val="Heading2"/>
        <w:spacing w:after="150" w:before="200"/>
      </w:pPr>
      <w:r>
        <w:rPr>
          <w:rFonts w:ascii="Arial" w:cs="Arial" w:eastAsia="Arial" w:hAnsi="Arial"/>
          <w:b/>
          <w:bCs/>
          <w:color w:val="2B5797"/>
          <w:sz w:val="26"/>
          <w:szCs w:val="26"/>
        </w:rPr>
        <w:t xml:space="preserve">4.2 Amgen Competitive Threat</w:t>
      </w:r>
    </w:p>
    <w:p>
      <w:pPr>
        <w:spacing w:after="120"/>
      </w:pPr>
      <w:r>
        <w:rPr>
          <w:rFonts w:ascii="Arial" w:cs="Arial" w:eastAsia="Arial" w:hAnsi="Arial"/>
          <w:sz w:val="22"/>
          <w:szCs w:val="22"/>
        </w:rPr>
        <w:t xml:space="preserve">SC Tepezza Phase 3: 77% PRR, 3.17mm mean proptosis reduction at 24 weeks. sBLA expected soon. This is the existential competitive risk for VRDN's franchise. Veligrotug differentiates on: (1) fewer infusions (5 vs 8); (2) chronic TED data (THRIVE-2, unique); (3) better hearing safety (5.5% vs ~10%). But Amgen's commercial infrastructure and brand recognition with Tepezza are massive advantages.</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BEARISH — Amgen's SC data is strong and will compress VRDN's commercial opportunity.</w:t>
      </w:r>
    </w:p>
    <w:p>
      <w:pPr>
        <w:pStyle w:val="Heading2"/>
        <w:spacing w:after="150" w:before="200"/>
      </w:pPr>
      <w:r>
        <w:rPr>
          <w:rFonts w:ascii="Arial" w:cs="Arial" w:eastAsia="Arial" w:hAnsi="Arial"/>
          <w:b/>
          <w:bCs/>
          <w:color w:val="2B5797"/>
          <w:sz w:val="26"/>
          <w:szCs w:val="26"/>
        </w:rPr>
        <w:t xml:space="preserve">4.3 Financial Position</w:t>
      </w:r>
    </w:p>
    <w:p>
      <w:pPr>
        <w:spacing w:after="120"/>
      </w:pPr>
      <w:r>
        <w:rPr>
          <w:rFonts w:ascii="Arial" w:cs="Arial" w:eastAsia="Arial" w:hAnsi="Arial"/>
          <w:sz w:val="22"/>
          <w:szCs w:val="22"/>
        </w:rPr>
        <w:t xml:space="preserve">Cash $874.7M (Dec 2025). DRI royalty agreement provides additional funding. Company expects to fund through profitability. No financing overhang. Pre-revenue with planned mid-2026 launch if approved. The $2B annualized TED market is the commercial target.</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BULLISH — Fully funded. No dilution risk.</w:t>
      </w:r>
    </w:p>
    <w:p>
      <w:pPr>
        <w:pStyle w:val="Heading2"/>
        <w:spacing w:after="150" w:before="200"/>
      </w:pPr>
      <w:r>
        <w:rPr>
          <w:rFonts w:ascii="Arial" w:cs="Arial" w:eastAsia="Arial" w:hAnsi="Arial"/>
          <w:b/>
          <w:bCs/>
          <w:color w:val="2B5797"/>
          <w:sz w:val="26"/>
          <w:szCs w:val="26"/>
        </w:rPr>
        <w:t xml:space="preserve">4.4 Elegrobart REVEAL-1 &amp; REVEAL-2</w:t>
      </w:r>
    </w:p>
    <w:p>
      <w:pPr>
        <w:spacing w:after="120"/>
      </w:pPr>
      <w:r>
        <w:rPr>
          <w:rFonts w:ascii="Arial" w:cs="Arial" w:eastAsia="Arial" w:hAnsi="Arial"/>
          <w:sz w:val="22"/>
          <w:szCs w:val="22"/>
        </w:rPr>
        <w:t xml:space="preserve">REVEAL-1 (active TED): Positive but disappointing. 54% PRR (Q4W) / 63% PRR (Q8W) vs expected &gt;70%. This triggered the initial 27% single-day crash. REVEAL-2 (chronic TED): Expected Q2 2026. This is pivotal for the SC franchise — strong data could restore confidence, weak data could further collapse the stock.</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BEARISH for franchise value. NEUTRAL for veligrotug approval thesis specifically.</w:t>
      </w:r>
    </w:p>
    <w:p>
      <w:r>
        <w:br w:type="page"/>
      </w:r>
    </w:p>
    <w:p>
      <w:pPr>
        <w:pStyle w:val="Heading1"/>
        <w:spacing w:after="200" w:before="300"/>
      </w:pPr>
      <w:r>
        <w:rPr>
          <w:rFonts w:ascii="Arial" w:cs="Arial" w:eastAsia="Arial" w:hAnsi="Arial"/>
          <w:b/>
          <w:bCs/>
          <w:color w:val="2B5797"/>
          <w:sz w:val="32"/>
          <w:szCs w:val="32"/>
        </w:rPr>
        <w:t xml:space="preserve">5.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14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Probability</w:t>
            </w:r>
          </w:p>
        </w:tc>
        <w:tc>
          <w:tcPr>
            <w:tcW w:type="dxa" w:w="14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37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Amgen SC Tepezza dominance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Monitor sBLA filing and approval timeline. Veligrotug differentiation argument.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Elegrobart REVEAL-2 miss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Would collapse franchise value; veligrotug approval unaffected but stock floors.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FDA CRL for veligrotug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Very 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Very High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Kill condition. Unlikely given clean P3 data.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Stock rallies above $20 pre-entry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Would compress risk/reward. PT ceiling falling.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Hearing safety labeling restriction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5.5% placebo-adjusted is manageable but could limit uptake.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Tepezza SC + veligrotug IV = market bifurcation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May limit veligrotug to patients preferring/requiring IV or with chronic TED.</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Kill Conditions: </w:t>
      </w:r>
      <w:r>
        <w:rPr>
          <w:rFonts w:ascii="Arial" w:cs="Arial" w:eastAsia="Arial" w:hAnsi="Arial"/>
          <w:sz w:val="22"/>
          <w:szCs w:val="22"/>
        </w:rPr>
        <w:t xml:space="preserve">1) CRL for veligrotug; 2) Pre-PDUFA safety signal; 3) Stock &gt;$20 pre-PDUFA; 4) REVEAL-2 failure; 5) AdCom called. All CLEAR.</w:t>
      </w:r>
    </w:p>
    <w:p>
      <w:r>
        <w:br w:type="page"/>
      </w:r>
    </w:p>
    <w:p>
      <w:pPr>
        <w:pStyle w:val="Heading1"/>
        <w:spacing w:after="200" w:before="300"/>
      </w:pPr>
      <w:r>
        <w:rPr>
          <w:rFonts w:ascii="Arial" w:cs="Arial" w:eastAsia="Arial" w:hAnsi="Arial"/>
          <w:b/>
          <w:bCs/>
          <w:color w:val="2B5797"/>
          <w:sz w:val="32"/>
          <w:szCs w:val="32"/>
        </w:rPr>
        <w:t xml:space="preserve">6. Conviction Assessment</w:t>
      </w:r>
    </w:p>
    <w:p>
      <w:pPr>
        <w:spacing w:after="120"/>
      </w:pPr>
      <w:r>
        <w:rPr>
          <w:rFonts w:ascii="Arial" w:cs="Arial" w:eastAsia="Arial" w:hAnsi="Arial"/>
          <w:b/>
          <w:bCs/>
          <w:sz w:val="22"/>
          <w:szCs w:val="22"/>
        </w:rPr>
        <w:t xml:space="preserve">Overall Assessment: HOLD </w:t>
      </w:r>
      <w:r>
        <w:rPr>
          <w:rFonts w:ascii="Arial" w:cs="Arial" w:eastAsia="Arial" w:hAnsi="Arial"/>
          <w:sz w:val="22"/>
          <w:szCs w:val="22"/>
        </w:rPr>
        <w:t xml:space="preserve">(Watchlist — re-evaluate at T-30 in late May)</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veligrotug approval thesis is strong (85-90% probability), but the commercial thesis is under severe pressure from Amgen SC Tepezza. The stock dislocation ($14-15 vs average PT $33-42) represents a potential high-reward setup, but the rapid PT compression suggests analysts are revising down even their bullish scenarios. The key catalyst to watch is REVEAL-2 data (Q2 2026) — this will determine whether the elegrobart SC franchise has value or is dead, which in turn determines whether VRDN is worth $30+ (both drugs viable) or $15-20 (veligrotug-only value).</w:t>
      </w:r>
    </w:p>
    <w:p>
      <w:pPr>
        <w:spacing w:after="120"/>
      </w:pPr>
      <w:r>
        <w:rPr>
          <w:rFonts w:ascii="Arial" w:cs="Arial" w:eastAsia="Arial" w:hAnsi="Arial"/>
          <w:sz w:val="22"/>
          <w:szCs w:val="22"/>
        </w:rPr>
        <w:t xml:space="preserve">Not recommended for upgrade to Active Candidate at this time. Score 26.0 is below the 28-point threshold. Re-evaluate at T-30 (~May 30) with: REVEAL-2 data, Q1 earnings, updated PT trajectory, Amgen sBLA filing status.</w:t>
      </w:r>
    </w:p>
    <w:p>
      <w:r>
        <w:br w:type="page"/>
      </w:r>
    </w:p>
    <w:p>
      <w:pPr>
        <w:pStyle w:val="Heading1"/>
        <w:spacing w:after="200" w:before="300"/>
      </w:pPr>
      <w:r>
        <w:rPr>
          <w:rFonts w:ascii="Arial" w:cs="Arial" w:eastAsia="Arial" w:hAnsi="Arial"/>
          <w:b/>
          <w:bCs/>
          <w:color w:val="2B5797"/>
          <w:sz w:val="32"/>
          <w:szCs w:val="32"/>
        </w:rPr>
        <w:t xml:space="preserve">7. Sources</w:t>
      </w:r>
    </w:p>
    <w:p>
      <w:pPr>
        <w:spacing w:after="80"/>
      </w:pPr>
      <w:hyperlink w:history="1" r:id="rIdl8tvvls86m5irhpa05k3a">
        <w:r>
          <w:rPr>
            <w:rStyle w:val="Hyperlink"/>
            <w:rFonts w:ascii="Arial" w:cs="Arial" w:eastAsia="Arial" w:hAnsi="Arial"/>
            <w:sz w:val="20"/>
            <w:szCs w:val="20"/>
          </w:rPr>
          <w:t xml:space="preserve">Viridian BLA Acceptance &amp; Priority Review (Viridian IR)</w:t>
        </w:r>
      </w:hyperlink>
    </w:p>
    <w:p>
      <w:pPr>
        <w:spacing w:after="80"/>
      </w:pPr>
      <w:hyperlink w:history="1" r:id="rIdaa1cj9ouwbphaothqhleq">
        <w:r>
          <w:rPr>
            <w:rStyle w:val="Hyperlink"/>
            <w:rFonts w:ascii="Arial" w:cs="Arial" w:eastAsia="Arial" w:hAnsi="Arial"/>
            <w:sz w:val="20"/>
            <w:szCs w:val="20"/>
          </w:rPr>
          <w:t xml:space="preserve">THRIVE Phase 3 Results (Viridian IR)</w:t>
        </w:r>
      </w:hyperlink>
    </w:p>
    <w:p>
      <w:pPr>
        <w:spacing w:after="80"/>
      </w:pPr>
      <w:hyperlink w:history="1" r:id="rIdgsfd6n6rnonb6w_uvqkow">
        <w:r>
          <w:rPr>
            <w:rStyle w:val="Hyperlink"/>
            <w:rFonts w:ascii="Arial" w:cs="Arial" w:eastAsia="Arial" w:hAnsi="Arial"/>
            <w:sz w:val="20"/>
            <w:szCs w:val="20"/>
          </w:rPr>
          <w:t xml:space="preserve">THRIVE-2 Phase 3 Results (Viridian IR)</w:t>
        </w:r>
      </w:hyperlink>
    </w:p>
    <w:p>
      <w:pPr>
        <w:spacing w:after="80"/>
      </w:pPr>
      <w:hyperlink w:history="1" r:id="rIdaxnmyohve8dd5l_pseq5a">
        <w:r>
          <w:rPr>
            <w:rStyle w:val="Hyperlink"/>
            <w:rFonts w:ascii="Arial" w:cs="Arial" w:eastAsia="Arial" w:hAnsi="Arial"/>
            <w:sz w:val="20"/>
            <w:szCs w:val="20"/>
          </w:rPr>
          <w:t xml:space="preserve">Elegrobart REVEAL-1 Results (BusinessWire)</w:t>
        </w:r>
      </w:hyperlink>
    </w:p>
    <w:p>
      <w:pPr>
        <w:spacing w:after="80"/>
      </w:pPr>
      <w:hyperlink w:history="1" r:id="rIdaqic63mwommd1eyabbjfa">
        <w:r>
          <w:rPr>
            <w:rStyle w:val="Hyperlink"/>
            <w:rFonts w:ascii="Arial" w:cs="Arial" w:eastAsia="Arial" w:hAnsi="Arial"/>
            <w:sz w:val="20"/>
            <w:szCs w:val="20"/>
          </w:rPr>
          <w:t xml:space="preserve">Amgen SC Tepezza Phase 3 Results (Amgen)</w:t>
        </w:r>
      </w:hyperlink>
    </w:p>
    <w:p>
      <w:pPr>
        <w:spacing w:after="80"/>
      </w:pPr>
      <w:hyperlink w:history="1" r:id="rIdgbbnd3x3d5ovj3exehw6u">
        <w:r>
          <w:rPr>
            <w:rStyle w:val="Hyperlink"/>
            <w:rFonts w:ascii="Arial" w:cs="Arial" w:eastAsia="Arial" w:hAnsi="Arial"/>
            <w:sz w:val="20"/>
            <w:szCs w:val="20"/>
          </w:rPr>
          <w:t xml:space="preserve">Viridian FY2025 Financial Results (BusinessWire)</w:t>
        </w:r>
      </w:hyperlink>
    </w:p>
    <w:p>
      <w:pPr>
        <w:spacing w:after="80"/>
      </w:pPr>
      <w:hyperlink w:history="1" r:id="rIdtwyc9kpak8ragwkyjpx_x">
        <w:r>
          <w:rPr>
            <w:rStyle w:val="Hyperlink"/>
            <w:rFonts w:ascii="Arial" w:cs="Arial" w:eastAsia="Arial" w:hAnsi="Arial"/>
            <w:sz w:val="20"/>
            <w:szCs w:val="20"/>
          </w:rPr>
          <w:t xml:space="preserve">Viridian Prepares for Transformational 2026 (Viridian IR)</w:t>
        </w:r>
      </w:hyperlink>
    </w:p>
    <w:p>
      <w:pPr>
        <w:spacing w:after="80"/>
      </w:pPr>
      <w:hyperlink w:history="1" r:id="rIdvva84mk816agnrijp1etz">
        <w:r>
          <w:rPr>
            <w:rStyle w:val="Hyperlink"/>
            <w:rFonts w:ascii="Arial" w:cs="Arial" w:eastAsia="Arial" w:hAnsi="Arial"/>
            <w:sz w:val="20"/>
            <w:szCs w:val="20"/>
          </w:rPr>
          <w:t xml:space="preserve">Analyst PT Cuts Summary (GuruFocus)</w:t>
        </w:r>
      </w:hyperlink>
    </w:p>
    <w:p>
      <w:pPr>
        <w:spacing w:after="80"/>
      </w:pPr>
      <w:hyperlink w:history="1" r:id="rIdgcnfn7mzbbgwojarsolc9">
        <w:r>
          <w:rPr>
            <w:rStyle w:val="Hyperlink"/>
            <w:rFonts w:ascii="Arial" w:cs="Arial" w:eastAsia="Arial" w:hAnsi="Arial"/>
            <w:sz w:val="20"/>
            <w:szCs w:val="20"/>
          </w:rPr>
          <w:t xml:space="preserve">FDA Accepts Veligrotug BLA (HCPLive)</w:t>
        </w:r>
      </w:hyperlink>
    </w:p>
    <w:p>
      <w:pPr>
        <w:spacing w:after="80"/>
      </w:pPr>
      <w:hyperlink w:history="1" r:id="rIdky00rbbggvjxx6alvxbfj">
        <w:r>
          <w:rPr>
            <w:rStyle w:val="Hyperlink"/>
            <w:rFonts w:ascii="Arial" w:cs="Arial" w:eastAsia="Arial" w:hAnsi="Arial"/>
            <w:sz w:val="20"/>
            <w:szCs w:val="20"/>
          </w:rPr>
          <w:t xml:space="preserve">THRIVE 52-Week Hearing Safety (PMC)</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B5797"/>
      <w:sz w:val="32"/>
      <w:szCs w:val="32"/>
    </w:rPr>
  </w:style>
  <w:style w:type="paragraph" w:styleId="Heading2">
    <w:name w:val="Heading 2"/>
    <w:basedOn w:val="Normal"/>
    <w:next w:val="Normal"/>
    <w:qFormat/>
    <w:pPr>
      <w:spacing w:after="150" w:before="200"/>
      <w:outlineLvl w:val="1"/>
    </w:pPr>
    <w:rPr>
      <w:rFonts w:ascii="Arial" w:cs="Arial" w:eastAsia="Arial" w:hAnsi="Arial"/>
      <w:b/>
      <w:bCs/>
      <w:color w:val="2B57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8tvvls86m5irhpa05k3a" Type="http://schemas.openxmlformats.org/officeDocument/2006/relationships/hyperlink" Target="https://investors.viridiantherapeutics.com/news/news-details/2025/Viridian-Therapeutics-Announces-BLA-Acceptance-and-Priority-Review-for-Veligrotug-for-the-Treatment-of-Thyroid-Eye-Disease/default.aspx" TargetMode="External"/><Relationship Id="rIdaa1cj9ouwbphaothqhleq" Type="http://schemas.openxmlformats.org/officeDocument/2006/relationships/hyperlink" Target="https://investors.viridiantherapeutics.com/news/news-details/2024/Viridian-Therapeutics-Announces-Positive-Topline-Results-from-Veligrotug-VRDN-001-Phase-3-THRIVE-Clinical-Trial-in-Patients-with-Active-Thyroid-Eye-Disease/default.aspx" TargetMode="External"/><Relationship Id="rIdgsfd6n6rnonb6w_uvqkow" Type="http://schemas.openxmlformats.org/officeDocument/2006/relationships/hyperlink" Target="https://investors.viridiantherapeutics.com/news/news-details/2024/Viridian-Therapeutics-Announces-Positive-Topline-Results-from-Veligrotug-Phase-3-THRIVE-2-Clinical-Trial-in-Patients-with-Chronic-Thyroid-Eye-Disease/default.aspx" TargetMode="External"/><Relationship Id="rIdaxnmyohve8dd5l_pseq5a" Type="http://schemas.openxmlformats.org/officeDocument/2006/relationships/hyperlink" Target="https://www.businesswire.com/news/home/20260330779172/en/Viridian-Therapeutics-Announces-Positive-Topline-Results-from-Elegrobart-Phase-3-REVEAL1-Clinical-Trial-in-Active-Thyroid-Eye-Disease" TargetMode="External"/><Relationship Id="rIdaqic63mwommd1eyabbjfa" Type="http://schemas.openxmlformats.org/officeDocument/2006/relationships/hyperlink" Target="https://www.amgen.com/newsroom/press-releases/2026/04/amgen-announces-positive-topline-phase-3-results-for-subcutaneous-tepezza-in-adults-living-with-moderate-to-severe-active-thyroid-eye-disease" TargetMode="External"/><Relationship Id="rIdgbbnd3x3d5ovj3exehw6u" Type="http://schemas.openxmlformats.org/officeDocument/2006/relationships/hyperlink" Target="https://www.businesswire.com/news/home/20260226760846/en/Viridian-Therapeutics-Highlights-Recent-Progress-and-Reports-Fourth-Quarter-and-Full-Year-2025-Financial-Results" TargetMode="External"/><Relationship Id="rIdtwyc9kpak8ragwkyjpx_x" Type="http://schemas.openxmlformats.org/officeDocument/2006/relationships/hyperlink" Target="https://investors.viridiantherapeutics.com/news/news-details/2026/Viridian-Therapeutics-Prepares-for-Transformational-2026/default.aspx" TargetMode="External"/><Relationship Id="rIdvva84mk816agnrijp1etz" Type="http://schemas.openxmlformats.org/officeDocument/2006/relationships/hyperlink" Target="https://www.gurufocus.com/news/8768229/viridian-therapeutics-vrdn-target-price-lowered-by-evercore-isi-group-vrdn-stock-news" TargetMode="External"/><Relationship Id="rIdgcnfn7mzbbgwojarsolc9" Type="http://schemas.openxmlformats.org/officeDocument/2006/relationships/hyperlink" Target="https://www.hcplive.com/view/fda-accepts-grants-priority-review-to-veligrotug-bla-for-thyroid-eye-disease" TargetMode="External"/><Relationship Id="rIdky00rbbggvjxx6alvxbfj" Type="http://schemas.openxmlformats.org/officeDocument/2006/relationships/hyperlink" Target="https://pmc.ncbi.nlm.nih.gov/articles/PMC12545473/"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2026-04-13T15:48:33.584Z</dcterms:created>
  <dcterms:modified xsi:type="dcterms:W3CDTF">2026-04-13T15:48:33.585Z</dcterms:modified>
</cp:coreProperties>
</file>

<file path=docProps/custom.xml><?xml version="1.0" encoding="utf-8"?>
<Properties xmlns="http://schemas.openxmlformats.org/officeDocument/2006/custom-properties" xmlns:vt="http://schemas.openxmlformats.org/officeDocument/2006/docPropsVTypes"/>
</file>