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cs="Arial" w:eastAsia="Arial"/>
          <w:b/>
          <w:i w:val="0"/>
          <w:sz w:val="36"/>
        </w:rPr>
        <w:t>INVESTMENT THESIS</w:t>
      </w:r>
    </w:p>
    <w:p>
      <w:pPr>
        <w:spacing w:after="40"/>
        <w:jc w:val="center"/>
      </w:pPr>
      <w:r>
        <w:rPr>
          <w:rFonts w:ascii="Arial" w:hAnsi="Arial" w:cs="Arial" w:eastAsia="Arial"/>
          <w:b/>
          <w:i w:val="0"/>
          <w:sz w:val="28"/>
        </w:rPr>
        <w:t>Globalstar, Inc. (GSAT)</w:t>
      </w:r>
    </w:p>
    <w:p>
      <w:pPr>
        <w:spacing w:after="40"/>
        <w:jc w:val="center"/>
      </w:pPr>
      <w:r>
        <w:rPr>
          <w:rFonts w:ascii="Arial" w:hAnsi="Arial" w:cs="Arial" w:eastAsia="Arial"/>
          <w:b w:val="0"/>
          <w:i/>
          <w:sz w:val="24"/>
        </w:rPr>
        <w:t>Amazon acquisition at $90.00 cash / 0.3210 AMZN (capped); 40% cash proration</w:t>
      </w:r>
    </w:p>
    <w:p>
      <w:pPr>
        <w:spacing w:after="40"/>
        <w:jc w:val="center"/>
      </w:pPr>
      <w:r>
        <w:rPr>
          <w:rFonts w:ascii="Arial" w:hAnsi="Arial" w:cs="Arial" w:eastAsia="Arial"/>
          <w:b w:val="0"/>
          <w:i w:val="0"/>
          <w:sz w:val="22"/>
        </w:rPr>
        <w:t>Definitive merger agreement signed 13 April 2026  ·  Expected close 2027</w:t>
      </w:r>
    </w:p>
    <w:p>
      <w:pPr>
        <w:spacing w:after="240"/>
        <w:jc w:val="center"/>
      </w:pPr>
      <w:r>
        <w:rPr>
          <w:rFonts w:ascii="Arial" w:hAnsi="Arial" w:cs="Arial" w:eastAsia="Arial"/>
          <w:b w:val="0"/>
          <w:i/>
          <w:sz w:val="20"/>
        </w:rPr>
        <w:t>14 April 2026</w:t>
      </w:r>
    </w:p>
    <w:p>
      <w:pPr>
        <w:keepNext/>
        <w:spacing w:before="200" w:after="120" w:line="276" w:lineRule="auto"/>
      </w:pPr>
      <w:r>
        <w:rPr>
          <w:rFonts w:ascii="Arial" w:hAnsi="Arial" w:cs="Arial" w:eastAsia="Arial"/>
          <w:b/>
          <w:i w:val="0"/>
          <w:sz w:val="26"/>
        </w:rPr>
        <w:t>Glossary of Key Terms</w:t>
      </w:r>
    </w:p>
    <w:p>
      <w:pPr>
        <w:spacing w:after="120" w:before="0" w:line="276" w:lineRule="auto"/>
        <w:jc w:val="left"/>
      </w:pPr>
      <w:r>
        <w:rPr>
          <w:rFonts w:ascii="Arial" w:hAnsi="Arial" w:cs="Arial" w:eastAsia="Arial"/>
          <w:b w:val="0"/>
          <w:i/>
          <w:sz w:val="20"/>
        </w:rPr>
        <w:t>Acronyms and terms used throughout this note, defined up front so the summary reads cleanly:</w:t>
      </w:r>
    </w:p>
    <w:tbl>
      <w:tblPr>
        <w:tblW w:type="auto" w:w="0"/>
        <w:jc w:val="center"/>
        <w:tblLayout w:type="fixed"/>
        <w:tblLook w:firstColumn="1" w:firstRow="1" w:lastColumn="0" w:lastRow="0" w:noHBand="0" w:noVBand="1" w:val="04A0"/>
      </w:tblPr>
      <w:tblGrid>
        <w:gridCol w:w="5040"/>
        <w:gridCol w:w="5040"/>
      </w:tblGrid>
      <w:tr>
        <w:tc>
          <w:tcPr>
            <w:tcW w:type="dxa" w:w="2016"/>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Term</w:t>
            </w:r>
          </w:p>
        </w:tc>
        <w:tc>
          <w:tcPr>
            <w:tcW w:type="dxa" w:w="7920"/>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Meaning</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8-K</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SEC Form 8-K — current report filed for material corporate events such as a merger agreement.</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AMZN</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Amazon.com, Inc. — NASDAQ-listed acquirer and counterparty to the blended cash-and-stock consideration.</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Amazon Leo</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Amazon's low-earth-orbit satellite network, successor to Project Kuiper — the acquirer's strategic satellite-broadband platform.</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BAU</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Business As Usual — standalone operating assumptions if the deal does not close.</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CMA</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UK Competition and Markets Authority — the United Kingdom's competition regulator.</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CVR</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Contingent Value Right — not present here; a placeholder often used in stock-and-cash deals to bridge value gaps.</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D2D</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Direct-to-Device satellite connectivity — satellite signals received by standard handsets without specialised equipment.</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DOJ</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Department of Justice — US federal antitrust enforcement agency (alongside the FTC).</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EC</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European Commission — competition enforcement arm for the European Union.</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EV</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Enterprise Value — equity value plus net debt; approximately $11.6B for this transaction.</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FCC</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Federal Communications Commission — the US federal regulator for spectrum, satellite authorizations, and communications services.</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FTC</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Federal Trade Commission — alongside the DOJ, one of the two US antitrust enforcement agencies.</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HIBLEO-4</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Globalstar's next-generation LEO satellite constellation; replacement satellites to be launched to maintain network capacity.</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HSR</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Hart-Scott-Rodino Antitrust Improvements Act — requires pre-merger notification and a waiting period.</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L-band</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The 1–2 GHz portion of the radio spectrum used for mobile satellite services, including Globalstar's core network and iPhone SOS.</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MAC</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Material Adverse Change — contractual clause permitting deal termination if the target deteriorates materially.</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MDA Space</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MDA Ltd. (formerly MacDonald, Dettwiler and Associates) — Canadian satellite manufacturer building Globalstar's HIBLEO-4 fleet.</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Proration</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Allocation mechanism when aggregate cash elections exceed a cap — excess converts pro-rata to the alternative form of consideration.</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S-band</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The 2–4 GHz portion of the radio spectrum; relevant to satellite SOS and adjacent services.</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SOS</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iPhone Emergency SOS via satellite — Apple's satellite-based emergency messaging service currently powered by Globalstar.</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Starlink</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SpaceX's LEO satellite-broadband constellation — the primary competitive reference point for Amazon Leo.</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VWAP</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Volume Weighted Average Price — a benchmark price weighted by volume.</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WAC</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Written Action by Consent — majority-holder written consent in lieu of a shareholder meeting; the path this deal took.</w:t>
            </w:r>
          </w:p>
        </w:tc>
      </w:tr>
      <w:tr>
        <w:tc>
          <w:tcPr>
            <w:tcW w:type="dxa" w:w="20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Reverse triangular merger</w:t>
            </w:r>
          </w:p>
        </w:tc>
        <w:tc>
          <w:tcPr>
            <w:tcW w:type="dxa" w:w="792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Structure in which a buyer's shell sub merges with and into the target, leaving the target as a wholly-owned subsidiary of the buyer.</w:t>
            </w:r>
          </w:p>
        </w:tc>
      </w:tr>
    </w:tbl>
    <w:p/>
    <w:p>
      <w:pPr>
        <w:keepNext/>
        <w:spacing w:before="280" w:after="120" w:line="276" w:lineRule="auto"/>
      </w:pPr>
      <w:r>
        <w:rPr>
          <w:rFonts w:ascii="Arial" w:hAnsi="Arial" w:cs="Arial" w:eastAsia="Arial"/>
          <w:b/>
          <w:i w:val="0"/>
          <w:sz w:val="30"/>
        </w:rPr>
        <w:t>Summary</w:t>
      </w:r>
    </w:p>
    <w:p>
      <w:pPr>
        <w:spacing w:after="120" w:before="0" w:line="276" w:lineRule="auto"/>
        <w:jc w:val="both"/>
      </w:pPr>
      <w:r>
        <w:rPr>
          <w:rFonts w:ascii="Arial" w:hAnsi="Arial" w:cs="Arial" w:eastAsia="Arial"/>
          <w:b w:val="0"/>
          <w:i w:val="0"/>
          <w:sz w:val="22"/>
        </w:rPr>
        <w:t>Globalstar agreed on 13 April 2026 to be acquired by Amazon.com in a blended cash-and-stock transaction valuing the company at approximately $11.6 billion of enterprise value. Per-share consideration is $90.00 in cash or 0.3210 AMZN shares capped at $90.00 of value, with aggregate cash elections subject to a 40% cap and proration. The transaction is unusual in three ways: (1) majority shareholder approval was obtained via written consent simultaneously with signing, eliminating vote risk; (2) closing conditions include not only regulatory clearance but also Globalstar's achievement of specified HIBLEO-4 satellite-replacement milestones; and (3) expected close is in 2027 — a long-dated merger-arb profile of roughly twelve to eighteen months.</w:t>
      </w:r>
    </w:p>
    <w:p>
      <w:pPr>
        <w:spacing w:after="120" w:before="0" w:line="276" w:lineRule="auto"/>
        <w:jc w:val="both"/>
      </w:pPr>
      <w:r>
        <w:rPr>
          <w:rFonts w:ascii="Arial" w:hAnsi="Arial" w:cs="Arial" w:eastAsia="Arial"/>
          <w:b w:val="0"/>
          <w:i w:val="0"/>
          <w:sz w:val="22"/>
        </w:rPr>
        <w:t>The stock gapped from a $72.89 close on 13 April to an $81.02 last print on 14 April — a 11.2% move on volume approximately nine times the recent average. The gross spread to the $90.00 cash cap is now $8.98 per share, or 11.1% to the ceiling of the consideration. The central question is not whether the market is right about the headline terms; it has them. The central question is what annualised spread compensates for the combination of long-dated tail, regulatory-path uncertainty (FCC spectrum, DOJ antitrust, international), and an atypical execution contingency — the HIBLEO-4 milestones — that sits inside the closing conditions rather than outside them.</w:t>
      </w:r>
    </w:p>
    <w:p>
      <w:pPr>
        <w:keepNext/>
        <w:spacing w:before="200" w:after="120" w:line="276" w:lineRule="auto"/>
      </w:pPr>
      <w:r>
        <w:rPr>
          <w:rFonts w:ascii="Arial" w:hAnsi="Arial" w:cs="Arial" w:eastAsia="Arial"/>
          <w:b/>
          <w:i w:val="0"/>
          <w:sz w:val="26"/>
        </w:rPr>
        <w:t>The Case in 6 Points</w:t>
      </w:r>
    </w:p>
    <w:p>
      <w:pPr>
        <w:spacing w:after="120" w:line="276" w:lineRule="auto"/>
        <w:jc w:val="both"/>
      </w:pPr>
      <w:r>
        <w:rPr>
          <w:rFonts w:ascii="Arial" w:hAnsi="Arial" w:cs="Arial" w:eastAsia="Arial"/>
          <w:b/>
          <w:i w:val="0"/>
          <w:sz w:val="22"/>
        </w:rPr>
        <w:t xml:space="preserve">1. Shareholder vote risk is already eliminated. </w:t>
      </w:r>
      <w:r>
        <w:rPr>
          <w:rFonts w:ascii="Arial" w:hAnsi="Arial" w:cs="Arial" w:eastAsia="Arial"/>
          <w:b w:val="0"/>
          <w:i w:val="0"/>
          <w:sz w:val="22"/>
        </w:rPr>
        <w:t>A majority of Globalstar's shareholders — reportedly approximately 58% — delivered written consent concurrently with signing. This is the structure Amazon and Globalstar selected specifically to take vote risk off the table and discourage topping bids. Any potential interloper now faces the combined hurdle of a matching-rights provision and the fait accompli of an already-approved deal. For an arb investor this is a structural positive: one of the three canonical ways a deal can break (vote failure) is simply not in the distribution.</w:t>
      </w:r>
    </w:p>
    <w:p>
      <w:pPr>
        <w:spacing w:after="120" w:line="276" w:lineRule="auto"/>
        <w:jc w:val="both"/>
      </w:pPr>
      <w:r>
        <w:rPr>
          <w:rFonts w:ascii="Arial" w:hAnsi="Arial" w:cs="Arial" w:eastAsia="Arial"/>
          <w:b/>
          <w:i w:val="0"/>
          <w:sz w:val="22"/>
        </w:rPr>
        <w:t xml:space="preserve">2. The long-dated close is the single most important pricing variable. </w:t>
      </w:r>
      <w:r>
        <w:rPr>
          <w:rFonts w:ascii="Arial" w:hAnsi="Arial" w:cs="Arial" w:eastAsia="Arial"/>
          <w:b w:val="0"/>
          <w:i w:val="0"/>
          <w:sz w:val="22"/>
        </w:rPr>
        <w:t>Expected close in 2027 means a twelve- to eighteen-month arb horizon. At today's $81.02 trade against a $90.00 cash cap, the annualised spread is roughly 7–11% depending on blended consideration and close timing. That compares to current AAA corporate OAS of approximately 3.5–4.5% and a merger-arb-tail risk premium of 200–300 basis points for a deal of this profile. The spread is therefore fairly priced — neither a screaming opportunity nor obviously mispriced — and demands discipline on close-date assumptions.</w:t>
      </w:r>
    </w:p>
    <w:p>
      <w:pPr>
        <w:spacing w:after="120" w:line="276" w:lineRule="auto"/>
        <w:jc w:val="both"/>
      </w:pPr>
      <w:r>
        <w:rPr>
          <w:rFonts w:ascii="Arial" w:hAnsi="Arial" w:cs="Arial" w:eastAsia="Arial"/>
          <w:b/>
          <w:i w:val="0"/>
          <w:sz w:val="22"/>
        </w:rPr>
        <w:t xml:space="preserve">3. Regulatory path is the most asymmetric risk in the file. </w:t>
      </w:r>
      <w:r>
        <w:rPr>
          <w:rFonts w:ascii="Arial" w:hAnsi="Arial" w:cs="Arial" w:eastAsia="Arial"/>
          <w:b w:val="0"/>
          <w:i w:val="0"/>
          <w:sz w:val="22"/>
        </w:rPr>
        <w:t>FCC spectrum review (L-band, S-band, D2D coexistence with iPhone SOS and Amazon Leo), DOJ antitrust scrutiny of space-broadband concentration against the Starlink and Amazon Leo backdrop, and international regulators create a multi-jurisdiction approval path. Base-rate timelines for large satellite M&amp;A are 15–18 months (Viasat/Inmarsat, SES/Intelsat) — a helpful anchor but not a guarantee. Starlink has already filed non-binding FCC comments opposing aspects of the deal's spectrum sharing. The probability of an outright block remains low (~5–10%) but the probability of a material delay is higher (~10–15%), and each month of delay reduces annualised return.</w:t>
      </w:r>
    </w:p>
    <w:p>
      <w:pPr>
        <w:spacing w:after="120" w:line="276" w:lineRule="auto"/>
        <w:jc w:val="both"/>
      </w:pPr>
      <w:r>
        <w:rPr>
          <w:rFonts w:ascii="Arial" w:hAnsi="Arial" w:cs="Arial" w:eastAsia="Arial"/>
          <w:b/>
          <w:i w:val="0"/>
          <w:sz w:val="22"/>
        </w:rPr>
        <w:t xml:space="preserve">4. HIBLEO-4 milestones convert a straightforward cash deal into a partially-operational one. </w:t>
      </w:r>
      <w:r>
        <w:rPr>
          <w:rFonts w:ascii="Arial" w:hAnsi="Arial" w:cs="Arial" w:eastAsia="Arial"/>
          <w:b w:val="0"/>
          <w:i w:val="0"/>
          <w:sz w:val="22"/>
        </w:rPr>
        <w:t>Unlike typical cash deals, Amazon's closing conditions incorporate Globalstar's achievement of specified HIBLEO-4 replacement-satellite milestones. This means that Globalstar's operational execution — through MDA Space manufacturing and SpaceX launch cadence — is now a closing condition, not just a post-close value driver. The merger agreement reportedly includes termination-window extensions (to October 2027 and April 2028) precisely to accommodate milestone slippage, and early reports suggest up to $110M of consideration reduction for missed milestones. This is an atypical risk profile that conventional merger-arb frameworks underweight.</w:t>
      </w:r>
    </w:p>
    <w:p>
      <w:pPr>
        <w:spacing w:after="120" w:line="276" w:lineRule="auto"/>
        <w:jc w:val="both"/>
      </w:pPr>
      <w:r>
        <w:rPr>
          <w:rFonts w:ascii="Arial" w:hAnsi="Arial" w:cs="Arial" w:eastAsia="Arial"/>
          <w:b/>
          <w:i w:val="0"/>
          <w:sz w:val="22"/>
        </w:rPr>
        <w:t xml:space="preserve">5. Apple's 20% stake re-aligns, rather than conflicts with, the deal economics. </w:t>
      </w:r>
      <w:r>
        <w:rPr>
          <w:rFonts w:ascii="Arial" w:hAnsi="Arial" w:cs="Arial" w:eastAsia="Arial"/>
          <w:b w:val="0"/>
          <w:i w:val="0"/>
          <w:sz w:val="22"/>
        </w:rPr>
        <w:t>Apple acquired a ~20% stake in Globalstar in November 2024 for $1.5 billion together with an 85% network-capacity commitment to power iPhone Emergency SOS. Under the deal, Apple signed a parallel agreement confirming that Amazon Leo will power next-generation iPhone/Apple Watch satellite services. Apple's strategic interest is therefore continuity of service plus roadmap optionality with Amazon's larger satellite platform. There is no fairness-opinion dissent and no observed conflict; on a stand-alone basis Apple's stake is worth more inside the Amazon combination than outside it. The risk of Apple-related process litigation is low.</w:t>
      </w:r>
    </w:p>
    <w:p>
      <w:pPr>
        <w:spacing w:after="120" w:line="276" w:lineRule="auto"/>
        <w:jc w:val="both"/>
      </w:pPr>
      <w:r>
        <w:rPr>
          <w:rFonts w:ascii="Arial" w:hAnsi="Arial" w:cs="Arial" w:eastAsia="Arial"/>
          <w:b/>
          <w:i w:val="0"/>
          <w:sz w:val="22"/>
        </w:rPr>
        <w:t xml:space="preserve">6. Blended consideration creates a subtle short-AMZN exposure that most holders will reject. </w:t>
      </w:r>
      <w:r>
        <w:rPr>
          <w:rFonts w:ascii="Arial" w:hAnsi="Arial" w:cs="Arial" w:eastAsia="Arial"/>
          <w:b w:val="0"/>
          <w:i w:val="0"/>
          <w:sz w:val="22"/>
        </w:rPr>
        <w:t>Stock consideration of 0.3210 AMZN shares capped at $90 value means holders who elect stock accept an embedded short-AMZN call (no upside above $90 per share equivalent) while retaining AMZN downside exposure. This is asymmetrically unattractive and pushes rational holders toward cash election. The 40% cap therefore almost certainly binds — the cash election becomes the dominant strategy, excess elections prorate to stock, and the effective blended per-share value is a 40/60 weight. Any modelling of the trade that assumes election flexibility above the cap understates downside sensitivity to AMZN.</w:t>
      </w:r>
    </w:p>
    <w:p>
      <w:pPr>
        <w:keepNext/>
        <w:spacing w:before="200" w:after="120" w:line="276" w:lineRule="auto"/>
      </w:pPr>
      <w:r>
        <w:rPr>
          <w:rFonts w:ascii="Arial" w:hAnsi="Arial" w:cs="Arial" w:eastAsia="Arial"/>
          <w:b/>
          <w:i w:val="0"/>
          <w:sz w:val="26"/>
        </w:rPr>
        <w:t>Key Numbers</w:t>
      </w:r>
    </w:p>
    <w:tbl>
      <w:tblPr>
        <w:tblW w:type="auto" w:w="0"/>
        <w:jc w:val="center"/>
        <w:tblLayout w:type="fixed"/>
        <w:tblLook w:firstColumn="1" w:firstRow="1" w:lastColumn="0" w:lastRow="0" w:noHBand="0" w:noVBand="1" w:val="04A0"/>
      </w:tblPr>
      <w:tblGrid>
        <w:gridCol w:w="3360"/>
        <w:gridCol w:w="3360"/>
        <w:gridCol w:w="3360"/>
      </w:tblGrid>
      <w:tr>
        <w:tc>
          <w:tcPr>
            <w:tcW w:type="dxa" w:w="2880"/>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Metric</w:t>
            </w:r>
          </w:p>
        </w:tc>
        <w:tc>
          <w:tcPr>
            <w:tcW w:type="dxa" w:w="2448"/>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Value</w:t>
            </w:r>
          </w:p>
        </w:tc>
        <w:tc>
          <w:tcPr>
            <w:tcW w:type="dxa" w:w="4608"/>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Note</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Current share price</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$81.02</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14 April 2026 intraday (post-announcement)</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Cash consideration cap</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$90.00</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All-cash alternative; 40% aggregate cash cap</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Stock consideration</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0.3210 AMZN</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Capped at $90.00 per share of implied value</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Spread to cash cap</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$8.98 (~11.1%)</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Gross; assumes cash proration binds</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Premium to unaffected</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23.5%</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13 April close $72.89</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Enterprise value</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~$11.6B</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Per signed merger agreement and media coverage</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Apple holding</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~20%</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From November 2024 $1.5B investment</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Majority written consent</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~58%</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Obtained concurrently with signing; vote risk eliminated</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Expected close</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2027</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Termination windows: April 2027 / October 2027 / April 2028</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Annualised spread (midpoint)</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~7.4%</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Assumes 18-month close and binding cash cap</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Investment score</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25.5 / 42.5</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7-dimension weighted framework — watchlist tier</w:t>
            </w:r>
          </w:p>
        </w:tc>
      </w:tr>
      <w:tr>
        <w:tc>
          <w:tcPr>
            <w:tcW w:type="dxa" w:w="288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Recommendation tier</w:t>
            </w:r>
          </w:p>
        </w:tc>
        <w:tc>
          <w:tcPr>
            <w:tcW w:type="dxa" w:w="244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Watchlist</w:t>
            </w:r>
          </w:p>
        </w:tc>
        <w:tc>
          <w:tcPr>
            <w:tcW w:type="dxa" w:w="4608"/>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Long-dated arb with regulatory and execution tails</w:t>
            </w:r>
          </w:p>
        </w:tc>
      </w:tr>
    </w:tbl>
    <w:p/>
    <w:p>
      <w:pPr>
        <w:keepNext/>
        <w:spacing w:before="200" w:after="120" w:line="276" w:lineRule="auto"/>
      </w:pPr>
      <w:r>
        <w:rPr>
          <w:rFonts w:ascii="Arial" w:hAnsi="Arial" w:cs="Arial" w:eastAsia="Arial"/>
          <w:b/>
          <w:i w:val="0"/>
          <w:sz w:val="26"/>
        </w:rPr>
        <w:t>The Asymmetry</w:t>
      </w:r>
    </w:p>
    <w:p>
      <w:pPr>
        <w:spacing w:after="80" w:before="0" w:line="276" w:lineRule="auto"/>
        <w:jc w:val="both"/>
      </w:pPr>
      <w:r>
        <w:rPr>
          <w:rFonts w:ascii="Arial" w:hAnsi="Arial" w:cs="Arial" w:eastAsia="Arial"/>
          <w:b w:val="0"/>
          <w:i w:val="0"/>
          <w:sz w:val="22"/>
        </w:rPr>
        <w:t>Base case (~70% probability): Deal closes in mid-to-late 2027 at blended consideration of approximately $90.00 per share (assuming AMZN within a reasonable band). Return from $81.02 is roughly +11.1% over 15–18 months, or roughly +7.4% annualised. This is fair compensation for the risk profile but not obviously alpha.</w:t>
      </w:r>
    </w:p>
    <w:p>
      <w:pPr>
        <w:spacing w:after="80" w:before="0" w:line="276" w:lineRule="auto"/>
        <w:jc w:val="both"/>
      </w:pPr>
      <w:r>
        <w:rPr>
          <w:rFonts w:ascii="Arial" w:hAnsi="Arial" w:cs="Arial" w:eastAsia="Arial"/>
          <w:b w:val="0"/>
          <w:i w:val="0"/>
          <w:sz w:val="22"/>
        </w:rPr>
        <w:t>Bull case (~15% probability): Deal closes earlier than the conservative 2027 guidance — e.g., a Q4 2026 / Q1 2027 outcome if FCC review proceeds faster than historical comparables. Annualised return jumps to 11–13%. Additional upside if AMZN rallies materially while the stock election is still open; however, because the stock leg is value-capped, AMZN upside mostly transfers to cap-bound holders rather than equity investors.</w:t>
      </w:r>
    </w:p>
    <w:p>
      <w:pPr>
        <w:spacing w:after="80" w:before="0" w:line="276" w:lineRule="auto"/>
        <w:jc w:val="both"/>
      </w:pPr>
      <w:r>
        <w:rPr>
          <w:rFonts w:ascii="Arial" w:hAnsi="Arial" w:cs="Arial" w:eastAsia="Arial"/>
          <w:b w:val="0"/>
          <w:i w:val="0"/>
          <w:sz w:val="22"/>
        </w:rPr>
        <w:t>Bear case — regulatory delay (~10% probability): FCC issues Further Notice or the DOJ opens a civil-investigative demand, pushing close to April 2028. Annualised return drops to 4–5%, below the risk-free rate with duration. Stock likely trades sideways in a $78–85 band pending clarity. No principal loss but significant opportunity cost.</w:t>
      </w:r>
    </w:p>
    <w:p>
      <w:pPr>
        <w:spacing w:after="80" w:before="0" w:line="276" w:lineRule="auto"/>
        <w:jc w:val="both"/>
      </w:pPr>
      <w:r>
        <w:rPr>
          <w:rFonts w:ascii="Arial" w:hAnsi="Arial" w:cs="Arial" w:eastAsia="Arial"/>
          <w:b w:val="0"/>
          <w:i w:val="0"/>
          <w:sz w:val="22"/>
        </w:rPr>
        <w:t>Bear case — deal failure (~5% probability): Regulatory block, HIBLEO-4 milestone failure declared unachievable, or mutual termination. Stock reverts to $50–60 range (between unaffected $72.89 and a weaker standalone valuation reflecting the HIBLEO-4 operational uncertainty surfaced by the deal). Drawdown of 25–40% from current.</w:t>
      </w:r>
    </w:p>
    <w:p>
      <w:pPr>
        <w:spacing w:after="80" w:before="0" w:line="276" w:lineRule="auto"/>
        <w:jc w:val="both"/>
      </w:pPr>
      <w:r>
        <w:rPr>
          <w:rFonts w:ascii="Arial" w:hAnsi="Arial" w:cs="Arial" w:eastAsia="Arial"/>
          <w:b w:val="0"/>
          <w:i w:val="0"/>
          <w:sz w:val="22"/>
        </w:rPr>
        <w:t>Probability-weighted expected return: approximately +6% nominal over the expected window, or roughly +4% annualised. Net of AAA-spread hurdle and risk premium, the position offers a small risk-adjusted excess return — consistent with a watchlist, not an active, position.</w:t>
      </w:r>
    </w:p>
    <w:p>
      <w:pPr>
        <w:keepNext/>
        <w:spacing w:before="200" w:after="120" w:line="276" w:lineRule="auto"/>
      </w:pPr>
      <w:r>
        <w:rPr>
          <w:rFonts w:ascii="Arial" w:hAnsi="Arial" w:cs="Arial" w:eastAsia="Arial"/>
          <w:b/>
          <w:i w:val="0"/>
          <w:sz w:val="26"/>
        </w:rPr>
        <w:t>Recommendation</w:t>
      </w:r>
    </w:p>
    <w:tbl>
      <w:tblPr>
        <w:tblW w:type="auto" w:w="0"/>
        <w:jc w:val="center"/>
        <w:tblLook w:firstColumn="1" w:firstRow="1" w:lastColumn="0" w:lastRow="0" w:noHBand="0" w:noVBand="1" w:val="04A0"/>
      </w:tblPr>
      <w:tblGrid>
        <w:gridCol w:w="10080"/>
      </w:tblGrid>
      <w:tr>
        <w:tc>
          <w:tcPr>
            <w:tcW w:type="dxa" w:w="10080"/>
            <w:tcBorders>
              <w:top w:val="single" w:sz="12" w:space="0" w:color="888888"/>
              <w:left w:val="single" w:sz="12" w:space="0" w:color="888888"/>
              <w:bottom w:val="single" w:sz="12" w:space="0" w:color="888888"/>
              <w:right w:val="single" w:sz="12" w:space="0" w:color="888888"/>
            </w:tcBorders>
            <w:shd w:val="clear" w:color="auto" w:fill="F7F5F0"/>
          </w:tcPr>
          <w:p>
            <w:pPr>
              <w:spacing w:after="80"/>
            </w:pPr>
            <w:r/>
            <w:r>
              <w:rPr>
                <w:rFonts w:ascii="Arial" w:hAnsi="Arial" w:cs="Arial" w:eastAsia="Arial"/>
                <w:b/>
                <w:i w:val="0"/>
                <w:sz w:val="22"/>
              </w:rPr>
              <w:t>Watchlist — hedged exposure only at modest sizing.</w:t>
            </w:r>
          </w:p>
          <w:p>
            <w:pPr>
              <w:spacing w:line="288" w:lineRule="auto"/>
            </w:pPr>
            <w:r>
              <w:rPr>
                <w:rFonts w:ascii="Arial" w:hAnsi="Arial" w:cs="Arial" w:eastAsia="Arial"/>
                <w:b w:val="0"/>
                <w:i w:val="0"/>
                <w:sz w:val="20"/>
              </w:rPr>
              <w:t>The long-dated tail, regulatory path, and HIBLEO-4 execution risk justify watchlist sizing rather than active-candidate conviction. Suitable for arb specialists at 25–50% of a standard merger-arb position size, expressed as long equity against selective short-AMZN delta hedging (since the blended consideration embeds AMZN exposure). Upgrade to active candidate only on (a) FCC preliminary clearance or (b) HIBLEO-4 milestone confirmation that removes closing-condition tail.</w:t>
            </w:r>
          </w:p>
        </w:tc>
      </w:tr>
    </w:tbl>
    <w:p/>
    <w:p>
      <w:pPr>
        <w:spacing w:after="120" w:before="0" w:line="276" w:lineRule="auto"/>
        <w:jc w:val="left"/>
      </w:pPr>
      <w:r>
        <w:rPr>
          <w:rFonts w:ascii="Arial" w:hAnsi="Arial" w:cs="Arial" w:eastAsia="Arial"/>
          <w:b w:val="0"/>
          <w:i/>
          <w:sz w:val="20"/>
        </w:rPr>
        <w:t>Full thesis, deal mechanics, risk decomposition, and sourcing in the Appendix that follows.</w:t>
      </w:r>
    </w:p>
    <w:p>
      <w:r>
        <w:br w:type="page"/>
      </w:r>
    </w:p>
    <w:p>
      <w:pPr>
        <w:keepNext/>
        <w:spacing w:before="280" w:after="120" w:line="276" w:lineRule="auto"/>
      </w:pPr>
      <w:r>
        <w:rPr>
          <w:rFonts w:ascii="Arial" w:hAnsi="Arial" w:cs="Arial" w:eastAsia="Arial"/>
          <w:b/>
          <w:i w:val="0"/>
          <w:sz w:val="30"/>
        </w:rPr>
        <w:t>APPENDIX — Full Investment Thesis</w:t>
      </w:r>
    </w:p>
    <w:p>
      <w:pPr>
        <w:keepNext/>
        <w:spacing w:before="200" w:after="120" w:line="276" w:lineRule="auto"/>
      </w:pPr>
      <w:r>
        <w:rPr>
          <w:rFonts w:ascii="Arial" w:hAnsi="Arial" w:cs="Arial" w:eastAsia="Arial"/>
          <w:b/>
          <w:i w:val="0"/>
          <w:sz w:val="26"/>
        </w:rPr>
        <w:t>A.1  Why Now — The Window Is Closing</w:t>
      </w:r>
    </w:p>
    <w:p>
      <w:pPr>
        <w:spacing w:after="120" w:before="0" w:line="276" w:lineRule="auto"/>
        <w:jc w:val="both"/>
      </w:pPr>
      <w:r>
        <w:rPr>
          <w:rFonts w:ascii="Arial" w:hAnsi="Arial" w:cs="Arial" w:eastAsia="Arial"/>
          <w:b w:val="0"/>
          <w:i w:val="0"/>
          <w:sz w:val="22"/>
        </w:rPr>
        <w:t>Long-dated merger arbitrage is a different animal from a three-to-six-month close. Edge decay is slower, event-risk windows are more numerous, and the return profile is dominated by clarification moments rather than by the ultimate close. For Globalstar the three clarification moments that compress the spread materially are: (1) FCC preliminary clearance or denial signals (historically 6–12 months into review); (2) DOJ clearance or second-request activity (typically concurrent or leading); and (3) disclosed HIBLEO-4 milestone confirmations at each quarterly earnings release.</w:t>
      </w:r>
    </w:p>
    <w:p>
      <w:pPr>
        <w:spacing w:after="120" w:before="0" w:line="276" w:lineRule="auto"/>
        <w:jc w:val="both"/>
      </w:pPr>
      <w:r>
        <w:rPr>
          <w:rFonts w:ascii="Arial" w:hAnsi="Arial" w:cs="Arial" w:eastAsia="Arial"/>
          <w:b w:val="0"/>
          <w:i w:val="0"/>
          <w:sz w:val="22"/>
        </w:rPr>
        <w:t>The current market pricing reflects the entire window. Compared to typical day-one pricing on cash merger-arb deals — where spreads tighten to 1–3% within weeks — an 11.1% spread is wide because the market is correctly pricing the long-dated tail and the atypical closing-condition structure. The question for an investor today is not whether the spread is correct (it is approximately right) but whether the risk profile fits the portfolio and whether the annualised return clears the relevant hurdle.</w:t>
      </w:r>
    </w:p>
    <w:p>
      <w:pPr>
        <w:spacing w:after="80" w:before="0" w:line="276" w:lineRule="auto"/>
        <w:jc w:val="left"/>
      </w:pPr>
      <w:r>
        <w:rPr>
          <w:rFonts w:ascii="Arial" w:hAnsi="Arial" w:cs="Arial" w:eastAsia="Arial"/>
          <w:b/>
          <w:i w:val="0"/>
          <w:sz w:val="22"/>
        </w:rPr>
        <w:t>Three practical implications follow from the timing:</w:t>
      </w:r>
    </w:p>
    <w:p>
      <w:pPr>
        <w:pStyle w:val="ListNumber"/>
        <w:spacing w:after="40" w:line="276" w:lineRule="auto"/>
      </w:pPr>
      <w:r>
        <w:rPr>
          <w:rFonts w:ascii="Arial" w:hAnsi="Arial" w:cs="Arial" w:eastAsia="Arial"/>
          <w:b w:val="0"/>
          <w:i w:val="0"/>
          <w:sz w:val="22"/>
        </w:rPr>
        <w:t>Do not size for an early re-rate. The 11.1% spread will not compress materially without an external catalyst; do not pay up today for a reversion that requires 9–12 months.</w:t>
      </w:r>
    </w:p>
    <w:p>
      <w:pPr>
        <w:pStyle w:val="ListNumber"/>
        <w:spacing w:after="40" w:line="276" w:lineRule="auto"/>
      </w:pPr>
      <w:r>
        <w:rPr>
          <w:rFonts w:ascii="Arial" w:hAnsi="Arial" w:cs="Arial" w:eastAsia="Arial"/>
          <w:b w:val="0"/>
          <w:i w:val="0"/>
          <w:sz w:val="22"/>
        </w:rPr>
        <w:t>Watch the FCC regulatory calendar quarterly. Comments, extensions, and preliminary decisions all re-price the spread; the key documents are the FCC Public Notice of the transaction and subsequent Chairman statements on spectrum policy.</w:t>
      </w:r>
    </w:p>
    <w:p>
      <w:pPr>
        <w:pStyle w:val="ListNumber"/>
        <w:spacing w:after="40" w:line="276" w:lineRule="auto"/>
      </w:pPr>
      <w:r>
        <w:rPr>
          <w:rFonts w:ascii="Arial" w:hAnsi="Arial" w:cs="Arial" w:eastAsia="Arial"/>
          <w:b w:val="0"/>
          <w:i w:val="0"/>
          <w:sz w:val="22"/>
        </w:rPr>
        <w:t>Integrate AMZN exposure into the position. A long-GSAT trade has embedded AMZN sensitivity via the stock leg of consideration; this should be hedged selectively rather than ignored.</w:t>
      </w:r>
    </w:p>
    <w:p>
      <w:pPr>
        <w:pStyle w:val="ListNumber"/>
        <w:spacing w:after="40" w:line="276" w:lineRule="auto"/>
      </w:pPr>
      <w:r>
        <w:rPr>
          <w:rFonts w:ascii="Arial" w:hAnsi="Arial" w:cs="Arial" w:eastAsia="Arial"/>
          <w:b w:val="0"/>
          <w:i w:val="0"/>
          <w:sz w:val="22"/>
        </w:rPr>
        <w:t>Use HIBLEO-4 earnings-call commentary as the primary operational tell. Any indication that MDA Space or SpaceX launch cadence is slipping materially is a negative; any confirmation of on-time launches is the single biggest de-risking event short of regulatory clearance.</w:t>
      </w:r>
    </w:p>
    <w:p>
      <w:pPr>
        <w:keepNext/>
        <w:spacing w:before="200" w:after="120" w:line="276" w:lineRule="auto"/>
      </w:pPr>
      <w:r>
        <w:rPr>
          <w:rFonts w:ascii="Arial" w:hAnsi="Arial" w:cs="Arial" w:eastAsia="Arial"/>
          <w:b/>
          <w:i w:val="0"/>
          <w:sz w:val="26"/>
        </w:rPr>
        <w:t>A.2  The Company</w:t>
      </w:r>
    </w:p>
    <w:p>
      <w:pPr>
        <w:spacing w:after="120" w:before="0" w:line="276" w:lineRule="auto"/>
        <w:jc w:val="both"/>
      </w:pPr>
      <w:r>
        <w:rPr>
          <w:rFonts w:ascii="Arial" w:hAnsi="Arial" w:cs="Arial" w:eastAsia="Arial"/>
          <w:b w:val="0"/>
          <w:i w:val="0"/>
          <w:sz w:val="22"/>
        </w:rPr>
        <w:t>Globalstar operates a low-earth-orbit satellite constellation providing two-way mobile satellite services, Commercial IoT applications, and — as the economic core since 2022 — the infrastructure underpinning Apple's iPhone Emergency SOS via satellite. The company is profitable, growing, and financially healthy: FY2025 revenue of approximately $273M (+9% YoY), adjusted EBITDA of $136.1M (50% margin), free cash flow of $171.5M, a cash balance of $447.5M, and term-loan principal of roughly $410M. FY2026 guidance is revenue of $280–305M, continuing the low-double-digit growth trajectory.</w:t>
      </w:r>
    </w:p>
    <w:p>
      <w:pPr>
        <w:spacing w:after="120" w:before="0" w:line="276" w:lineRule="auto"/>
        <w:jc w:val="both"/>
      </w:pPr>
      <w:r>
        <w:rPr>
          <w:rFonts w:ascii="Arial" w:hAnsi="Arial" w:cs="Arial" w:eastAsia="Arial"/>
          <w:b w:val="0"/>
          <w:i w:val="0"/>
          <w:sz w:val="22"/>
        </w:rPr>
        <w:t>The HIBLEO-4 programme is the operational priority. Globalstar is replacing and upgrading its LEO constellation through a contract with MDA Space for the satellites and SpaceX for launches. The programme is substantially funded by an approximately $1.1B prepayment from Apple linked to the 85% network-capacity commitment that underpins iPhone Emergency SOS. Execution risk on HIBLEO-4 is therefore not a liquidity problem — it is a supply-chain, manufacturing, and launch-cadence problem. Those are real but bounded risks.</w:t>
      </w:r>
    </w:p>
    <w:p>
      <w:pPr>
        <w:spacing w:after="120" w:before="0" w:line="276" w:lineRule="auto"/>
        <w:jc w:val="both"/>
      </w:pPr>
      <w:r>
        <w:rPr>
          <w:rFonts w:ascii="Arial" w:hAnsi="Arial" w:cs="Arial" w:eastAsia="Arial"/>
          <w:b w:val="0"/>
          <w:i w:val="0"/>
          <w:sz w:val="22"/>
        </w:rPr>
        <w:t>The strategic logic of the Amazon combination is straightforward: Amazon is building Amazon Leo (the successor to Project Kuiper) as a global broadband alternative to Starlink. Globalstar brings a productised LEO network, spectrum rights (L-band, S-band), a marquee customer relationship with Apple, and operational know-how. Amazon brings capital, scale, and the ability to accelerate HIBLEO-4 and next-generation satellite deployments. The combination closes an operational gap in Amazon's space platform and gives Apple confidence that the satellite SOS service will run on a deeper-pocketed infrastructure partner.</w:t>
      </w:r>
    </w:p>
    <w:p>
      <w:pPr>
        <w:spacing w:after="80" w:before="0" w:line="276" w:lineRule="auto"/>
        <w:jc w:val="left"/>
      </w:pPr>
      <w:r>
        <w:rPr>
          <w:rFonts w:ascii="Arial" w:hAnsi="Arial" w:cs="Arial" w:eastAsia="Arial"/>
          <w:b/>
          <w:i w:val="0"/>
          <w:sz w:val="22"/>
        </w:rPr>
        <w:t>Key operating facts:</w:t>
      </w:r>
    </w:p>
    <w:p>
      <w:pPr>
        <w:pStyle w:val="ListBullet"/>
        <w:spacing w:after="40" w:line="276" w:lineRule="auto"/>
      </w:pPr>
      <w:r>
        <w:rPr>
          <w:rFonts w:ascii="Arial" w:hAnsi="Arial" w:cs="Arial" w:eastAsia="Arial"/>
          <w:b w:val="0"/>
          <w:i w:val="0"/>
          <w:sz w:val="22"/>
        </w:rPr>
        <w:t>FY2025 revenue ~$273M (+9% YoY); Adj. EBITDA $136.1M (~50% margin); free cash flow $171.5M.</w:t>
      </w:r>
    </w:p>
    <w:p>
      <w:pPr>
        <w:pStyle w:val="ListBullet"/>
        <w:spacing w:after="40" w:line="276" w:lineRule="auto"/>
      </w:pPr>
      <w:r>
        <w:rPr>
          <w:rFonts w:ascii="Arial" w:hAnsi="Arial" w:cs="Arial" w:eastAsia="Arial"/>
          <w:b w:val="0"/>
          <w:i w:val="0"/>
          <w:sz w:val="22"/>
        </w:rPr>
        <w:t>Cash $447.5M; term-loan principal $410M; liquidity healthy.</w:t>
      </w:r>
    </w:p>
    <w:p>
      <w:pPr>
        <w:pStyle w:val="ListBullet"/>
        <w:spacing w:after="40" w:line="276" w:lineRule="auto"/>
      </w:pPr>
      <w:r>
        <w:rPr>
          <w:rFonts w:ascii="Arial" w:hAnsi="Arial" w:cs="Arial" w:eastAsia="Arial"/>
          <w:b w:val="0"/>
          <w:i w:val="0"/>
          <w:sz w:val="22"/>
        </w:rPr>
        <w:t>Apple 20% equity stake from November 2024 ($1.5B); 85% network-capacity commitment in place.</w:t>
      </w:r>
    </w:p>
    <w:p>
      <w:pPr>
        <w:pStyle w:val="ListBullet"/>
        <w:spacing w:after="40" w:line="276" w:lineRule="auto"/>
      </w:pPr>
      <w:r>
        <w:rPr>
          <w:rFonts w:ascii="Arial" w:hAnsi="Arial" w:cs="Arial" w:eastAsia="Arial"/>
          <w:b w:val="0"/>
          <w:i w:val="0"/>
          <w:sz w:val="22"/>
        </w:rPr>
        <w:t>HIBLEO-4 satellite build: MDA Space manufacturing, SpaceX launches; substantially funded by ~$1.1B Apple prepayment.</w:t>
      </w:r>
    </w:p>
    <w:p>
      <w:pPr>
        <w:pStyle w:val="ListBullet"/>
        <w:spacing w:after="40" w:line="276" w:lineRule="auto"/>
      </w:pPr>
      <w:r>
        <w:rPr>
          <w:rFonts w:ascii="Arial" w:hAnsi="Arial" w:cs="Arial" w:eastAsia="Arial"/>
          <w:b w:val="0"/>
          <w:i w:val="0"/>
          <w:sz w:val="22"/>
        </w:rPr>
        <w:t>FY2026 guidance: revenue $280–305M; HIBLEO-4 launch cadence the key operational disclosure.</w:t>
      </w:r>
    </w:p>
    <w:p>
      <w:pPr>
        <w:pStyle w:val="ListBullet"/>
        <w:spacing w:after="40" w:line="276" w:lineRule="auto"/>
      </w:pPr>
      <w:r>
        <w:rPr>
          <w:rFonts w:ascii="Arial" w:hAnsi="Arial" w:cs="Arial" w:eastAsia="Arial"/>
          <w:b w:val="0"/>
          <w:i w:val="0"/>
          <w:sz w:val="22"/>
        </w:rPr>
        <w:t>Share count approximately 128M; pre-deal equity value ~$9.3B; post-deal implied ~$11.5B.</w:t>
      </w:r>
    </w:p>
    <w:p>
      <w:pPr>
        <w:keepNext/>
        <w:spacing w:before="200" w:after="120" w:line="276" w:lineRule="auto"/>
      </w:pPr>
      <w:r>
        <w:rPr>
          <w:rFonts w:ascii="Arial" w:hAnsi="Arial" w:cs="Arial" w:eastAsia="Arial"/>
          <w:b/>
          <w:i w:val="0"/>
          <w:sz w:val="26"/>
        </w:rPr>
        <w:t>A.3  The Catalyst — The Most Structurally Unusual Large-Cap Deal of 2026</w:t>
      </w:r>
    </w:p>
    <w:p>
      <w:pPr>
        <w:spacing w:after="120" w:before="0" w:line="276" w:lineRule="auto"/>
        <w:jc w:val="both"/>
      </w:pPr>
      <w:r>
        <w:rPr>
          <w:rFonts w:ascii="Arial" w:hAnsi="Arial" w:cs="Arial" w:eastAsia="Arial"/>
          <w:b w:val="0"/>
          <w:i w:val="0"/>
          <w:sz w:val="22"/>
        </w:rPr>
        <w:t>Four structural features distinguish this transaction from conventional large-cap M&amp;A.</w:t>
      </w:r>
    </w:p>
    <w:p>
      <w:pPr>
        <w:spacing w:after="120" w:before="0" w:line="276" w:lineRule="auto"/>
        <w:jc w:val="both"/>
      </w:pPr>
      <w:r>
        <w:rPr>
          <w:rFonts w:ascii="Arial" w:hAnsi="Arial" w:cs="Arial" w:eastAsia="Arial"/>
          <w:b w:val="0"/>
          <w:i w:val="0"/>
          <w:sz w:val="22"/>
        </w:rPr>
        <w:t>First, shareholder vote risk is gone. Majority written consent — approximately 58% of Globalstar's outstanding shares — was delivered concurrently with signing. This is not the typical "enter into a support agreement and file a proxy" structure; this is a completed shareholder action. The only remaining path for vote-based disruption would be litigation to invalidate the consent, which is a high and rarely successful bar.</w:t>
      </w:r>
    </w:p>
    <w:p>
      <w:pPr>
        <w:spacing w:after="120" w:before="0" w:line="276" w:lineRule="auto"/>
        <w:jc w:val="both"/>
      </w:pPr>
      <w:r>
        <w:rPr>
          <w:rFonts w:ascii="Arial" w:hAnsi="Arial" w:cs="Arial" w:eastAsia="Arial"/>
          <w:b w:val="0"/>
          <w:i w:val="0"/>
          <w:sz w:val="22"/>
        </w:rPr>
        <w:t>Second, HIBLEO-4 operational milestones sit inside the closing conditions. Amazon's obligation to close is conditioned on Globalstar achieving specified milestones in the satellite-replacement programme. This is atypical for large strategic M&amp;A and introduces a risk dimension that does not appear in standard merger-arb screens. Termination windows extend from April 2027 to October 2027 to April 2028 specifically to accommodate slippage. The merger agreement reportedly provides for up to $110M of consideration reduction for missed milestones — a negotiated compromise between Amazon's insistence on operational delivery and Globalstar's need to close despite execution uncertainty.</w:t>
      </w:r>
    </w:p>
    <w:p>
      <w:pPr>
        <w:spacing w:after="120" w:before="0" w:line="276" w:lineRule="auto"/>
        <w:jc w:val="both"/>
      </w:pPr>
      <w:r>
        <w:rPr>
          <w:rFonts w:ascii="Arial" w:hAnsi="Arial" w:cs="Arial" w:eastAsia="Arial"/>
          <w:b w:val="0"/>
          <w:i w:val="0"/>
          <w:sz w:val="22"/>
        </w:rPr>
        <w:t>Third, the consideration is a value-capped cash-or-stock election with 40% cash proration. Holders electing stock receive 0.3210 AMZN shares capped at $90.00 of value; above that level any additional AMZN appreciation is forfeited. Holders electing cash receive $90.00 in aggregate up to the 40% cap; excess cash elections prorate into stock. The practical effect is that the cash election is the rational strategy for any holder not specifically wanting to hold AMZN post-close, which forces the 40% cash cap to bind — at which point the effective consideration is 40% cash plus 60% capped stock. This is a subtle but important detail for position sizing.</w:t>
      </w:r>
    </w:p>
    <w:p>
      <w:pPr>
        <w:spacing w:after="120" w:before="0" w:line="276" w:lineRule="auto"/>
        <w:jc w:val="both"/>
      </w:pPr>
      <w:r>
        <w:rPr>
          <w:rFonts w:ascii="Arial" w:hAnsi="Arial" w:cs="Arial" w:eastAsia="Arial"/>
          <w:b w:val="0"/>
          <w:i w:val="0"/>
          <w:sz w:val="22"/>
        </w:rPr>
        <w:t>Fourth, the regulatory path is multi-jurisdictional and sector-heavy. FCC review (spectrum, satellite authorizations, license transfers), HSR (US antitrust), DOJ (space-broadband concentration against Starlink and Amazon Leo), and potentially international regulators (EU, UK) all have a role. Historical comparables — Viasat/Inmarsat (~18 months) and SES/Intelsat (~15 months) — are useful anchors but do not obviate the need to track each regulator's specific timeline.</w:t>
      </w:r>
    </w:p>
    <w:tbl>
      <w:tblPr>
        <w:tblW w:type="auto" w:w="0"/>
        <w:jc w:val="center"/>
        <w:tblLook w:firstColumn="1" w:firstRow="1" w:lastColumn="0" w:lastRow="0" w:noHBand="0" w:noVBand="1" w:val="04A0"/>
      </w:tblPr>
      <w:tblGrid>
        <w:gridCol w:w="10080"/>
      </w:tblGrid>
      <w:tr>
        <w:tc>
          <w:tcPr>
            <w:tcW w:type="dxa" w:w="10080"/>
            <w:tcBorders>
              <w:top w:val="single" w:sz="12" w:space="0" w:color="888888"/>
              <w:left w:val="single" w:sz="12" w:space="0" w:color="888888"/>
              <w:bottom w:val="single" w:sz="12" w:space="0" w:color="888888"/>
              <w:right w:val="single" w:sz="12" w:space="0" w:color="888888"/>
            </w:tcBorders>
            <w:shd w:val="clear" w:color="auto" w:fill="F7F5F0"/>
          </w:tcPr>
          <w:p>
            <w:pPr>
              <w:spacing w:after="80"/>
            </w:pPr>
            <w:r/>
            <w:r>
              <w:rPr>
                <w:rFonts w:ascii="Arial" w:hAnsi="Arial" w:cs="Arial" w:eastAsia="Arial"/>
                <w:b/>
                <w:i w:val="0"/>
                <w:sz w:val="22"/>
              </w:rPr>
              <w:t>Why the spread is wide</w:t>
            </w:r>
          </w:p>
          <w:p>
            <w:pPr>
              <w:spacing w:line="288" w:lineRule="auto"/>
            </w:pPr>
            <w:r>
              <w:rPr>
                <w:rFonts w:ascii="Arial" w:hAnsi="Arial" w:cs="Arial" w:eastAsia="Arial"/>
                <w:b w:val="0"/>
                <w:i w:val="0"/>
                <w:sz w:val="20"/>
              </w:rPr>
              <w:t>An 11.1% gross spread on a large-cap announced strategic deal is not "high" in historical context — it reflects the correct pricing of a 12–18 month horizon, multi-jurisdictional regulatory path, and an atypical closing-condition structure tied to HIBLEO-4 operational delivery. The edge to be found here is not in betting the market has the headline wrong; it is in the detail of regulatory timing, AMZN-consideration hedging, and HIBLEO-4 milestone monitoring. This is a specialist trade, not a generalist one.</w:t>
            </w:r>
          </w:p>
        </w:tc>
      </w:tr>
    </w:tbl>
    <w:p/>
    <w:p>
      <w:pPr>
        <w:keepNext/>
        <w:spacing w:before="200" w:after="120" w:line="276" w:lineRule="auto"/>
      </w:pPr>
      <w:r>
        <w:rPr>
          <w:rFonts w:ascii="Arial" w:hAnsi="Arial" w:cs="Arial" w:eastAsia="Arial"/>
          <w:b/>
          <w:i w:val="0"/>
          <w:sz w:val="26"/>
        </w:rPr>
        <w:t>A.4  The Deal Mechanics — Five Discrete Risk Vectors</w:t>
      </w:r>
    </w:p>
    <w:p>
      <w:pPr>
        <w:spacing w:after="120" w:before="0" w:line="276" w:lineRule="auto"/>
        <w:jc w:val="both"/>
      </w:pPr>
      <w:r>
        <w:rPr>
          <w:rFonts w:ascii="Arial" w:hAnsi="Arial" w:cs="Arial" w:eastAsia="Arial"/>
          <w:b w:val="0"/>
          <w:i w:val="0"/>
          <w:sz w:val="22"/>
        </w:rPr>
        <w:t>Five risk vectors determine outcome: (1) FCC and spectrum regulation, (2) DOJ and international antitrust, (3) HIBLEO-4 operational delivery, (4) the AMZN stock leg, and (5) residual litigation and process risk.</w:t>
      </w:r>
    </w:p>
    <w:p>
      <w:pPr>
        <w:spacing w:after="120" w:before="0" w:line="276" w:lineRule="auto"/>
        <w:jc w:val="both"/>
      </w:pPr>
      <w:r>
        <w:rPr>
          <w:rFonts w:ascii="Arial" w:hAnsi="Arial" w:cs="Arial" w:eastAsia="Arial"/>
          <w:b w:val="0"/>
          <w:i w:val="0"/>
          <w:sz w:val="22"/>
        </w:rPr>
        <w:t>FCC and spectrum. The FCC must approve the transfer of Globalstar's licences and authorizations. Historical base rates for satellite M&amp;A at this scale are 12–18 months. The FCC will publish a Public Notice seeking comments and objections, and will evaluate spectrum concentration — particularly around L-band, S-band, and emerging D2D (direct-to-device) use cases. Starlink has already filed non-binding comments opposing elements of the deal's spectrum sharing; such objections are expected and do not typically block transactions, but they can extend review. Base-case FCC clearance: late Q2 2027. Downside tail: Further Notice of Proposed Rulemaking pushing clearance to late 2027 or early 2028.</w:t>
      </w:r>
    </w:p>
    <w:p>
      <w:pPr>
        <w:spacing w:after="120" w:before="0" w:line="276" w:lineRule="auto"/>
        <w:jc w:val="both"/>
      </w:pPr>
      <w:r>
        <w:rPr>
          <w:rFonts w:ascii="Arial" w:hAnsi="Arial" w:cs="Arial" w:eastAsia="Arial"/>
          <w:b w:val="0"/>
          <w:i w:val="0"/>
          <w:sz w:val="22"/>
        </w:rPr>
        <w:t>DOJ and international antitrust. HSR in the US is likely to clear without incident; Globalstar and Amazon have minimal direct product-market overlap in current services. The substantive question is whether consolidation of L-band MSS assets with a major LEO-broadband operator (Amazon Leo) constitutes a horizontal concentration problem in the broader satellite-broadband space. The DOJ's focus on big-tech concentration raises the probability of extended review relative to historical norms. International regulators (EC, UK CMA) would need to confirm whether GSAT's EU spectrum exposure triggers review; no formal EU filing has been publicly disclosed at this point.</w:t>
      </w:r>
    </w:p>
    <w:p>
      <w:pPr>
        <w:spacing w:after="120" w:before="0" w:line="276" w:lineRule="auto"/>
        <w:jc w:val="both"/>
      </w:pPr>
      <w:r>
        <w:rPr>
          <w:rFonts w:ascii="Arial" w:hAnsi="Arial" w:cs="Arial" w:eastAsia="Arial"/>
          <w:b w:val="0"/>
          <w:i w:val="0"/>
          <w:sz w:val="22"/>
        </w:rPr>
        <w:t>HIBLEO-4 operational delivery. The MDA Space manufacturing schedule and the SpaceX launch cadence are the operational levers. Any disclosed slippage in quarterly earnings calls — reduced launch cadence, delayed satellite deliveries, unexpected anomalies — directly affects the closing condition. The $110M consideration-reduction provision reportedly in the merger agreement is a two-way tool: it allows Amazon to accept slight slippage at a price, and it forces Globalstar to deliver reasonably close to plan. A complete milestone failure would trigger Amazon's right to terminate without penalty.</w:t>
      </w:r>
    </w:p>
    <w:p>
      <w:pPr>
        <w:spacing w:after="120" w:before="0" w:line="276" w:lineRule="auto"/>
        <w:jc w:val="both"/>
      </w:pPr>
      <w:r>
        <w:rPr>
          <w:rFonts w:ascii="Arial" w:hAnsi="Arial" w:cs="Arial" w:eastAsia="Arial"/>
          <w:b w:val="0"/>
          <w:i w:val="0"/>
          <w:sz w:val="22"/>
        </w:rPr>
        <w:t>AMZN stock leg. AMZN's forward price affects consideration value for the 60% of consideration that prorates into stock. An AMZN decline of 20% from current levels reduces stock-leg value toward $72 per GSAT share, at which point forced stock election becomes genuinely dilutive versus cash-cap holders. An AMZN rally is capped at $90 of value per GSAT share, so provides no additional upside to GSAT holders. A hedged position (long GSAT, short a calibrated AMZN delta) neutralises the most of the stock-leg downside while retaining the cash-cap upside.</w:t>
      </w:r>
    </w:p>
    <w:p>
      <w:pPr>
        <w:spacing w:after="120" w:before="0" w:line="276" w:lineRule="auto"/>
        <w:jc w:val="both"/>
      </w:pPr>
      <w:r>
        <w:rPr>
          <w:rFonts w:ascii="Arial" w:hAnsi="Arial" w:cs="Arial" w:eastAsia="Arial"/>
          <w:b w:val="0"/>
          <w:i w:val="0"/>
          <w:sz w:val="22"/>
        </w:rPr>
        <w:t>Residual litigation / process. Strike-suits on large M&amp;A are inevitable and usually immaterial. The more interesting process risk is the narrow possibility of a challenge to the written-consent mechanics — unlikely given Delaware's well-developed law on this structure, but not unheard of. Monitor Schedule 14A/14C filings for any amendment or supplemental disclosure.</w:t>
      </w:r>
    </w:p>
    <w:tbl>
      <w:tblPr>
        <w:tblW w:type="auto" w:w="0"/>
        <w:jc w:val="center"/>
        <w:tblLook w:firstColumn="1" w:firstRow="1" w:lastColumn="0" w:lastRow="0" w:noHBand="0" w:noVBand="1" w:val="04A0"/>
      </w:tblPr>
      <w:tblGrid>
        <w:gridCol w:w="10080"/>
      </w:tblGrid>
      <w:tr>
        <w:tc>
          <w:tcPr>
            <w:tcW w:type="dxa" w:w="10080"/>
            <w:tcBorders>
              <w:top w:val="single" w:sz="12" w:space="0" w:color="888888"/>
              <w:left w:val="single" w:sz="12" w:space="0" w:color="888888"/>
              <w:bottom w:val="single" w:sz="12" w:space="0" w:color="888888"/>
              <w:right w:val="single" w:sz="12" w:space="0" w:color="888888"/>
            </w:tcBorders>
            <w:shd w:val="clear" w:color="auto" w:fill="F7F5F0"/>
          </w:tcPr>
          <w:p>
            <w:pPr>
              <w:spacing w:after="80"/>
            </w:pPr>
            <w:r/>
            <w:r>
              <w:rPr>
                <w:rFonts w:ascii="Arial" w:hAnsi="Arial" w:cs="Arial" w:eastAsia="Arial"/>
                <w:b/>
                <w:i w:val="0"/>
                <w:sz w:val="22"/>
              </w:rPr>
              <w:t>The HIBLEO-4 callout</w:t>
            </w:r>
          </w:p>
          <w:p>
            <w:pPr>
              <w:spacing w:line="288" w:lineRule="auto"/>
            </w:pPr>
            <w:r>
              <w:rPr>
                <w:rFonts w:ascii="Arial" w:hAnsi="Arial" w:cs="Arial" w:eastAsia="Arial"/>
                <w:b w:val="0"/>
                <w:i w:val="0"/>
                <w:sz w:val="20"/>
              </w:rPr>
              <w:t>Atypical closing-condition structures are dangerous precisely because they are not in the standard merger-arb playbook. The correct instinct here is humility: the specific HIBLEO-4 milestone language in the signed merger agreement should be reviewed directly (Exhibit 2.1 to the 8-K) before committing material capital. Public reporting that the agreement allows up to $110M of consideration reduction for missed milestones is, if accurate, a negotiated compromise that both protects Amazon and preserves deal certainty — but the threshold for termination-without-compromise, if it exists in the language, is the actual tail risk and deserves primary-source verification.</w:t>
            </w:r>
          </w:p>
        </w:tc>
      </w:tr>
    </w:tbl>
    <w:p/>
    <w:p>
      <w:pPr>
        <w:keepNext/>
        <w:spacing w:before="200" w:after="120" w:line="276" w:lineRule="auto"/>
      </w:pPr>
      <w:r>
        <w:rPr>
          <w:rFonts w:ascii="Arial" w:hAnsi="Arial" w:cs="Arial" w:eastAsia="Arial"/>
          <w:b/>
          <w:i w:val="0"/>
          <w:sz w:val="26"/>
        </w:rPr>
        <w:t>A.5  The Strategic Logic — Why Amazon, Why Now</w:t>
      </w:r>
    </w:p>
    <w:p>
      <w:pPr>
        <w:spacing w:after="120" w:before="0" w:line="276" w:lineRule="auto"/>
        <w:jc w:val="both"/>
      </w:pPr>
      <w:r>
        <w:rPr>
          <w:rFonts w:ascii="Arial" w:hAnsi="Arial" w:cs="Arial" w:eastAsia="Arial"/>
          <w:b w:val="0"/>
          <w:i w:val="0"/>
          <w:sz w:val="22"/>
        </w:rPr>
        <w:t>Amazon Leo is the strategic rationale. Amazon has been building a satellite-broadband network in parallel with Starlink's market-share gains, initially branded Project Kuiper and now increasingly positioned as Amazon Leo. Deployment has lagged expectations — Amazon has requested extensions to the FCC's original July 2026 build-out milestone (1,618 of 3,232 authorized satellites), with extensions under consideration to 2028. The acquisition of Globalstar accomplishes three strategic objectives in one transaction: (1) it brings a productised, revenue-generating satellite platform with proven spectrum rights under Amazon's roof; (2) it accelerates D2D capability via Globalstar's L-band spectrum and Apple partnership; (3) it consolidates an enterprise and IoT customer base that would otherwise take years to build organically.</w:t>
      </w:r>
    </w:p>
    <w:p>
      <w:pPr>
        <w:spacing w:after="120" w:before="0" w:line="276" w:lineRule="auto"/>
        <w:jc w:val="both"/>
      </w:pPr>
      <w:r>
        <w:rPr>
          <w:rFonts w:ascii="Arial" w:hAnsi="Arial" w:cs="Arial" w:eastAsia="Arial"/>
          <w:b w:val="0"/>
          <w:i w:val="0"/>
          <w:sz w:val="22"/>
        </w:rPr>
        <w:t>Apple's role is stabilising rather than complicating. Apple's 20% stake and 85% network-capacity commitment in November 2024 was a large strategic bet on Globalstar's survival as a standalone operator. The Amazon acquisition materially reduces the financial and execution risk Apple was bearing. A deeper-pocketed infrastructure partner with a longer-term satellite-broadband roadmap is an upgrade for Apple's iPhone SOS product, and Apple's public support (parallel Amazon Leo / iPhone SOS agreement) is consistent with that. There is no indication that Apple has any incentive to oppose the deal; the economics and strategic alignment run the other way.</w:t>
      </w:r>
    </w:p>
    <w:p>
      <w:pPr>
        <w:spacing w:after="120" w:before="0" w:line="276" w:lineRule="auto"/>
        <w:jc w:val="both"/>
      </w:pPr>
      <w:r>
        <w:rPr>
          <w:rFonts w:ascii="Arial" w:hAnsi="Arial" w:cs="Arial" w:eastAsia="Arial"/>
          <w:b w:val="0"/>
          <w:i w:val="0"/>
          <w:sz w:val="22"/>
        </w:rPr>
        <w:t>The standalone alternative case for Globalstar exists but is not obviously better. Absent the deal, Globalstar would continue executing HIBLEO-4, recognising Apple-related service revenues, and pursuing Commercial IoT growth. That trajectory supports a valuation somewhere in the $60–80 range with material operational-execution risk. The Amazon deal locks in $90 for the cash portion, provides an AMZN-equity kicker to any AMZN appreciation up to the cap, and transfers HIBLEO-4 execution risk (post-close) to a counterparty with enormously deeper pockets. For public equity holders, the deal is clearly preferable to the standalone path at the margin.</w:t>
      </w:r>
    </w:p>
    <w:p>
      <w:pPr>
        <w:keepNext/>
        <w:spacing w:before="200" w:after="120" w:line="276" w:lineRule="auto"/>
      </w:pPr>
      <w:r>
        <w:rPr>
          <w:rFonts w:ascii="Arial" w:hAnsi="Arial" w:cs="Arial" w:eastAsia="Arial"/>
          <w:b/>
          <w:i w:val="0"/>
          <w:sz w:val="26"/>
        </w:rPr>
        <w:t>A.6  The Quantitative Frame — 7-Dimension Score</w:t>
      </w:r>
    </w:p>
    <w:tbl>
      <w:tblPr>
        <w:tblW w:type="auto" w:w="0"/>
        <w:jc w:val="center"/>
        <w:tblLayout w:type="fixed"/>
        <w:tblLook w:firstColumn="1" w:firstRow="1" w:lastColumn="0" w:lastRow="0" w:noHBand="0" w:noVBand="1" w:val="04A0"/>
      </w:tblPr>
      <w:tblGrid>
        <w:gridCol w:w="3360"/>
        <w:gridCol w:w="3360"/>
        <w:gridCol w:w="3360"/>
      </w:tblGrid>
      <w:tr>
        <w:tc>
          <w:tcPr>
            <w:tcW w:type="dxa" w:w="2736"/>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Dimension</w:t>
            </w:r>
          </w:p>
        </w:tc>
        <w:tc>
          <w:tcPr>
            <w:tcW w:type="dxa" w:w="1584"/>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Score</w:t>
            </w:r>
          </w:p>
        </w:tc>
        <w:tc>
          <w:tcPr>
            <w:tcW w:type="dxa" w:w="5616"/>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Rationale</w:t>
            </w:r>
          </w:p>
        </w:tc>
      </w:tr>
      <w:tr>
        <w:tc>
          <w:tcPr>
            <w:tcW w:type="dxa" w:w="273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Signal Strength (×2)</w:t>
            </w:r>
          </w:p>
        </w:tc>
        <w:tc>
          <w:tcPr>
            <w:tcW w:type="dxa" w:w="158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5.0 → 10.00</w:t>
            </w:r>
          </w:p>
        </w:tc>
        <w:tc>
          <w:tcPr>
            <w:tcW w:type="dxa" w:w="56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Signal is the event — fully signed, publicly filed definitive agreement with written consent</w:t>
            </w:r>
          </w:p>
        </w:tc>
      </w:tr>
      <w:tr>
        <w:tc>
          <w:tcPr>
            <w:tcW w:type="dxa" w:w="273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Catalyst Clarity (×1)</w:t>
            </w:r>
          </w:p>
        </w:tc>
        <w:tc>
          <w:tcPr>
            <w:tcW w:type="dxa" w:w="158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3.0 → 3.00</w:t>
            </w:r>
          </w:p>
        </w:tc>
        <w:tc>
          <w:tcPr>
            <w:tcW w:type="dxa" w:w="56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Close in 2027 — range rather than fixed date; HIBLEO-4 milestone contingency adds variance</w:t>
            </w:r>
          </w:p>
        </w:tc>
      </w:tr>
      <w:tr>
        <w:tc>
          <w:tcPr>
            <w:tcW w:type="dxa" w:w="273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Info Asymmetry (×1.5)</w:t>
            </w:r>
          </w:p>
        </w:tc>
        <w:tc>
          <w:tcPr>
            <w:tcW w:type="dxa" w:w="158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1.0 → 1.50</w:t>
            </w:r>
          </w:p>
        </w:tc>
        <w:tc>
          <w:tcPr>
            <w:tcW w:type="dxa" w:w="56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Major Amazon-Apple announcement; saturation coverage; no durable informational edge</w:t>
            </w:r>
          </w:p>
        </w:tc>
      </w:tr>
      <w:tr>
        <w:tc>
          <w:tcPr>
            <w:tcW w:type="dxa" w:w="273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Risk / Reward (×1)</w:t>
            </w:r>
          </w:p>
        </w:tc>
        <w:tc>
          <w:tcPr>
            <w:tcW w:type="dxa" w:w="158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3.0 → 3.00</w:t>
            </w:r>
          </w:p>
        </w:tc>
        <w:tc>
          <w:tcPr>
            <w:tcW w:type="dxa" w:w="56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11% upside over 15–18 months vs approximately 25–40% downside on break — risk-adjusted modest</w:t>
            </w:r>
          </w:p>
        </w:tc>
      </w:tr>
      <w:tr>
        <w:tc>
          <w:tcPr>
            <w:tcW w:type="dxa" w:w="273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Edge Decay (×1)</w:t>
            </w:r>
          </w:p>
        </w:tc>
        <w:tc>
          <w:tcPr>
            <w:tcW w:type="dxa" w:w="158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1.0 → 1.00</w:t>
            </w:r>
          </w:p>
        </w:tc>
        <w:tc>
          <w:tcPr>
            <w:tcW w:type="dxa" w:w="56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Fully diffused; spread compression requires external regulatory clearance events</w:t>
            </w:r>
          </w:p>
        </w:tc>
      </w:tr>
      <w:tr>
        <w:tc>
          <w:tcPr>
            <w:tcW w:type="dxa" w:w="273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Liquidity (×1)</w:t>
            </w:r>
          </w:p>
        </w:tc>
        <w:tc>
          <w:tcPr>
            <w:tcW w:type="dxa" w:w="158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5.0 → 5.00</w:t>
            </w:r>
          </w:p>
        </w:tc>
        <w:tc>
          <w:tcPr>
            <w:tcW w:type="dxa" w:w="56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9M share day on announcement; large float; deep options chain</w:t>
            </w:r>
          </w:p>
        </w:tc>
      </w:tr>
      <w:tr>
        <w:tc>
          <w:tcPr>
            <w:tcW w:type="dxa" w:w="273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Catalyst Timeline (×1)</w:t>
            </w:r>
          </w:p>
        </w:tc>
        <w:tc>
          <w:tcPr>
            <w:tcW w:type="dxa" w:w="158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2.0 → 2.00</w:t>
            </w:r>
          </w:p>
        </w:tc>
        <w:tc>
          <w:tcPr>
            <w:tcW w:type="dxa" w:w="56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15–20 months is long-dated by merger-arb standards and dominates return profile</w:t>
            </w:r>
          </w:p>
        </w:tc>
      </w:tr>
      <w:tr>
        <w:tc>
          <w:tcPr>
            <w:tcW w:type="dxa" w:w="273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WEIGHTED TOTAL</w:t>
            </w:r>
          </w:p>
        </w:tc>
        <w:tc>
          <w:tcPr>
            <w:tcW w:type="dxa" w:w="158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25.5 / 42.5</w:t>
            </w:r>
          </w:p>
        </w:tc>
        <w:tc>
          <w:tcPr>
            <w:tcW w:type="dxa" w:w="5616"/>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Watchlist tier (threshold 22; active candidate 28). Suitable for specialist arb book.</w:t>
            </w:r>
          </w:p>
        </w:tc>
      </w:tr>
    </w:tbl>
    <w:p/>
    <w:p>
      <w:pPr>
        <w:spacing w:after="120" w:before="0" w:line="276" w:lineRule="auto"/>
        <w:jc w:val="both"/>
      </w:pPr>
      <w:r>
        <w:rPr>
          <w:rFonts w:ascii="Arial" w:hAnsi="Arial" w:cs="Arial" w:eastAsia="Arial"/>
          <w:b w:val="0"/>
          <w:i w:val="0"/>
          <w:sz w:val="22"/>
        </w:rPr>
        <w:t>Web research does not meaningfully move any dimension. The post-announcement narrative is consistent with the structural facts: shareholder consent is done, regulatory path is defined, HIBLEO-4 milestones are recognised as a unique closing-condition element, and Apple's support is public. What web research adds is base-rate context — Viasat/Inmarsat (~18 months) and SES/Intelsat (~15 months) clearance windows for comparable satellite M&amp;A anchor our close-timing expectations more firmly than the company's "expected 2027" language alone. The 25.5 composite score is consistent with a specialist long-dated-arb position, not a high-conviction thesis.</w:t>
      </w:r>
    </w:p>
    <w:p>
      <w:pPr>
        <w:keepNext/>
        <w:spacing w:before="200" w:after="120" w:line="276" w:lineRule="auto"/>
      </w:pPr>
      <w:r>
        <w:rPr>
          <w:rFonts w:ascii="Arial" w:hAnsi="Arial" w:cs="Arial" w:eastAsia="Arial"/>
          <w:b/>
          <w:i w:val="0"/>
          <w:sz w:val="26"/>
        </w:rPr>
        <w:t>A.7  Market Interpretation vs. Mine</w:t>
      </w:r>
    </w:p>
    <w:tbl>
      <w:tblPr>
        <w:tblW w:type="auto" w:w="0"/>
        <w:jc w:val="center"/>
        <w:tblLayout w:type="fixed"/>
        <w:tblLook w:firstColumn="1" w:firstRow="1" w:lastColumn="0" w:lastRow="0" w:noHBand="0" w:noVBand="1" w:val="04A0"/>
      </w:tblPr>
      <w:tblGrid>
        <w:gridCol w:w="3360"/>
        <w:gridCol w:w="3360"/>
        <w:gridCol w:w="3360"/>
      </w:tblGrid>
      <w:tr>
        <w:tc>
          <w:tcPr>
            <w:tcW w:type="dxa" w:w="3024"/>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Question</w:t>
            </w:r>
          </w:p>
        </w:tc>
        <w:tc>
          <w:tcPr>
            <w:tcW w:type="dxa" w:w="3312"/>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Market's Interpretation</w:t>
            </w:r>
          </w:p>
        </w:tc>
        <w:tc>
          <w:tcPr>
            <w:tcW w:type="dxa" w:w="3600"/>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This Thesis</w:t>
            </w:r>
          </w:p>
        </w:tc>
      </w:tr>
      <w:tr>
        <w:tc>
          <w:tcPr>
            <w:tcW w:type="dxa" w:w="302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Will the deal close?</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~90% implied probability (residual spread priced for tails)</w:t>
            </w:r>
          </w:p>
        </w:tc>
        <w:tc>
          <w:tcPr>
            <w:tcW w:type="dxa" w:w="360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85–88% — consistent with market but with more weight on regulatory-delay tail</w:t>
            </w:r>
          </w:p>
        </w:tc>
      </w:tr>
      <w:tr>
        <w:tc>
          <w:tcPr>
            <w:tcW w:type="dxa" w:w="302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Will there be a topping bid?</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No (written consent locks out interlopers)</w:t>
            </w:r>
          </w:p>
        </w:tc>
        <w:tc>
          <w:tcPr>
            <w:tcW w:type="dxa" w:w="360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Agree — probability ~1%; not a trading factor</w:t>
            </w:r>
          </w:p>
        </w:tc>
      </w:tr>
      <w:tr>
        <w:tc>
          <w:tcPr>
            <w:tcW w:type="dxa" w:w="302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What happens with the FCC?</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Clears in standard 12–18 month window</w:t>
            </w:r>
          </w:p>
        </w:tc>
        <w:tc>
          <w:tcPr>
            <w:tcW w:type="dxa" w:w="360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Base case 15 months; downside tail to 22+ months on Further Notice</w:t>
            </w:r>
          </w:p>
        </w:tc>
      </w:tr>
      <w:tr>
        <w:tc>
          <w:tcPr>
            <w:tcW w:type="dxa" w:w="302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Is there antitrust risk?</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Marginal; no direct market overlap</w:t>
            </w:r>
          </w:p>
        </w:tc>
        <w:tc>
          <w:tcPr>
            <w:tcW w:type="dxa" w:w="360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Real but not dispositive — DOJ's big-tech scrutiny raises the bar above historical base rates</w:t>
            </w:r>
          </w:p>
        </w:tc>
      </w:tr>
      <w:tr>
        <w:tc>
          <w:tcPr>
            <w:tcW w:type="dxa" w:w="302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How should I treat the HIBLEO-4 clause?</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Not much commentary; treated as a technicality</w:t>
            </w:r>
          </w:p>
        </w:tc>
        <w:tc>
          <w:tcPr>
            <w:tcW w:type="dxa" w:w="360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Treat as a first-order closing-condition risk; material to pricing the tail and sizing</w:t>
            </w:r>
          </w:p>
        </w:tc>
      </w:tr>
      <w:tr>
        <w:tc>
          <w:tcPr>
            <w:tcW w:type="dxa" w:w="302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Is Apple's role a complication?</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Saturation coverage but no concern flagged</w:t>
            </w:r>
          </w:p>
        </w:tc>
        <w:tc>
          <w:tcPr>
            <w:tcW w:type="dxa" w:w="360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Confirm: Apple is a stabiliser, not a complication; the parallel iPhone SOS agreement is supportive</w:t>
            </w:r>
          </w:p>
        </w:tc>
      </w:tr>
      <w:tr>
        <w:tc>
          <w:tcPr>
            <w:tcW w:type="dxa" w:w="3024"/>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Should I hedge the AMZN leg?</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Rarely discussed in the arb commentary</w:t>
            </w:r>
          </w:p>
        </w:tc>
        <w:tc>
          <w:tcPr>
            <w:tcW w:type="dxa" w:w="3600"/>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Yes — the blended consideration embeds AMZN downside that is not capped by the transaction</w:t>
            </w:r>
          </w:p>
        </w:tc>
      </w:tr>
    </w:tbl>
    <w:p/>
    <w:p>
      <w:pPr>
        <w:spacing w:after="120" w:before="0" w:line="276" w:lineRule="auto"/>
        <w:jc w:val="both"/>
      </w:pPr>
      <w:r>
        <w:rPr>
          <w:rFonts w:ascii="Arial" w:hAnsi="Arial" w:cs="Arial" w:eastAsia="Arial"/>
          <w:b w:val="0"/>
          <w:i w:val="0"/>
          <w:sz w:val="22"/>
        </w:rPr>
        <w:t>The narrative arbitrage here is primarily on the close-timing distribution and the correct pricing of the HIBLEO-4 tail. The market is implicitly pricing a tight distribution around a 15–18 month close; our view is that the tail toward a 22+ month outcome is fatter than implied, which argues for (a) a wider effective spread requirement on entry and (b) patience on spread-widening windows tied to regulatory milestones. The market's treatment of the HIBLEO-4 clause as a technicality is the most common error, though it is not yet clearly evident in the spread — a mispricing that could emerge if milestone slippage is disclosed.</w:t>
      </w:r>
    </w:p>
    <w:p>
      <w:pPr>
        <w:keepNext/>
        <w:spacing w:before="200" w:after="120" w:line="276" w:lineRule="auto"/>
      </w:pPr>
      <w:r>
        <w:rPr>
          <w:rFonts w:ascii="Arial" w:hAnsi="Arial" w:cs="Arial" w:eastAsia="Arial"/>
          <w:b/>
          <w:i w:val="0"/>
          <w:sz w:val="26"/>
        </w:rPr>
        <w:t>A.8  Risks — What Would Break the Thesis</w:t>
      </w:r>
    </w:p>
    <w:tbl>
      <w:tblPr>
        <w:tblW w:type="auto" w:w="0"/>
        <w:jc w:val="center"/>
        <w:tblLook w:firstColumn="1" w:firstRow="1" w:lastColumn="0" w:lastRow="0" w:noHBand="0" w:noVBand="1" w:val="04A0"/>
      </w:tblPr>
      <w:tblGrid>
        <w:gridCol w:w="10080"/>
      </w:tblGrid>
      <w:tr>
        <w:tc>
          <w:tcPr>
            <w:tcW w:type="dxa" w:w="10080"/>
            <w:tcBorders>
              <w:top w:val="single" w:sz="12" w:space="0" w:color="888888"/>
              <w:left w:val="single" w:sz="12" w:space="0" w:color="888888"/>
              <w:bottom w:val="single" w:sz="12" w:space="0" w:color="888888"/>
              <w:right w:val="single" w:sz="12" w:space="0" w:color="888888"/>
            </w:tcBorders>
            <w:shd w:val="clear" w:color="auto" w:fill="F7F5F0"/>
          </w:tcPr>
          <w:p>
            <w:pPr>
              <w:spacing w:after="80"/>
            </w:pPr>
            <w:r/>
            <w:r>
              <w:rPr>
                <w:rFonts w:ascii="Arial" w:hAnsi="Arial" w:cs="Arial" w:eastAsia="Arial"/>
                <w:b/>
                <w:i w:val="0"/>
                <w:sz w:val="22"/>
              </w:rPr>
              <w:t>Kill condition 1 — FCC Further Notice of Proposed Rulemaking or substantive spectrum concerns</w:t>
            </w:r>
          </w:p>
          <w:p>
            <w:pPr>
              <w:spacing w:line="288" w:lineRule="auto"/>
            </w:pPr>
            <w:r>
              <w:rPr>
                <w:rFonts w:ascii="Arial" w:hAnsi="Arial" w:cs="Arial" w:eastAsia="Arial"/>
                <w:b w:val="0"/>
                <w:i w:val="0"/>
                <w:sz w:val="20"/>
              </w:rPr>
              <w:t>A Further Notice — or a published FCC order raising specific spectrum-concentration concerns in L-band or S-band — would extend review by 6–12 months and widen spreads materially. Watch for FCC Public Notices, Chairman statements on big-tech spectrum policy, and any unusual length to the comment-reply window. Base-case probability: 8–12%. Spread impact: 300–500 basis points of additional annualised spread required.</w:t>
            </w:r>
          </w:p>
        </w:tc>
      </w:tr>
    </w:tbl>
    <w:p/>
    <w:tbl>
      <w:tblPr>
        <w:tblW w:type="auto" w:w="0"/>
        <w:jc w:val="center"/>
        <w:tblLook w:firstColumn="1" w:firstRow="1" w:lastColumn="0" w:lastRow="0" w:noHBand="0" w:noVBand="1" w:val="04A0"/>
      </w:tblPr>
      <w:tblGrid>
        <w:gridCol w:w="10080"/>
      </w:tblGrid>
      <w:tr>
        <w:tc>
          <w:tcPr>
            <w:tcW w:type="dxa" w:w="10080"/>
            <w:tcBorders>
              <w:top w:val="single" w:sz="12" w:space="0" w:color="888888"/>
              <w:left w:val="single" w:sz="12" w:space="0" w:color="888888"/>
              <w:bottom w:val="single" w:sz="12" w:space="0" w:color="888888"/>
              <w:right w:val="single" w:sz="12" w:space="0" w:color="888888"/>
            </w:tcBorders>
            <w:shd w:val="clear" w:color="auto" w:fill="F7F5F0"/>
          </w:tcPr>
          <w:p>
            <w:pPr>
              <w:spacing w:after="80"/>
            </w:pPr>
            <w:r/>
            <w:r>
              <w:rPr>
                <w:rFonts w:ascii="Arial" w:hAnsi="Arial" w:cs="Arial" w:eastAsia="Arial"/>
                <w:b/>
                <w:i w:val="0"/>
                <w:sz w:val="22"/>
              </w:rPr>
              <w:t>Kill condition 2 — DOJ second request or civil-investigative demand</w:t>
            </w:r>
          </w:p>
          <w:p>
            <w:pPr>
              <w:spacing w:line="288" w:lineRule="auto"/>
            </w:pPr>
            <w:r>
              <w:rPr>
                <w:rFonts w:ascii="Arial" w:hAnsi="Arial" w:cs="Arial" w:eastAsia="Arial"/>
                <w:b w:val="0"/>
                <w:i w:val="0"/>
                <w:sz w:val="20"/>
              </w:rPr>
              <w:t>A DOJ second request in the context of consolidated satellite-broadband infrastructure would extend antitrust review by 20–40 business days minimum and signal substantive concern. Probability is lower than FCC extensions (~3–5%) but the event would trigger a meaningful spread widening and warrant exit for investors at tight entry prices.</w:t>
            </w:r>
          </w:p>
        </w:tc>
      </w:tr>
    </w:tbl>
    <w:p/>
    <w:tbl>
      <w:tblPr>
        <w:tblW w:type="auto" w:w="0"/>
        <w:jc w:val="center"/>
        <w:tblLook w:firstColumn="1" w:firstRow="1" w:lastColumn="0" w:lastRow="0" w:noHBand="0" w:noVBand="1" w:val="04A0"/>
      </w:tblPr>
      <w:tblGrid>
        <w:gridCol w:w="10080"/>
      </w:tblGrid>
      <w:tr>
        <w:tc>
          <w:tcPr>
            <w:tcW w:type="dxa" w:w="10080"/>
            <w:tcBorders>
              <w:top w:val="single" w:sz="12" w:space="0" w:color="888888"/>
              <w:left w:val="single" w:sz="12" w:space="0" w:color="888888"/>
              <w:bottom w:val="single" w:sz="12" w:space="0" w:color="888888"/>
              <w:right w:val="single" w:sz="12" w:space="0" w:color="888888"/>
            </w:tcBorders>
            <w:shd w:val="clear" w:color="auto" w:fill="F7F5F0"/>
          </w:tcPr>
          <w:p>
            <w:pPr>
              <w:spacing w:after="80"/>
            </w:pPr>
            <w:r/>
            <w:r>
              <w:rPr>
                <w:rFonts w:ascii="Arial" w:hAnsi="Arial" w:cs="Arial" w:eastAsia="Arial"/>
                <w:b/>
                <w:i w:val="0"/>
                <w:sz w:val="22"/>
              </w:rPr>
              <w:t>Kill condition 3 — HIBLEO-4 milestone failure</w:t>
            </w:r>
          </w:p>
          <w:p>
            <w:pPr>
              <w:spacing w:line="288" w:lineRule="auto"/>
            </w:pPr>
            <w:r>
              <w:rPr>
                <w:rFonts w:ascii="Arial" w:hAnsi="Arial" w:cs="Arial" w:eastAsia="Arial"/>
                <w:b w:val="0"/>
                <w:i w:val="0"/>
                <w:sz w:val="20"/>
              </w:rPr>
              <w:t>A disclosed material delay in HIBLEO-4 satellite deliveries or launch cadence would trigger the consideration-reduction mechanism and, if severe, could enable termination without penalty. Monitor quarterly earnings calls for MDA Space and SpaceX commentary; any negative surprise is the single operational tail event in the file. Probability of material miss: 5–8%.</w:t>
            </w:r>
          </w:p>
        </w:tc>
      </w:tr>
    </w:tbl>
    <w:p/>
    <w:tbl>
      <w:tblPr>
        <w:tblW w:type="auto" w:w="0"/>
        <w:jc w:val="center"/>
        <w:tblLook w:firstColumn="1" w:firstRow="1" w:lastColumn="0" w:lastRow="0" w:noHBand="0" w:noVBand="1" w:val="04A0"/>
      </w:tblPr>
      <w:tblGrid>
        <w:gridCol w:w="10080"/>
      </w:tblGrid>
      <w:tr>
        <w:tc>
          <w:tcPr>
            <w:tcW w:type="dxa" w:w="10080"/>
            <w:tcBorders>
              <w:top w:val="single" w:sz="12" w:space="0" w:color="888888"/>
              <w:left w:val="single" w:sz="12" w:space="0" w:color="888888"/>
              <w:bottom w:val="single" w:sz="12" w:space="0" w:color="888888"/>
              <w:right w:val="single" w:sz="12" w:space="0" w:color="888888"/>
            </w:tcBorders>
            <w:shd w:val="clear" w:color="auto" w:fill="F7F5F0"/>
          </w:tcPr>
          <w:p>
            <w:pPr>
              <w:spacing w:after="80"/>
            </w:pPr>
            <w:r/>
            <w:r>
              <w:rPr>
                <w:rFonts w:ascii="Arial" w:hAnsi="Arial" w:cs="Arial" w:eastAsia="Arial"/>
                <w:b/>
                <w:i w:val="0"/>
                <w:sz w:val="22"/>
              </w:rPr>
              <w:t>Kill condition 4 — Amazon strategic reversal or budget cut on satellite</w:t>
            </w:r>
          </w:p>
          <w:p>
            <w:pPr>
              <w:spacing w:line="288" w:lineRule="auto"/>
            </w:pPr>
            <w:r>
              <w:rPr>
                <w:rFonts w:ascii="Arial" w:hAnsi="Arial" w:cs="Arial" w:eastAsia="Arial"/>
                <w:b w:val="0"/>
                <w:i w:val="0"/>
                <w:sz w:val="20"/>
              </w:rPr>
              <w:t>Amazon has repeatedly reassessed its satellite-broadband strategy. A hypothetical future commitment reduction, budget cut, or leadership change could alter deal risk-appetite. This is a low-probability but non-zero tail event (probability ~2%); it would most likely manifest as a consideration renegotiation rather than an outright termination.</w:t>
            </w:r>
          </w:p>
        </w:tc>
      </w:tr>
    </w:tbl>
    <w:p/>
    <w:p>
      <w:pPr>
        <w:spacing w:after="80" w:before="0" w:line="276" w:lineRule="auto"/>
        <w:jc w:val="left"/>
      </w:pPr>
      <w:r>
        <w:rPr>
          <w:rFonts w:ascii="Arial" w:hAnsi="Arial" w:cs="Arial" w:eastAsia="Arial"/>
          <w:b/>
          <w:i w:val="0"/>
          <w:sz w:val="22"/>
        </w:rPr>
        <w:t>What would change my mind:</w:t>
      </w:r>
    </w:p>
    <w:p>
      <w:pPr>
        <w:pStyle w:val="ListBullet"/>
        <w:spacing w:after="40" w:line="276" w:lineRule="auto"/>
      </w:pPr>
      <w:r>
        <w:rPr>
          <w:rFonts w:ascii="Arial" w:hAnsi="Arial" w:cs="Arial" w:eastAsia="Arial"/>
          <w:b w:val="0"/>
          <w:i w:val="0"/>
          <w:sz w:val="22"/>
        </w:rPr>
        <w:t>FCC preliminary approval or positive Chairman statement on the deal — would compress the spread 200–300bps and warrant sizing up.</w:t>
      </w:r>
    </w:p>
    <w:p>
      <w:pPr>
        <w:pStyle w:val="ListBullet"/>
        <w:spacing w:after="40" w:line="276" w:lineRule="auto"/>
      </w:pPr>
      <w:r>
        <w:rPr>
          <w:rFonts w:ascii="Arial" w:hAnsi="Arial" w:cs="Arial" w:eastAsia="Arial"/>
          <w:b w:val="0"/>
          <w:i w:val="0"/>
          <w:sz w:val="22"/>
        </w:rPr>
        <w:t>Disclosed HIBLEO-4 launch cadence materially ahead of plan — would reduce closing-condition tail and increase conviction.</w:t>
      </w:r>
    </w:p>
    <w:p>
      <w:pPr>
        <w:pStyle w:val="ListBullet"/>
        <w:spacing w:after="40" w:line="276" w:lineRule="auto"/>
      </w:pPr>
      <w:r>
        <w:rPr>
          <w:rFonts w:ascii="Arial" w:hAnsi="Arial" w:cs="Arial" w:eastAsia="Arial"/>
          <w:b w:val="0"/>
          <w:i w:val="0"/>
          <w:sz w:val="22"/>
        </w:rPr>
        <w:t>DOJ explicit clearance letter — would eliminate the single largest antitrust uncertainty in the file.</w:t>
      </w:r>
    </w:p>
    <w:p>
      <w:pPr>
        <w:pStyle w:val="ListBullet"/>
        <w:spacing w:after="40" w:line="276" w:lineRule="auto"/>
      </w:pPr>
      <w:r>
        <w:rPr>
          <w:rFonts w:ascii="Arial" w:hAnsi="Arial" w:cs="Arial" w:eastAsia="Arial"/>
          <w:b w:val="0"/>
          <w:i w:val="0"/>
          <w:sz w:val="22"/>
        </w:rPr>
        <w:t>Material revision downward to Amazon Leo deployment budget — would raise deal-risk-appetite concerns even absent a formal termination.</w:t>
      </w:r>
    </w:p>
    <w:p>
      <w:pPr>
        <w:pStyle w:val="ListBullet"/>
        <w:spacing w:after="40" w:line="276" w:lineRule="auto"/>
      </w:pPr>
      <w:r>
        <w:rPr>
          <w:rFonts w:ascii="Arial" w:hAnsi="Arial" w:cs="Arial" w:eastAsia="Arial"/>
          <w:b w:val="0"/>
          <w:i w:val="0"/>
          <w:sz w:val="22"/>
        </w:rPr>
        <w:t>Starlink or a third party formally opposing the deal with substantive (not boilerplate) arguments — would extend regulatory review and widen spread.</w:t>
      </w:r>
    </w:p>
    <w:p>
      <w:pPr>
        <w:keepNext/>
        <w:spacing w:before="200" w:after="120" w:line="276" w:lineRule="auto"/>
      </w:pPr>
      <w:r>
        <w:rPr>
          <w:rFonts w:ascii="Arial" w:hAnsi="Arial" w:cs="Arial" w:eastAsia="Arial"/>
          <w:b/>
          <w:i w:val="0"/>
          <w:sz w:val="26"/>
        </w:rPr>
        <w:t>A.9  Positioning</w:t>
      </w:r>
    </w:p>
    <w:p>
      <w:pPr>
        <w:spacing w:after="120" w:before="0" w:line="276" w:lineRule="auto"/>
        <w:jc w:val="both"/>
      </w:pPr>
      <w:r>
        <w:rPr>
          <w:rFonts w:ascii="Arial" w:hAnsi="Arial" w:cs="Arial" w:eastAsia="Arial"/>
          <w:b w:val="0"/>
          <w:i w:val="0"/>
          <w:sz w:val="22"/>
        </w:rPr>
        <w:t>Positioning is specialist. The trade is suitable for dedicated merger-arbitrage books, long-dated event-driven strategies, and sector funds with the infrastructure to run multi-leg hedged exposure. It is not suitable for generalist public-equity funds that cannot hedge AMZN exposure cleanly or for cash-sleeve portfolios without a dedicated arb mandate. The $81 entry price offers a reasonable risk-adjusted return in isolation; the integration into a portfolio depends heavily on the availability of financing, hedging tools, and the opportunity cost of capital over an 18-month horizon.</w:t>
      </w:r>
    </w:p>
    <w:p>
      <w:pPr>
        <w:spacing w:after="120" w:before="0" w:line="276" w:lineRule="auto"/>
        <w:jc w:val="both"/>
      </w:pPr>
      <w:r>
        <w:rPr>
          <w:rFonts w:ascii="Arial" w:hAnsi="Arial" w:cs="Arial" w:eastAsia="Arial"/>
          <w:b w:val="0"/>
          <w:i w:val="0"/>
          <w:sz w:val="22"/>
        </w:rPr>
        <w:t>The base trade is long GSAT. Size 0.5–1.0% of gross for diversified books; 1.5–3.0% for dedicated arb sleeves. The hedged trade adds a selective short AMZN position sized at approximately 20% of the GSAT exposure (reflecting the 60% stock-leg weighting scaled for the cap sensitivity) — this hedges most of the meaningful AMZN downside while retaining the cash-cap upside. The options expression — a modest long call-spread on GSAT funded by a short put-spread — is possible but delivers marginal incremental expected return over the cash position and is not recommended as a primary vehicle.</w:t>
      </w:r>
    </w:p>
    <w:p>
      <w:pPr>
        <w:spacing w:after="80" w:before="0" w:line="276" w:lineRule="auto"/>
        <w:jc w:val="left"/>
      </w:pPr>
      <w:r>
        <w:rPr>
          <w:rFonts w:ascii="Arial" w:hAnsi="Arial" w:cs="Arial" w:eastAsia="Arial"/>
          <w:b/>
          <w:i w:val="0"/>
          <w:sz w:val="22"/>
        </w:rPr>
        <w:t>Trade expressions:</w:t>
      </w:r>
    </w:p>
    <w:p>
      <w:pPr>
        <w:pStyle w:val="ListBullet"/>
        <w:spacing w:after="40" w:line="276" w:lineRule="auto"/>
      </w:pPr>
      <w:r>
        <w:rPr>
          <w:rFonts w:ascii="Arial" w:hAnsi="Arial" w:cs="Arial" w:eastAsia="Arial"/>
          <w:b w:val="0"/>
          <w:i w:val="0"/>
          <w:sz w:val="22"/>
        </w:rPr>
        <w:t>Primary: Long equity. Buy GSAT at $81.00 or lower. Size 0.5–1.0% of gross for generalist books; 1.5–3.0% for dedicated merger-arb sleeves.</w:t>
      </w:r>
    </w:p>
    <w:p>
      <w:pPr>
        <w:pStyle w:val="ListBullet"/>
        <w:spacing w:after="40" w:line="276" w:lineRule="auto"/>
      </w:pPr>
      <w:r>
        <w:rPr>
          <w:rFonts w:ascii="Arial" w:hAnsi="Arial" w:cs="Arial" w:eastAsia="Arial"/>
          <w:b w:val="0"/>
          <w:i w:val="0"/>
          <w:sz w:val="22"/>
        </w:rPr>
        <w:t>Hedged: Long GSAT against short-AMZN delta sized at approximately 0.321 × 0.60 (stock-leg weighting) × GSAT position notional. Recalibrate monthly as AMZN moves.</w:t>
      </w:r>
    </w:p>
    <w:p>
      <w:pPr>
        <w:pStyle w:val="ListBullet"/>
        <w:spacing w:after="40" w:line="276" w:lineRule="auto"/>
      </w:pPr>
      <w:r>
        <w:rPr>
          <w:rFonts w:ascii="Arial" w:hAnsi="Arial" w:cs="Arial" w:eastAsia="Arial"/>
          <w:b w:val="0"/>
          <w:i w:val="0"/>
          <w:sz w:val="22"/>
        </w:rPr>
        <w:t>Tactical: Build incrementally on spread widening to 13%+ tied to routine regulatory milestones. Do not sell into spread compression below 9% absent a specific negative catalyst.</w:t>
      </w:r>
    </w:p>
    <w:p>
      <w:pPr>
        <w:pStyle w:val="ListBullet"/>
        <w:spacing w:after="40" w:line="276" w:lineRule="auto"/>
      </w:pPr>
      <w:r>
        <w:rPr>
          <w:rFonts w:ascii="Arial" w:hAnsi="Arial" w:cs="Arial" w:eastAsia="Arial"/>
          <w:b w:val="0"/>
          <w:i w:val="0"/>
          <w:sz w:val="22"/>
        </w:rPr>
        <w:t>Alternative: Sell puts at $70 strike to monetise the break scenario while keeping dry powder; only for sophisticated investors with appropriate risk budgets.</w:t>
      </w:r>
    </w:p>
    <w:p>
      <w:pPr>
        <w:spacing w:after="80" w:before="0" w:line="276" w:lineRule="auto"/>
        <w:jc w:val="left"/>
      </w:pPr>
      <w:r>
        <w:rPr>
          <w:rFonts w:ascii="Arial" w:hAnsi="Arial" w:cs="Arial" w:eastAsia="Arial"/>
          <w:b/>
          <w:i w:val="0"/>
          <w:sz w:val="22"/>
        </w:rPr>
        <w:t>What to avoid:</w:t>
      </w:r>
    </w:p>
    <w:p>
      <w:pPr>
        <w:pStyle w:val="ListBullet"/>
        <w:spacing w:after="40" w:line="276" w:lineRule="auto"/>
      </w:pPr>
      <w:r>
        <w:rPr>
          <w:rFonts w:ascii="Arial" w:hAnsi="Arial" w:cs="Arial" w:eastAsia="Arial"/>
          <w:b w:val="0"/>
          <w:i w:val="0"/>
          <w:sz w:val="22"/>
        </w:rPr>
        <w:t>Do not run this trade unhedged against AMZN if the position is &gt;1% of gross and your mandate allows shorts.</w:t>
      </w:r>
    </w:p>
    <w:p>
      <w:pPr>
        <w:pStyle w:val="ListBullet"/>
        <w:spacing w:after="40" w:line="276" w:lineRule="auto"/>
      </w:pPr>
      <w:r>
        <w:rPr>
          <w:rFonts w:ascii="Arial" w:hAnsi="Arial" w:cs="Arial" w:eastAsia="Arial"/>
          <w:b w:val="0"/>
          <w:i w:val="0"/>
          <w:sz w:val="22"/>
        </w:rPr>
        <w:t>Do not size the position based on the $90 cash cap alone — the 40% cash proration means effective consideration at close is a blended figure.</w:t>
      </w:r>
    </w:p>
    <w:p>
      <w:pPr>
        <w:pStyle w:val="ListBullet"/>
        <w:spacing w:after="40" w:line="276" w:lineRule="auto"/>
      </w:pPr>
      <w:r>
        <w:rPr>
          <w:rFonts w:ascii="Arial" w:hAnsi="Arial" w:cs="Arial" w:eastAsia="Arial"/>
          <w:b w:val="0"/>
          <w:i w:val="0"/>
          <w:sz w:val="22"/>
        </w:rPr>
        <w:t>Do not ignore the HIBLEO-4 closing condition in modelling break scenarios; it is a first-order tail.</w:t>
      </w:r>
    </w:p>
    <w:p>
      <w:pPr>
        <w:pStyle w:val="ListBullet"/>
        <w:spacing w:after="40" w:line="276" w:lineRule="auto"/>
      </w:pPr>
      <w:r>
        <w:rPr>
          <w:rFonts w:ascii="Arial" w:hAnsi="Arial" w:cs="Arial" w:eastAsia="Arial"/>
          <w:b w:val="0"/>
          <w:i w:val="0"/>
          <w:sz w:val="22"/>
        </w:rPr>
        <w:t>Do not buy short-dated call options hoping for a rapid spread collapse; edge decay is too slow to support that structure.</w:t>
      </w:r>
    </w:p>
    <w:p>
      <w:pPr>
        <w:spacing w:after="80" w:before="0" w:line="276" w:lineRule="auto"/>
        <w:jc w:val="left"/>
      </w:pPr>
      <w:r>
        <w:rPr>
          <w:rFonts w:ascii="Arial" w:hAnsi="Arial" w:cs="Arial" w:eastAsia="Arial"/>
          <w:b/>
          <w:i w:val="0"/>
          <w:sz w:val="22"/>
        </w:rPr>
        <w:t>Sizing framework:</w:t>
      </w:r>
    </w:p>
    <w:p>
      <w:pPr>
        <w:pStyle w:val="ListBullet"/>
        <w:spacing w:after="40" w:line="276" w:lineRule="auto"/>
      </w:pPr>
      <w:r>
        <w:rPr>
          <w:rFonts w:ascii="Arial" w:hAnsi="Arial" w:cs="Arial" w:eastAsia="Arial"/>
          <w:b w:val="0"/>
          <w:i w:val="0"/>
          <w:sz w:val="22"/>
        </w:rPr>
        <w:t>Generalist book: 0.5–1.0% of gross; strict hedge on AMZN leg required.</w:t>
      </w:r>
    </w:p>
    <w:p>
      <w:pPr>
        <w:pStyle w:val="ListBullet"/>
        <w:spacing w:after="40" w:line="276" w:lineRule="auto"/>
      </w:pPr>
      <w:r>
        <w:rPr>
          <w:rFonts w:ascii="Arial" w:hAnsi="Arial" w:cs="Arial" w:eastAsia="Arial"/>
          <w:b w:val="0"/>
          <w:i w:val="0"/>
          <w:sz w:val="22"/>
        </w:rPr>
        <w:t>Dedicated merger-arb sleeve: 1.5–3.0% of gross; hedged or unhedged depending on AMZN outlook.</w:t>
      </w:r>
    </w:p>
    <w:p>
      <w:pPr>
        <w:pStyle w:val="ListBullet"/>
        <w:spacing w:after="40" w:line="276" w:lineRule="auto"/>
      </w:pPr>
      <w:r>
        <w:rPr>
          <w:rFonts w:ascii="Arial" w:hAnsi="Arial" w:cs="Arial" w:eastAsia="Arial"/>
          <w:b w:val="0"/>
          <w:i w:val="0"/>
          <w:sz w:val="22"/>
        </w:rPr>
        <w:t>Cap single-deal drawdown contribution at 0.75% of NAV in break-scenario stress (stock at $55).</w:t>
      </w:r>
    </w:p>
    <w:p>
      <w:pPr>
        <w:pStyle w:val="ListBullet"/>
        <w:spacing w:after="40" w:line="276" w:lineRule="auto"/>
      </w:pPr>
      <w:r>
        <w:rPr>
          <w:rFonts w:ascii="Arial" w:hAnsi="Arial" w:cs="Arial" w:eastAsia="Arial"/>
          <w:b w:val="0"/>
          <w:i w:val="0"/>
          <w:sz w:val="22"/>
        </w:rPr>
        <w:t>Reassess sizing quarterly with each FCC milestone and HIBLEO-4 earnings disclosure.</w:t>
      </w:r>
    </w:p>
    <w:p>
      <w:pPr>
        <w:keepNext/>
        <w:spacing w:before="200" w:after="120" w:line="276" w:lineRule="auto"/>
      </w:pPr>
      <w:r>
        <w:rPr>
          <w:rFonts w:ascii="Arial" w:hAnsi="Arial" w:cs="Arial" w:eastAsia="Arial"/>
          <w:b/>
          <w:i w:val="0"/>
          <w:sz w:val="26"/>
        </w:rPr>
        <w:t>A.10  Catalyst Calendar</w:t>
      </w:r>
    </w:p>
    <w:tbl>
      <w:tblPr>
        <w:tblW w:type="auto" w:w="0"/>
        <w:jc w:val="center"/>
        <w:tblLayout w:type="fixed"/>
        <w:tblLook w:firstColumn="1" w:firstRow="1" w:lastColumn="0" w:lastRow="0" w:noHBand="0" w:noVBand="1" w:val="04A0"/>
      </w:tblPr>
      <w:tblGrid>
        <w:gridCol w:w="3360"/>
        <w:gridCol w:w="3360"/>
        <w:gridCol w:w="3360"/>
      </w:tblGrid>
      <w:tr>
        <w:tc>
          <w:tcPr>
            <w:tcW w:type="dxa" w:w="1872"/>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Date</w:t>
            </w:r>
          </w:p>
        </w:tc>
        <w:tc>
          <w:tcPr>
            <w:tcW w:type="dxa" w:w="3312"/>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Event</w:t>
            </w:r>
          </w:p>
        </w:tc>
        <w:tc>
          <w:tcPr>
            <w:tcW w:type="dxa" w:w="4752"/>
            <w:shd w:val="clear" w:color="auto" w:fill="DCDCDC"/>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i w:val="0"/>
                <w:sz w:val="20"/>
              </w:rPr>
              <w:t>What to Watch</w:t>
            </w:r>
          </w:p>
        </w:tc>
      </w:tr>
      <w:tr>
        <w:tc>
          <w:tcPr>
            <w:tcW w:type="dxa" w:w="187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14 Apr 2026</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8-K filing, press release, written-consent disclosure</w:t>
            </w:r>
          </w:p>
        </w:tc>
        <w:tc>
          <w:tcPr>
            <w:tcW w:type="dxa" w:w="475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Initial price action, volume profile, consent shareholder identity</w:t>
            </w:r>
          </w:p>
        </w:tc>
      </w:tr>
      <w:tr>
        <w:tc>
          <w:tcPr>
            <w:tcW w:type="dxa" w:w="187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By ~4 May 2026</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Initial HSR filing; FCC Public Notice expected within weeks</w:t>
            </w:r>
          </w:p>
        </w:tc>
        <w:tc>
          <w:tcPr>
            <w:tcW w:type="dxa" w:w="475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HSR early termination requests; FCC public-comment window opens</w:t>
            </w:r>
          </w:p>
        </w:tc>
      </w:tr>
      <w:tr>
        <w:tc>
          <w:tcPr>
            <w:tcW w:type="dxa" w:w="187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Q2 2026</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First post-deal earnings (GSAT)</w:t>
            </w:r>
          </w:p>
        </w:tc>
        <w:tc>
          <w:tcPr>
            <w:tcW w:type="dxa" w:w="475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HIBLEO-4 launch cadence disclosure; any MDA/SpaceX schedule changes</w:t>
            </w:r>
          </w:p>
        </w:tc>
      </w:tr>
      <w:tr>
        <w:tc>
          <w:tcPr>
            <w:tcW w:type="dxa" w:w="187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Q3 2026</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FCC public-comment period + any DOJ CID activity</w:t>
            </w:r>
          </w:p>
        </w:tc>
        <w:tc>
          <w:tcPr>
            <w:tcW w:type="dxa" w:w="475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Volume and substance of objections; Starlink comments; DOJ second-request risk</w:t>
            </w:r>
          </w:p>
        </w:tc>
      </w:tr>
      <w:tr>
        <w:tc>
          <w:tcPr>
            <w:tcW w:type="dxa" w:w="187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Q4 2026</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Ongoing FCC review; mid-process milestones</w:t>
            </w:r>
          </w:p>
        </w:tc>
        <w:tc>
          <w:tcPr>
            <w:tcW w:type="dxa" w:w="475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Amazon Leo July-2026 FCC milestone spillover; any FCC staff statements</w:t>
            </w:r>
          </w:p>
        </w:tc>
      </w:tr>
      <w:tr>
        <w:tc>
          <w:tcPr>
            <w:tcW w:type="dxa" w:w="187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H1 2027</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Expected FCC clearance window</w:t>
            </w:r>
          </w:p>
        </w:tc>
        <w:tc>
          <w:tcPr>
            <w:tcW w:type="dxa" w:w="475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Preliminary decision or Further Notice; base case late Q2 2027</w:t>
            </w:r>
          </w:p>
        </w:tc>
      </w:tr>
      <w:tr>
        <w:tc>
          <w:tcPr>
            <w:tcW w:type="dxa" w:w="187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Mid-to-late 2027</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Targeted close</w:t>
            </w:r>
          </w:p>
        </w:tc>
        <w:tc>
          <w:tcPr>
            <w:tcW w:type="dxa" w:w="475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Election window, proration mechanics, closing payment; consideration sensitivity to AMZN at close</w:t>
            </w:r>
          </w:p>
        </w:tc>
      </w:tr>
      <w:tr>
        <w:tc>
          <w:tcPr>
            <w:tcW w:type="dxa" w:w="187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Apr / Oct 2027 / Apr 2028</w:t>
            </w:r>
          </w:p>
        </w:tc>
        <w:tc>
          <w:tcPr>
            <w:tcW w:type="dxa" w:w="331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Termination windows per merger agreement</w:t>
            </w:r>
          </w:p>
        </w:tc>
        <w:tc>
          <w:tcPr>
            <w:tcW w:type="dxa" w:w="4752"/>
            <w:tcBorders>
              <w:top w:val="single" w:sz="4" w:space="0" w:color="888888"/>
              <w:left w:val="single" w:sz="4" w:space="0" w:color="888888"/>
              <w:bottom w:val="single" w:sz="4" w:space="0" w:color="888888"/>
              <w:right w:val="single" w:sz="4" w:space="0" w:color="888888"/>
            </w:tcBorders>
            <w:vAlign w:val="center"/>
          </w:tcPr>
          <w:p>
            <w:pPr>
              <w:spacing w:after="40" w:line="264" w:lineRule="auto"/>
            </w:pPr>
            <w:r/>
            <w:r>
              <w:rPr>
                <w:rFonts w:ascii="Arial" w:hAnsi="Arial" w:cs="Arial" w:eastAsia="Arial"/>
                <w:b w:val="0"/>
                <w:i w:val="0"/>
                <w:sz w:val="20"/>
              </w:rPr>
              <w:t>Extension triggers tied to HIBLEO-4 milestones and regulatory clearance</w:t>
            </w:r>
          </w:p>
        </w:tc>
      </w:tr>
    </w:tbl>
    <w:p/>
    <w:p>
      <w:pPr>
        <w:keepNext/>
        <w:spacing w:before="200" w:after="120" w:line="276" w:lineRule="auto"/>
      </w:pPr>
      <w:r>
        <w:rPr>
          <w:rFonts w:ascii="Arial" w:hAnsi="Arial" w:cs="Arial" w:eastAsia="Arial"/>
          <w:b/>
          <w:i w:val="0"/>
          <w:sz w:val="26"/>
        </w:rPr>
        <w:t>A.11  Verdict</w:t>
      </w:r>
    </w:p>
    <w:tbl>
      <w:tblPr>
        <w:tblW w:type="auto" w:w="0"/>
        <w:jc w:val="center"/>
        <w:tblLook w:firstColumn="1" w:firstRow="1" w:lastColumn="0" w:lastRow="0" w:noHBand="0" w:noVBand="1" w:val="04A0"/>
      </w:tblPr>
      <w:tblGrid>
        <w:gridCol w:w="10080"/>
      </w:tblGrid>
      <w:tr>
        <w:tc>
          <w:tcPr>
            <w:tcW w:type="dxa" w:w="10080"/>
            <w:tcBorders>
              <w:top w:val="single" w:sz="12" w:space="0" w:color="888888"/>
              <w:left w:val="single" w:sz="12" w:space="0" w:color="888888"/>
              <w:bottom w:val="single" w:sz="12" w:space="0" w:color="888888"/>
              <w:right w:val="single" w:sz="12" w:space="0" w:color="888888"/>
            </w:tcBorders>
            <w:shd w:val="clear" w:color="auto" w:fill="F7F5F0"/>
          </w:tcPr>
          <w:p>
            <w:pPr>
              <w:spacing w:after="80"/>
            </w:pPr>
            <w:r/>
            <w:r>
              <w:rPr>
                <w:rFonts w:ascii="Arial" w:hAnsi="Arial" w:cs="Arial" w:eastAsia="Arial"/>
                <w:b/>
                <w:i w:val="0"/>
                <w:sz w:val="22"/>
              </w:rPr>
              <w:t>Watchlist — specialist, hedged, long-dated. Score 25.5 / 42.5.</w:t>
            </w:r>
          </w:p>
          <w:p>
            <w:pPr>
              <w:spacing w:line="288" w:lineRule="auto"/>
            </w:pPr>
            <w:r>
              <w:rPr>
                <w:rFonts w:ascii="Arial" w:hAnsi="Arial" w:cs="Arial" w:eastAsia="Arial"/>
                <w:b w:val="0"/>
                <w:i w:val="0"/>
                <w:sz w:val="20"/>
              </w:rPr>
              <w:t>The GSAT/Amazon transaction is structurally sound but long-dated and multi-jurisdictional. The 11.1% gross spread is fairly priced for a 15–18 month close with the specific regulatory and operational tail risks identified. Expected annualised return of approximately 7.4% clears hurdle rates for specialist arbitrage books but not for generalist portfolios. The written-consent structure removes shareholder vote risk, which is a meaningful structural positive; the HIBLEO-4 closing-condition language is the corresponding structural negative and warrants primary-source verification before material sizing. Position tactically, hedge the AMZN leg, and upgrade to active candidate only on FCC preliminary clearance or HIBLEO-4 milestone confirmation.</w:t>
            </w:r>
          </w:p>
        </w:tc>
      </w:tr>
    </w:tbl>
    <w:p/>
    <w:p>
      <w:pPr>
        <w:spacing w:after="80" w:before="0" w:line="276" w:lineRule="auto"/>
        <w:jc w:val="left"/>
      </w:pPr>
      <w:r>
        <w:rPr>
          <w:rFonts w:ascii="Arial" w:hAnsi="Arial" w:cs="Arial" w:eastAsia="Arial"/>
          <w:b/>
          <w:i w:val="0"/>
          <w:sz w:val="22"/>
        </w:rPr>
        <w:t>What this thesis does NOT claim:</w:t>
      </w:r>
    </w:p>
    <w:p>
      <w:pPr>
        <w:pStyle w:val="ListBullet"/>
        <w:spacing w:after="40" w:line="276" w:lineRule="auto"/>
      </w:pPr>
      <w:r>
        <w:rPr>
          <w:rFonts w:ascii="Arial" w:hAnsi="Arial" w:cs="Arial" w:eastAsia="Arial"/>
          <w:b w:val="0"/>
          <w:i w:val="0"/>
          <w:sz w:val="22"/>
        </w:rPr>
        <w:t>This is not a claim that Amazon will fail to close — base-case completion probability remains ~85–88%.</w:t>
      </w:r>
    </w:p>
    <w:p>
      <w:pPr>
        <w:pStyle w:val="ListBullet"/>
        <w:spacing w:after="40" w:line="276" w:lineRule="auto"/>
      </w:pPr>
      <w:r>
        <w:rPr>
          <w:rFonts w:ascii="Arial" w:hAnsi="Arial" w:cs="Arial" w:eastAsia="Arial"/>
          <w:b w:val="0"/>
          <w:i w:val="0"/>
          <w:sz w:val="22"/>
        </w:rPr>
        <w:t>This is not a claim that a topping bid is credible — the majority written consent has effectively closed that door.</w:t>
      </w:r>
    </w:p>
    <w:p>
      <w:pPr>
        <w:pStyle w:val="ListBullet"/>
        <w:spacing w:after="40" w:line="276" w:lineRule="auto"/>
      </w:pPr>
      <w:r>
        <w:rPr>
          <w:rFonts w:ascii="Arial" w:hAnsi="Arial" w:cs="Arial" w:eastAsia="Arial"/>
          <w:b w:val="0"/>
          <w:i w:val="0"/>
          <w:sz w:val="22"/>
        </w:rPr>
        <w:t>This is not a claim that Apple will oppose the deal — parallel agreements suggest active alignment rather than opposition.</w:t>
      </w:r>
    </w:p>
    <w:p>
      <w:pPr>
        <w:pStyle w:val="ListBullet"/>
        <w:spacing w:after="40" w:line="276" w:lineRule="auto"/>
      </w:pPr>
      <w:r>
        <w:rPr>
          <w:rFonts w:ascii="Arial" w:hAnsi="Arial" w:cs="Arial" w:eastAsia="Arial"/>
          <w:b w:val="0"/>
          <w:i w:val="0"/>
          <w:sz w:val="22"/>
        </w:rPr>
        <w:t>This is not a claim that the annualised return is alpha-generating — it is fair compensation for risk, not mispriced.</w:t>
      </w:r>
    </w:p>
    <w:p>
      <w:pPr>
        <w:pStyle w:val="ListBullet"/>
        <w:spacing w:after="40" w:line="276" w:lineRule="auto"/>
      </w:pPr>
      <w:r>
        <w:rPr>
          <w:rFonts w:ascii="Arial" w:hAnsi="Arial" w:cs="Arial" w:eastAsia="Arial"/>
          <w:b w:val="0"/>
          <w:i w:val="0"/>
          <w:sz w:val="22"/>
        </w:rPr>
        <w:t>This is not a recommendation to run the position unhedged against AMZN at sizes above 1% of gross.</w:t>
      </w:r>
    </w:p>
    <w:p>
      <w:pPr>
        <w:spacing w:after="80" w:before="0" w:line="276" w:lineRule="auto"/>
        <w:jc w:val="left"/>
      </w:pPr>
      <w:r>
        <w:rPr>
          <w:rFonts w:ascii="Arial" w:hAnsi="Arial" w:cs="Arial" w:eastAsia="Arial"/>
          <w:b/>
          <w:i w:val="0"/>
          <w:sz w:val="22"/>
        </w:rPr>
        <w:t>What this thesis DOES claim:</w:t>
      </w:r>
    </w:p>
    <w:p>
      <w:pPr>
        <w:pStyle w:val="ListBullet"/>
        <w:spacing w:after="40" w:line="276" w:lineRule="auto"/>
      </w:pPr>
      <w:r>
        <w:rPr>
          <w:rFonts w:ascii="Arial" w:hAnsi="Arial" w:cs="Arial" w:eastAsia="Arial"/>
          <w:b w:val="0"/>
          <w:i w:val="0"/>
          <w:sz w:val="22"/>
        </w:rPr>
        <w:t>The structural benefits (written consent, Apple support, Amazon balance-sheet certainty) materially reduce certain tail risks relative to typical large-cap M&amp;A.</w:t>
      </w:r>
    </w:p>
    <w:p>
      <w:pPr>
        <w:pStyle w:val="ListBullet"/>
        <w:spacing w:after="40" w:line="276" w:lineRule="auto"/>
      </w:pPr>
      <w:r>
        <w:rPr>
          <w:rFonts w:ascii="Arial" w:hAnsi="Arial" w:cs="Arial" w:eastAsia="Arial"/>
          <w:b w:val="0"/>
          <w:i w:val="0"/>
          <w:sz w:val="22"/>
        </w:rPr>
        <w:t>The structural risks (FCC/DOJ path, HIBLEO-4 closing condition, AMZN stock-leg exposure) materially increase other tail risks relative to cash-only deals of similar size.</w:t>
      </w:r>
    </w:p>
    <w:p>
      <w:pPr>
        <w:pStyle w:val="ListBullet"/>
        <w:spacing w:after="40" w:line="276" w:lineRule="auto"/>
      </w:pPr>
      <w:r>
        <w:rPr>
          <w:rFonts w:ascii="Arial" w:hAnsi="Arial" w:cs="Arial" w:eastAsia="Arial"/>
          <w:b w:val="0"/>
          <w:i w:val="0"/>
          <w:sz w:val="22"/>
        </w:rPr>
        <w:t>The 11.1% gross spread / ~7.4% annualised return is approximately fair value for the risk profile — neither a screaming buy nor an obvious avoid.</w:t>
      </w:r>
    </w:p>
    <w:p>
      <w:pPr>
        <w:pStyle w:val="ListBullet"/>
        <w:spacing w:after="40" w:line="276" w:lineRule="auto"/>
      </w:pPr>
      <w:r>
        <w:rPr>
          <w:rFonts w:ascii="Arial" w:hAnsi="Arial" w:cs="Arial" w:eastAsia="Arial"/>
          <w:b w:val="0"/>
          <w:i w:val="0"/>
          <w:sz w:val="22"/>
        </w:rPr>
        <w:t>Hedging the AMZN leg is essential for positions above 1% of gross and advisable at any size.</w:t>
      </w:r>
    </w:p>
    <w:p>
      <w:pPr>
        <w:pStyle w:val="ListBullet"/>
        <w:spacing w:after="40" w:line="276" w:lineRule="auto"/>
      </w:pPr>
      <w:r>
        <w:rPr>
          <w:rFonts w:ascii="Arial" w:hAnsi="Arial" w:cs="Arial" w:eastAsia="Arial"/>
          <w:b w:val="0"/>
          <w:i w:val="0"/>
          <w:sz w:val="22"/>
        </w:rPr>
        <w:t>Upgrade triggers are specific: FCC preliminary clearance, HIBLEO-4 milestone confirmation, or material spread widening on non-fundamental headlines.</w:t>
      </w:r>
    </w:p>
    <w:p>
      <w:pPr>
        <w:spacing w:after="120" w:before="0" w:line="276" w:lineRule="auto"/>
        <w:jc w:val="left"/>
      </w:pPr>
      <w:r>
        <w:rPr>
          <w:rFonts w:ascii="Arial" w:hAnsi="Arial" w:cs="Arial" w:eastAsia="Arial"/>
          <w:b w:val="0"/>
          <w:i/>
          <w:sz w:val="20"/>
        </w:rPr>
        <w:t>Calibration note: the 7-dimension composite score is a weighted framework tool, not a probability estimate. The specific probabilities used in this note — deal completion, regulatory outcome, HIBLEO-4 slippage — are the author's point estimates anchored to historical base rates for satellite M&amp;A, not outputs of the scoring model.</w:t>
      </w:r>
    </w:p>
    <w:p>
      <w:pPr>
        <w:keepNext/>
        <w:spacing w:before="200" w:after="120" w:line="276" w:lineRule="auto"/>
      </w:pPr>
      <w:r>
        <w:rPr>
          <w:rFonts w:ascii="Arial" w:hAnsi="Arial" w:cs="Arial" w:eastAsia="Arial"/>
          <w:b/>
          <w:i w:val="0"/>
          <w:sz w:val="26"/>
        </w:rPr>
        <w:t>A.12  Sources &amp; Verification</w:t>
      </w:r>
    </w:p>
    <w:p>
      <w:pPr>
        <w:spacing w:after="120" w:before="0" w:line="276" w:lineRule="auto"/>
        <w:jc w:val="left"/>
      </w:pPr>
      <w:r>
        <w:rPr>
          <w:rFonts w:ascii="Arial" w:hAnsi="Arial" w:cs="Arial" w:eastAsia="Arial"/>
          <w:b w:val="0"/>
          <w:i/>
          <w:sz w:val="22"/>
        </w:rPr>
        <w:t>Every factual claim was re-validated against primary or reputable secondary sources on 14 April 2026.</w:t>
      </w:r>
    </w:p>
    <w:p>
      <w:pPr>
        <w:keepNext/>
        <w:spacing w:before="200" w:after="120" w:line="276" w:lineRule="auto"/>
      </w:pPr>
      <w:r>
        <w:rPr>
          <w:rFonts w:ascii="Arial" w:hAnsi="Arial" w:cs="Arial" w:eastAsia="Arial"/>
          <w:b/>
          <w:i w:val="0"/>
          <w:sz w:val="22"/>
        </w:rPr>
        <w:t>Deal Primary Documents</w:t>
      </w:r>
    </w:p>
    <w:p>
      <w:pPr>
        <w:pStyle w:val="ListBullet"/>
        <w:spacing w:after="40" w:line="276" w:lineRule="auto"/>
      </w:pPr>
      <w:r>
        <w:rPr>
          <w:rFonts w:ascii="Arial" w:hAnsi="Arial" w:cs="Arial" w:eastAsia="Arial"/>
          <w:b w:val="0"/>
          <w:i w:val="0"/>
          <w:sz w:val="22"/>
        </w:rPr>
        <w:t>Globalstar 8-K, filed 14 April 2026, SEC EDGAR accession 0001140361-26-014528 — definitive merger agreement, written consent disclosure, press release. https://www.sec.gov/Archives/edgar/data/1366868/000114036126014528/</w:t>
      </w:r>
    </w:p>
    <w:p>
      <w:pPr>
        <w:pStyle w:val="ListBullet"/>
        <w:spacing w:after="40" w:line="276" w:lineRule="auto"/>
      </w:pPr>
      <w:r>
        <w:rPr>
          <w:rFonts w:ascii="Arial" w:hAnsi="Arial" w:cs="Arial" w:eastAsia="Arial"/>
          <w:b w:val="0"/>
          <w:i w:val="0"/>
          <w:sz w:val="22"/>
        </w:rPr>
        <w:t>Merger Agreement (Exhibit 2.1). https://www.sec.gov/Archives/edgar/data/1366868/000114036126014528/ef20070409_ex2-1.htm</w:t>
      </w:r>
    </w:p>
    <w:p>
      <w:pPr>
        <w:pStyle w:val="ListBullet"/>
        <w:spacing w:after="40" w:line="276" w:lineRule="auto"/>
      </w:pPr>
      <w:r>
        <w:rPr>
          <w:rFonts w:ascii="Arial" w:hAnsi="Arial" w:cs="Arial" w:eastAsia="Arial"/>
          <w:b w:val="0"/>
          <w:i w:val="0"/>
          <w:sz w:val="22"/>
        </w:rPr>
        <w:t>Press Release (Exhibit 99.1). https://www.sec.gov/Archives/edgar/data/1366868/000114036126014528/ef20070409_ex99-1.htm</w:t>
      </w:r>
    </w:p>
    <w:p>
      <w:pPr>
        <w:pStyle w:val="ListBullet"/>
        <w:spacing w:after="40" w:line="276" w:lineRule="auto"/>
      </w:pPr>
      <w:r>
        <w:rPr>
          <w:rFonts w:ascii="Arial" w:hAnsi="Arial" w:cs="Arial" w:eastAsia="Arial"/>
          <w:b w:val="0"/>
          <w:i w:val="0"/>
          <w:sz w:val="22"/>
        </w:rPr>
        <w:t>Amazon Newsroom — Amazon to Acquire Globalstar and Expand Amazon Leo Satellite Network. https://press.aboutamazon.com/2026/4/amazon-to-acquire-globalstar-and-expand-amazon-leo-satellite-network</w:t>
      </w:r>
    </w:p>
    <w:p>
      <w:pPr>
        <w:keepNext/>
        <w:spacing w:before="200" w:after="120" w:line="276" w:lineRule="auto"/>
      </w:pPr>
      <w:r>
        <w:rPr>
          <w:rFonts w:ascii="Arial" w:hAnsi="Arial" w:cs="Arial" w:eastAsia="Arial"/>
          <w:b/>
          <w:i w:val="0"/>
          <w:sz w:val="22"/>
        </w:rPr>
        <w:t>Apple / iPhone SOS Relationship</w:t>
      </w:r>
    </w:p>
    <w:p>
      <w:pPr>
        <w:pStyle w:val="ListBullet"/>
        <w:spacing w:after="40" w:line="276" w:lineRule="auto"/>
      </w:pPr>
      <w:r>
        <w:rPr>
          <w:rFonts w:ascii="Arial" w:hAnsi="Arial" w:cs="Arial" w:eastAsia="Arial"/>
          <w:b w:val="0"/>
          <w:i w:val="0"/>
          <w:sz w:val="22"/>
        </w:rPr>
        <w:t>CNBC — Apple commits $1.5 billion to Globalstar for iPhone satellite services, November 2024. https://www.cnbc.com/2024/11/01/apple-commits-1point5-billion-to-globalstar-for-iphone-satellite-services.html</w:t>
      </w:r>
    </w:p>
    <w:p>
      <w:pPr>
        <w:pStyle w:val="ListBullet"/>
        <w:spacing w:after="40" w:line="276" w:lineRule="auto"/>
      </w:pPr>
      <w:r>
        <w:rPr>
          <w:rFonts w:ascii="Arial" w:hAnsi="Arial" w:cs="Arial" w:eastAsia="Arial"/>
          <w:b w:val="0"/>
          <w:i w:val="0"/>
          <w:sz w:val="22"/>
        </w:rPr>
        <w:t>9to5Mac — Amazon buying Globalstar: Apple satellite services to use Amazon Leo. https://9to5mac.com/2026/04/14/amazon-buying-globalstar-apple-satellite-services-to-use-amazon-leo/</w:t>
      </w:r>
    </w:p>
    <w:p>
      <w:pPr>
        <w:keepNext/>
        <w:spacing w:before="200" w:after="120" w:line="276" w:lineRule="auto"/>
      </w:pPr>
      <w:r>
        <w:rPr>
          <w:rFonts w:ascii="Arial" w:hAnsi="Arial" w:cs="Arial" w:eastAsia="Arial"/>
          <w:b/>
          <w:i w:val="0"/>
          <w:sz w:val="22"/>
        </w:rPr>
        <w:t>Deal Coverage and Strategic Context</w:t>
      </w:r>
    </w:p>
    <w:p>
      <w:pPr>
        <w:pStyle w:val="ListBullet"/>
        <w:spacing w:after="40" w:line="276" w:lineRule="auto"/>
      </w:pPr>
      <w:r>
        <w:rPr>
          <w:rFonts w:ascii="Arial" w:hAnsi="Arial" w:cs="Arial" w:eastAsia="Arial"/>
          <w:b w:val="0"/>
          <w:i w:val="0"/>
          <w:sz w:val="22"/>
        </w:rPr>
        <w:t>Bloomberg — Amazon to Buy Satellite Operator Globalstar for $90 a Share in Cash or Stock. https://www.bloomberg.com/news/articles/2026-04-14/amazon-to-buy-satellite-operator-globalstar-for-90-a-share-in-cash-or-stock</w:t>
      </w:r>
    </w:p>
    <w:p>
      <w:pPr>
        <w:pStyle w:val="ListBullet"/>
        <w:spacing w:after="40" w:line="276" w:lineRule="auto"/>
      </w:pPr>
      <w:r>
        <w:rPr>
          <w:rFonts w:ascii="Arial" w:hAnsi="Arial" w:cs="Arial" w:eastAsia="Arial"/>
          <w:b w:val="0"/>
          <w:i w:val="0"/>
          <w:sz w:val="22"/>
        </w:rPr>
        <w:t>TechCrunch — Amazon to buy Globalstar for $11.57B in bid to flesh out its satellite business. https://techcrunch.com/2026/04/14/amazon-to-buy-globalstar-for-11-57b-in-bid-to-flesh-out-its-satellite-biz/</w:t>
      </w:r>
    </w:p>
    <w:p>
      <w:pPr>
        <w:pStyle w:val="ListBullet"/>
        <w:spacing w:after="40" w:line="276" w:lineRule="auto"/>
      </w:pPr>
      <w:r>
        <w:rPr>
          <w:rFonts w:ascii="Arial" w:hAnsi="Arial" w:cs="Arial" w:eastAsia="Arial"/>
          <w:b w:val="0"/>
          <w:i w:val="0"/>
          <w:sz w:val="22"/>
        </w:rPr>
        <w:t>GeekWire — Amazon and Apple vs. Starlink: Globalstar satellite acquisition comes with a big iPhone bonus. https://www.geekwire.com/2026/amazon-and-apple-vs-starlink-globalstar-satellite-acquisition-comes-with-a-big-iphone-bonus/</w:t>
      </w:r>
    </w:p>
    <w:p>
      <w:pPr>
        <w:pStyle w:val="ListBullet"/>
        <w:spacing w:after="40" w:line="276" w:lineRule="auto"/>
      </w:pPr>
      <w:r>
        <w:rPr>
          <w:rFonts w:ascii="Arial" w:hAnsi="Arial" w:cs="Arial" w:eastAsia="Arial"/>
          <w:b w:val="0"/>
          <w:i w:val="0"/>
          <w:sz w:val="22"/>
        </w:rPr>
        <w:t>SatNews — Amazon in reported talks to acquire Globalstar in $9B move to challenge Starlink (early reporting, April 2026). https://satnews.com/2026/04/02/amazon-in-reported-talks-to-acquire-globalstar-in-9-billion-move-to-challenge-starlink/</w:t>
      </w:r>
    </w:p>
    <w:p>
      <w:pPr>
        <w:keepNext/>
        <w:spacing w:before="200" w:after="120" w:line="276" w:lineRule="auto"/>
      </w:pPr>
      <w:r>
        <w:rPr>
          <w:rFonts w:ascii="Arial" w:hAnsi="Arial" w:cs="Arial" w:eastAsia="Arial"/>
          <w:b/>
          <w:i w:val="0"/>
          <w:sz w:val="22"/>
        </w:rPr>
        <w:t>Financial Data</w:t>
      </w:r>
    </w:p>
    <w:p>
      <w:pPr>
        <w:pStyle w:val="ListBullet"/>
        <w:spacing w:after="40" w:line="276" w:lineRule="auto"/>
      </w:pPr>
      <w:r>
        <w:rPr>
          <w:rFonts w:ascii="Arial" w:hAnsi="Arial" w:cs="Arial" w:eastAsia="Arial"/>
          <w:b w:val="0"/>
          <w:i w:val="0"/>
          <w:sz w:val="22"/>
        </w:rPr>
        <w:t>Motley Fool — Globalstar Q4 2025 earnings call transcript, February 2026. https://www.fool.com/earnings/call-transcripts/2026/02/27/globalstar-gsat-q4-2025-earnings-call-transcript/</w:t>
      </w:r>
    </w:p>
    <w:p>
      <w:pPr>
        <w:pStyle w:val="ListBullet"/>
        <w:spacing w:after="40" w:line="276" w:lineRule="auto"/>
      </w:pPr>
      <w:r>
        <w:rPr>
          <w:rFonts w:ascii="Arial" w:hAnsi="Arial" w:cs="Arial" w:eastAsia="Arial"/>
          <w:b w:val="0"/>
          <w:i w:val="0"/>
          <w:sz w:val="22"/>
        </w:rPr>
        <w:t>Investing.com — Globalstar reports Q4 2025 revenue beat, February 2026. https://www.investing.com/news/transcripts/earnings-call-transcript-globalstar-inc-reports-q4-2025-revenue-beat-93CH-4532001</w:t>
      </w:r>
    </w:p>
    <w:p>
      <w:pPr>
        <w:keepNext/>
        <w:spacing w:before="200" w:after="120" w:line="276" w:lineRule="auto"/>
      </w:pPr>
      <w:r>
        <w:rPr>
          <w:rFonts w:ascii="Arial" w:hAnsi="Arial" w:cs="Arial" w:eastAsia="Arial"/>
          <w:b/>
          <w:i w:val="0"/>
          <w:sz w:val="22"/>
        </w:rPr>
        <w:t>Regulatory Comparables</w:t>
      </w:r>
    </w:p>
    <w:p>
      <w:pPr>
        <w:pStyle w:val="ListBullet"/>
        <w:spacing w:after="40" w:line="276" w:lineRule="auto"/>
      </w:pPr>
      <w:r>
        <w:rPr>
          <w:rFonts w:ascii="Arial" w:hAnsi="Arial" w:cs="Arial" w:eastAsia="Arial"/>
          <w:b w:val="0"/>
          <w:i w:val="0"/>
          <w:sz w:val="22"/>
        </w:rPr>
        <w:t>Via Satellite — FCC approves Viasat-Inmarsat merger, May 2023. https://www.satellitetoday.com/finance/2023/05/23/fcc-approves-viasat-inmarsat-merger/</w:t>
      </w:r>
    </w:p>
    <w:p>
      <w:pPr>
        <w:pStyle w:val="ListBullet"/>
        <w:spacing w:after="40" w:line="276" w:lineRule="auto"/>
      </w:pPr>
      <w:r>
        <w:rPr>
          <w:rFonts w:ascii="Arial" w:hAnsi="Arial" w:cs="Arial" w:eastAsia="Arial"/>
          <w:b w:val="0"/>
          <w:i w:val="0"/>
          <w:sz w:val="22"/>
        </w:rPr>
        <w:t>SES press release — SES receives all required regulatory approvals to complete Intelsat acquisition, July 2025. https://www.ses.com/press-release/ses-receives-all-required-regulatory-approvals-complete-intelsat-acquisition-0</w:t>
      </w:r>
    </w:p>
    <w:p>
      <w:pPr>
        <w:pStyle w:val="ListBullet"/>
        <w:spacing w:after="40" w:line="276" w:lineRule="auto"/>
      </w:pPr>
      <w:r>
        <w:rPr>
          <w:rFonts w:ascii="Arial" w:hAnsi="Arial" w:cs="Arial" w:eastAsia="Arial"/>
          <w:b w:val="0"/>
          <w:i w:val="0"/>
          <w:sz w:val="22"/>
        </w:rPr>
        <w:t>Spaceflight Now — Amazon Leo FCC July 2026 milestone deadline coverage. https://spaceflightnow.com/2025/04/03/amazon-targets-april-9-for-launch-of-1st-production-satellites-for-its-project-kuiper-internet-mega-constellation/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s="Arial" w:eastAsia="Arial"/>
        <w:b w:val="0"/>
        <w:i w:val="0"/>
        <w:sz w:val="16"/>
      </w:rPr>
      <w:t xml:space="preserve">GSAT Investment Thesis — 14 April 2026 — Investment Discovery System     </w:t>
    </w:r>
    <w:r>
      <w:rPr>
        <w:rFonts w:ascii="Arial" w:hAnsi="Arial" w:cs="Arial" w:eastAsia="Arial"/>
        <w:b w:val="0"/>
        <w:i w:val="0"/>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