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Non-US Discovery System · Deep-Dive · NOT INVESTMENT ADVICE · For human review before action.</w:t>
      </w:r>
    </w:p>
    <w:p>
      <w:pPr>
        <w:pStyle w:val="Heading1"/>
      </w:pPr>
      <w:r>
        <w:rPr>
          <w:color w:val="1E2A44"/>
        </w:rPr>
        <w:t>Daito Trust Construction — 1878.XTKS</w:t>
      </w:r>
    </w:p>
    <w:p>
      <w:r>
        <w:rPr>
          <w:b w:val="0"/>
          <w:sz w:val="20"/>
        </w:rPr>
        <w:t>Tender Offer Correction (for THE Global 3271.XTKS) · 2026-04-16</w:t>
      </w:r>
    </w:p>
    <w:p>
      <w:pPr>
        <w:pStyle w:val="Heading2"/>
      </w:pPr>
      <w:r>
        <w:rPr>
          <w:color w:val="1E2A44"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Ticker</w:t>
            </w:r>
          </w:p>
        </w:tc>
        <w:tc>
          <w:tcPr>
            <w:tcW w:type="dxa" w:w="4320"/>
          </w:tcPr>
          <w:p>
            <w:r>
              <w:t>1878.XTKS (bidder) / 3271.XTKS (target)</w:t>
            </w:r>
          </w:p>
        </w:tc>
      </w:tr>
      <w:tr>
        <w:tc>
          <w:tcPr>
            <w:tcW w:type="dxa" w:w="4320"/>
          </w:tcPr>
          <w:p>
            <w:r>
              <w:t>Market cap</w:t>
            </w:r>
          </w:p>
        </w:tc>
        <w:tc>
          <w:tcPr>
            <w:tcW w:type="dxa" w:w="4320"/>
          </w:tcPr>
          <w:p>
            <w:r>
              <w:t>USD 7,158m (1878) / ~USD 200m (3271)</w:t>
            </w:r>
          </w:p>
        </w:tc>
      </w:tr>
      <w:tr>
        <w:tc>
          <w:tcPr>
            <w:tcW w:type="dxa" w:w="4320"/>
          </w:tcPr>
          <w:p>
            <w:r>
              <w:t>Signal date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Signal type</w:t>
            </w:r>
          </w:p>
        </w:tc>
        <w:tc>
          <w:tcPr>
            <w:tcW w:type="dxa" w:w="4320"/>
          </w:tcPr>
          <w:p>
            <w:r>
              <w:t>tender_offer (correction filing)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LONG target (3271)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35.0 / 42.5</w:t>
            </w:r>
          </w:p>
        </w:tc>
      </w:tr>
      <w:tr>
        <w:tc>
          <w:tcPr>
            <w:tcW w:type="dxa" w:w="4320"/>
          </w:tcPr>
          <w:p>
            <w:r>
              <w:t>Offer price</w:t>
            </w:r>
          </w:p>
        </w:tc>
        <w:tc>
          <w:tcPr>
            <w:tcW w:type="dxa" w:w="4320"/>
          </w:tcPr>
          <w:p>
            <w:r>
              <w:t>¥1,280 per share (3271)</w:t>
            </w:r>
          </w:p>
        </w:tc>
      </w:tr>
      <w:tr>
        <w:tc>
          <w:tcPr>
            <w:tcW w:type="dxa" w:w="4320"/>
          </w:tcPr>
          <w:p>
            <w:r>
              <w:t>Premium</w:t>
            </w:r>
          </w:p>
        </w:tc>
        <w:tc>
          <w:tcPr>
            <w:tcW w:type="dxa" w:w="4320"/>
          </w:tcPr>
          <w:p>
            <w:r>
              <w:t>~19.9% to pre-announcement close (¥1,068)</w:t>
            </w:r>
          </w:p>
        </w:tc>
      </w:tr>
      <w:tr>
        <w:tc>
          <w:tcPr>
            <w:tcW w:type="dxa" w:w="4320"/>
          </w:tcPr>
          <w:p>
            <w:r>
              <w:t>Tender period</w:t>
            </w:r>
          </w:p>
        </w:tc>
        <w:tc>
          <w:tcPr>
            <w:tcW w:type="dxa" w:w="4320"/>
          </w:tcPr>
          <w:p>
            <w:r>
              <w:t>2026-04-07 to 2026-05-22</w:t>
            </w:r>
          </w:p>
        </w:tc>
      </w:tr>
    </w:tbl>
    <w:p>
      <w:pPr>
        <w:pStyle w:val="Heading2"/>
      </w:pPr>
      <w:r>
        <w:rPr>
          <w:color w:val="1E2A44"/>
        </w:rPr>
        <w:t>TL;DR</w:t>
      </w:r>
    </w:p>
    <w:p>
      <w:r>
        <w:rPr>
          <w:b w:val="0"/>
          <w:sz w:val="20"/>
        </w:rPr>
        <w:t>Daito Trust Construction (1878.XTKS, mcap ~$7.2B) is conducting a tender offer for THE Global Co., Ltd. (3271.XTKS) at ¥1,280 per share, representing a ~19.9% premium to the pre-announcement price of ¥1,068. The tender period runs from April 7 to May 22, 2026. On April 16, Daito filed a correction (訂正) to its tender offer registration statement — the most common reason for such corrections is administrative/documentary, not a price change. The Global's board has recommended shareholders tender. No competing bidders identified. The primary trade, if any, is on the TARGET (3271), not the bidder (1878). Spread analysis: 3271 last traded near the ¥1,280 offer; residual spread is likely &lt;2%, making this a low-IRR but high-certainty arb. Conviction: WATCH — spread may be too tight for satellite sizing unless it widens.</w:t>
      </w:r>
    </w:p>
    <w:p>
      <w:pPr>
        <w:pStyle w:val="Heading2"/>
      </w:pPr>
      <w:r>
        <w:rPr>
          <w:color w:val="1E2A44"/>
        </w:rPr>
        <w:t>Company Context</w:t>
      </w:r>
    </w:p>
    <w:p>
      <w:r>
        <w:rPr>
          <w:b/>
          <w:sz w:val="20"/>
        </w:rPr>
        <w:t>Bidder (1878 Daito Trust Construction): One of Japan's largest residential subcontracting and leasing-management companies. Builds and manages apartment and rental housing on leased land. Market cap ~¥1.14T / $7.16B. TSE Prime.</w:t>
      </w:r>
    </w:p>
    <w:p>
      <w:r>
        <w:rPr>
          <w:b w:val="0"/>
          <w:sz w:val="20"/>
        </w:rPr>
        <w:t>Target (3271 THE Global Co., Ltd.): Small-cap Japanese real-estate developer. Market cap ~¥29B (~$200M). Major shareholders include SBI Holdings and Asahi Kasei.</w:t>
      </w:r>
    </w:p>
    <w:p>
      <w:r>
        <w:rPr>
          <w:b w:val="0"/>
          <w:sz w:val="20"/>
        </w:rPr>
        <w:t>Strategic rationale: Roll-up of a smaller residential-developer peer. Described as 'cheapish but strategic'.</w:t>
      </w:r>
    </w:p>
    <w:p>
      <w:r>
        <w:rPr>
          <w:b w:val="0"/>
          <w:sz w:val="20"/>
        </w:rPr>
        <w:t>Deal structure: Differential pricing — ¥1,280/share for minority shareholders; ¥894/share for SBI Holdings. Goal is to make THE Global a wholly-owned subsidiary.</w:t>
      </w:r>
    </w:p>
    <w:p>
      <w:pPr>
        <w:pStyle w:val="Heading2"/>
      </w:pPr>
      <w:r>
        <w:rPr>
          <w:color w:val="1E2A44"/>
        </w:rPr>
        <w:t>Correction Filing Details</w:t>
      </w:r>
    </w:p>
    <w:p>
      <w:r>
        <w:rPr>
          <w:b w:val="0"/>
          <w:sz w:val="20"/>
        </w:rPr>
        <w:t>The April 16 filing is a 訂正届出書 (correction registration statement) to the original tender offer registration filed on April 7. Three material possibilities: (1) price change, (2) period extension, or (3) administrative correction (most common). Scanner translation confidence is 0.92 — adequate for filing type identification but not for numerical terms. Human/specialist verification required before sizing.</w:t>
      </w:r>
    </w:p>
    <w:p>
      <w:pPr>
        <w:pStyle w:val="Heading2"/>
      </w:pPr>
      <w:r>
        <w:rPr>
          <w:color w:val="1E2A44"/>
        </w:rPr>
        <w:t>Thesis Statement</w:t>
      </w:r>
    </w:p>
    <w:p>
      <w:r>
        <w:rPr>
          <w:b w:val="0"/>
          <w:sz w:val="20"/>
        </w:rPr>
        <w:t>The tender offer for THE Global at ¥1,280/share is a straightforward take-private by Daito Trust, with board recommendation and no competing bidders. The correction is most likely administrative. Spread is very tight (&lt;2%), limiting arb upside. Recommendation: WATCH with re-engagement on spread widening above 3% or correction-content confirmation.</w:t>
      </w:r>
    </w:p>
    <w:p>
      <w:pPr>
        <w:pStyle w:val="Heading2"/>
      </w:pPr>
      <w:r>
        <w:rPr>
          <w:color w:val="1E2A44"/>
        </w:rPr>
        <w:t>Catalyst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Date/Window</w:t>
            </w:r>
          </w:p>
        </w:tc>
        <w:tc>
          <w:tcPr>
            <w:tcW w:type="dxa" w:w="2160"/>
          </w:tcPr>
          <w:p>
            <w:r>
              <w:t>Entry trigger</w:t>
            </w:r>
          </w:p>
        </w:tc>
        <w:tc>
          <w:tcPr>
            <w:tcW w:type="dxa" w:w="2160"/>
          </w:tcPr>
          <w:p>
            <w:r>
              <w:t>Exit trigger</w:t>
            </w:r>
          </w:p>
        </w:tc>
      </w:tr>
      <w:tr>
        <w:tc>
          <w:tcPr>
            <w:tcW w:type="dxa" w:w="2160"/>
          </w:tcPr>
          <w:p>
            <w:r>
              <w:t>Correction filing effective</w:t>
            </w:r>
          </w:p>
        </w:tc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Spread re-prices</w:t>
            </w:r>
          </w:p>
        </w:tc>
      </w:tr>
      <w:tr>
        <w:tc>
          <w:tcPr>
            <w:tcW w:type="dxa" w:w="2160"/>
          </w:tcPr>
          <w:p>
            <w:r>
              <w:t>Market reaction (3271)</w:t>
            </w:r>
          </w:p>
        </w:tc>
        <w:tc>
          <w:tcPr>
            <w:tcW w:type="dxa" w:w="2160"/>
          </w:tcPr>
          <w:p>
            <w:r>
              <w:t>2026-04-17 open</w:t>
            </w:r>
          </w:p>
        </w:tc>
        <w:tc>
          <w:tcPr>
            <w:tcW w:type="dxa" w:w="2160"/>
          </w:tcPr>
          <w:p>
            <w:r>
              <w:t>Monitor spread</w:t>
            </w:r>
          </w:p>
        </w:tc>
        <w:tc>
          <w:tcPr>
            <w:tcW w:type="dxa" w:w="2160"/>
          </w:tcPr>
          <w:p>
            <w:r>
              <w:t>Entry if &gt;3%</w:t>
            </w:r>
          </w:p>
        </w:tc>
      </w:tr>
      <w:tr>
        <w:tc>
          <w:tcPr>
            <w:tcW w:type="dxa" w:w="2160"/>
          </w:tcPr>
          <w:p>
            <w:r>
              <w:t>Tender offer close</w:t>
            </w:r>
          </w:p>
        </w:tc>
        <w:tc>
          <w:tcPr>
            <w:tcW w:type="dxa" w:w="2160"/>
          </w:tcPr>
          <w:p>
            <w:r>
              <w:t>2026-05-22</w:t>
            </w:r>
          </w:p>
        </w:tc>
        <w:tc>
          <w:tcPr>
            <w:tcW w:type="dxa" w:w="2160"/>
          </w:tcPr>
          <w:p>
            <w:r>
              <w:t>Acceptance &gt; minimum</w:t>
            </w:r>
          </w:p>
        </w:tc>
        <w:tc>
          <w:tcPr>
            <w:tcW w:type="dxa" w:w="2160"/>
          </w:tcPr>
          <w:p>
            <w:r>
              <w:t>Spread closes</w:t>
            </w:r>
          </w:p>
        </w:tc>
      </w:tr>
      <w:tr>
        <w:tc>
          <w:tcPr>
            <w:tcW w:type="dxa" w:w="2160"/>
          </w:tcPr>
          <w:p>
            <w:r>
              <w:t>Settlement / payment</w:t>
            </w:r>
          </w:p>
        </w:tc>
        <w:tc>
          <w:tcPr>
            <w:tcW w:type="dxa" w:w="2160"/>
          </w:tcPr>
          <w:p>
            <w:r>
              <w:t>~T+30 post-close</w:t>
            </w:r>
          </w:p>
        </w:tc>
        <w:tc>
          <w:tcPr>
            <w:tcW w:type="dxa" w:w="2160"/>
          </w:tcPr>
          <w:p>
            <w:r>
              <w:t>Monies paid</w:t>
            </w:r>
          </w:p>
        </w:tc>
        <w:tc>
          <w:tcPr>
            <w:tcW w:type="dxa" w:w="2160"/>
          </w:tcPr>
          <w:p>
            <w:r>
              <w:t>Exit complete</w:t>
            </w:r>
          </w:p>
        </w:tc>
      </w:tr>
      <w:tr>
        <w:tc>
          <w:tcPr>
            <w:tcW w:type="dxa" w:w="2160"/>
          </w:tcPr>
          <w:p>
            <w:r>
              <w:t>JFTC clearance</w:t>
            </w:r>
          </w:p>
        </w:tc>
        <w:tc>
          <w:tcPr>
            <w:tcW w:type="dxa" w:w="2160"/>
          </w:tcPr>
          <w:p>
            <w:r>
              <w:t>Rolling</w:t>
            </w:r>
          </w:p>
        </w:tc>
        <w:tc>
          <w:tcPr>
            <w:tcW w:type="dxa" w:w="2160"/>
          </w:tcPr>
          <w:p>
            <w:r>
              <w:t>Approval</w:t>
            </w:r>
          </w:p>
        </w:tc>
        <w:tc>
          <w:tcPr>
            <w:tcW w:type="dxa" w:w="2160"/>
          </w:tcPr>
          <w:p>
            <w:r>
              <w:t>Risk premium compresses</w:t>
            </w:r>
          </w:p>
        </w:tc>
      </w:tr>
    </w:tbl>
    <w:p>
      <w:pPr>
        <w:pStyle w:val="Heading2"/>
      </w:pPr>
      <w:r>
        <w:rPr>
          <w:color w:val="1E2A44"/>
        </w:rPr>
        <w:t>Steelman of the Opposite View</w:t>
      </w:r>
    </w:p>
    <w:p>
      <w:r>
        <w:rPr>
          <w:b w:val="0"/>
          <w:sz w:val="20"/>
        </w:rPr>
        <w:t>• Correction could contain a PRICE REDUCTION — target falls to new offer.</w:t>
        <w:br/>
        <w:t>• Correction could reveal a MATERIAL ADVERSE CONDITION (financing gap, regulator objection).</w:t>
        <w:br/>
        <w:t>• Acceptance at minimum threshold may fall short — deal lapses.</w:t>
        <w:br/>
        <w:t>• Daito could file a TOB withdrawal.</w:t>
        <w:br/>
        <w:t>• FSA inquiry correction: filing flagged for disclosure deficiency.</w:t>
      </w:r>
    </w:p>
    <w:p>
      <w:pPr>
        <w:pStyle w:val="Heading2"/>
      </w:pPr>
      <w:r>
        <w:rPr>
          <w:color w:val="1E2A44"/>
        </w:rPr>
        <w:t>Kill Conditions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Kill 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Observable</w:t>
            </w:r>
          </w:p>
        </w:tc>
      </w:tr>
      <w:tr>
        <w:tc>
          <w:tcPr>
            <w:tcW w:type="dxa" w:w="2880"/>
          </w:tcPr>
          <w:p>
            <w:r>
              <w:t>K1: Price reduction</w:t>
            </w:r>
          </w:p>
        </w:tc>
        <w:tc>
          <w:tcPr>
            <w:tcW w:type="dxa" w:w="2880"/>
          </w:tcPr>
          <w:p>
            <w:r>
              <w:t>Offer revised below ¥1,280</w:t>
            </w:r>
          </w:p>
        </w:tc>
        <w:tc>
          <w:tcPr>
            <w:tcW w:type="dxa" w:w="2880"/>
          </w:tcPr>
          <w:p>
            <w:r>
              <w:t>TDnet correction PDF</w:t>
            </w:r>
          </w:p>
        </w:tc>
      </w:tr>
      <w:tr>
        <w:tc>
          <w:tcPr>
            <w:tcW w:type="dxa" w:w="2880"/>
          </w:tcPr>
          <w:p>
            <w:r>
              <w:t>K2: Financing gap</w:t>
            </w:r>
          </w:p>
        </w:tc>
        <w:tc>
          <w:tcPr>
            <w:tcW w:type="dxa" w:w="2880"/>
          </w:tcPr>
          <w:p>
            <w:r>
              <w:t>Bidder cannot fund</w:t>
            </w:r>
          </w:p>
        </w:tc>
        <w:tc>
          <w:tcPr>
            <w:tcW w:type="dxa" w:w="2880"/>
          </w:tcPr>
          <w:p>
            <w:r>
              <w:t>Bidder IR / TDnet</w:t>
            </w:r>
          </w:p>
        </w:tc>
      </w:tr>
      <w:tr>
        <w:tc>
          <w:tcPr>
            <w:tcW w:type="dxa" w:w="2880"/>
          </w:tcPr>
          <w:p>
            <w:r>
              <w:t>K3: Minimum threshold missed</w:t>
            </w:r>
          </w:p>
        </w:tc>
        <w:tc>
          <w:tcPr>
            <w:tcW w:type="dxa" w:w="2880"/>
          </w:tcPr>
          <w:p>
            <w:r>
              <w:t>Acceptances below floor</w:t>
            </w:r>
          </w:p>
        </w:tc>
        <w:tc>
          <w:tcPr>
            <w:tcW w:type="dxa" w:w="2880"/>
          </w:tcPr>
          <w:p>
            <w:r>
              <w:t>Tender result filing</w:t>
            </w:r>
          </w:p>
        </w:tc>
      </w:tr>
      <w:tr>
        <w:tc>
          <w:tcPr>
            <w:tcW w:type="dxa" w:w="2880"/>
          </w:tcPr>
          <w:p>
            <w:r>
              <w:t>K4: TOB withdrawal</w:t>
            </w:r>
          </w:p>
        </w:tc>
        <w:tc>
          <w:tcPr>
            <w:tcW w:type="dxa" w:w="2880"/>
          </w:tcPr>
          <w:p>
            <w:r>
              <w:t>Daito files withdrawal</w:t>
            </w:r>
          </w:p>
        </w:tc>
        <w:tc>
          <w:tcPr>
            <w:tcW w:type="dxa" w:w="2880"/>
          </w:tcPr>
          <w:p>
            <w:r>
              <w:t>TDnet / FSA</w:t>
            </w:r>
          </w:p>
        </w:tc>
      </w:tr>
      <w:tr>
        <w:tc>
          <w:tcPr>
            <w:tcW w:type="dxa" w:w="2880"/>
          </w:tcPr>
          <w:p>
            <w:r>
              <w:t>K5: Competing superior offer</w:t>
            </w:r>
          </w:p>
        </w:tc>
        <w:tc>
          <w:tcPr>
            <w:tcW w:type="dxa" w:w="2880"/>
          </w:tcPr>
          <w:p>
            <w:r>
              <w:t>&gt;5% above current offer</w:t>
            </w:r>
          </w:p>
        </w:tc>
        <w:tc>
          <w:tcPr>
            <w:tcW w:type="dxa" w:w="2880"/>
          </w:tcPr>
          <w:p>
            <w:r>
              <w:t>TDnet</w:t>
            </w:r>
          </w:p>
        </w:tc>
      </w:tr>
    </w:tbl>
    <w:p>
      <w:pPr>
        <w:pStyle w:val="Heading2"/>
      </w:pPr>
      <w:r>
        <w:rPr>
          <w:color w:val="1E2A44"/>
        </w:rPr>
        <w:t>Position Sizing</w:t>
      </w:r>
    </w:p>
    <w:p>
      <w:r>
        <w:rPr>
          <w:b w:val="0"/>
          <w:sz w:val="20"/>
        </w:rPr>
        <w:t>Satellite-arb (2-5%) if entering target-side (3271). Spread must be &gt;3% annualized IRR to justify friction. At &lt;2%, trade is below threshold — WATCH only. Bidder-side (1878) is not the natural trade.</w:t>
      </w:r>
    </w:p>
    <w:p>
      <w:pPr>
        <w:pStyle w:val="Heading2"/>
      </w:pPr>
      <w:r>
        <w:rPr>
          <w:color w:val="1E2A44"/>
        </w:rPr>
        <w:t>Sources</w:t>
      </w:r>
    </w:p>
    <w:p>
      <w:r>
        <w:rPr>
          <w:b w:val="0"/>
          <w:sz w:val="20"/>
        </w:rPr>
        <w:t>• TDnet correction filing (2026-04-16 15:00 JST)</w:t>
        <w:br/>
        <w:t>• PropNewsTime, TipRanks, SmartKarma coverage</w:t>
        <w:br/>
        <w:t>• signal_id: be5a3d83573287c3395b14e95a798ba8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