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Yomeishu Seizo Co.,Ltd. (2540.XTKS)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Yomeishu Seizo Co.,Ltd. (2540.XTKS) was flagged on 2026-04-09 via TDnet for a tender offer signal (scanner score 35.0, translation confidence 0.92, $351M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2026-04-09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BBG000BCT703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BBG000BCT6K3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351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2026-04-09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Yomeishu Seizo Co.,Ltd. (2540.XTKS)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2026-04-09 for Yomeishu Seizo Co.,Ltd. (2540). Scanner classified signal_type=tender_offer at score_total=35.0, translation_confidence=0.92, thesis_direction=long. Market cap $351M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https://www.release.tdnet.info/inbs/140120260408599998.pdf — signal_id 541ad69e53fd97ebe46aea905bcf8011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$351M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Yomeishu Seizo Co.,Ltd.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2026-04-09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2540.T; $351M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https://www.release.tdnet.info/inbs/140120260408599998.pdf — signal_id 541ad69e53fd97ebe46aea905bcf8011</w:t>
      </w:r>
    </w:p>
    <w:p>
      <w:pPr>
        <w:pStyle w:val="ListBullet"/>
      </w:pPr>
      <w:r>
        <w:t>OpenFIGI: ticker=2540 mic=XTKS → figi=BBG000BCT703, issuer=BBG000BCT6K3</w:t>
      </w:r>
    </w:p>
    <w:p>
      <w:pPr>
        <w:pStyle w:val="ListBullet"/>
      </w:pPr>
      <w:r>
        <w:t>Market cap: yfinance 2540.T → $351M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