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ITOCHU-SHOKUHIN Co., Ltd. (2692.XTKS)</w:t>
      </w:r>
    </w:p>
    <w:p>
      <w:r>
        <w:rPr>
          <w:i/>
          <w:sz w:val="18"/>
        </w:rPr>
        <w:t>Deep Dive — Tender Offer · Generated 2026-04-15 · Source tool: non_us</w:t>
      </w:r>
    </w:p>
    <w:p>
      <w:pPr>
        <w:pStyle w:val="Heading1"/>
      </w:pPr>
      <w:r>
        <w:t>Hypothesis</w:t>
      </w:r>
    </w:p>
    <w:p>
      <w:r>
        <w:t>ITOCHU-SHOKUHIN Co., Ltd. (2692.XTKS) was flagged on 2026-04-10 via TDnet for a tender offer signal (scanner score 35.0, translation confidence 0.92, $1032M USD market cap). Standard playbook is a long into the announced spread, sized to annualized IRR pending deep-dive verification of price, premium, counterparty and timing. Edge depends on whether the market has fully priced the announcement and whether the filer is the buyer or target — direction must be re-confirmed on PDF read before sizing.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2026-04-10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TBD</w:t>
            </w:r>
          </w:p>
        </w:tc>
        <w:tc>
          <w:tcPr>
            <w:tcW w:type="dxa" w:w="3312"/>
          </w:tcPr>
          <w:p>
            <w:r>
              <w:t>Resolution window (T+5 to T+30 typical for this signal type)</w:t>
            </w:r>
          </w:p>
        </w:tc>
        <w:tc>
          <w:tcPr>
            <w:tcW w:type="dxa" w:w="3312"/>
          </w:tcPr>
          <w:p>
            <w:r>
              <w:t>other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BBG000FRFW97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BBG000FRFVY1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1032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35.0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0.92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long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takeover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2026-04-10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indefinite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ITOCHU-SHOKUHIN Co., Ltd. (2692.XTKS) — Tender Offer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TDnet filed 2026-04-10 for ITOCHU-SHOKUHIN Co., Ltd. (2692). Scanner classified signal_type=tender_offer at score_total=35.0, translation_confidence=0.92, thesis_direction=long. Market cap $1032M USD. 1 related filing(s) merged via D-004 convergence.</w:t>
      </w:r>
    </w:p>
    <w:p/>
    <w:p>
      <w:pPr>
        <w:pStyle w:val="Heading2"/>
      </w:pPr>
      <w:r>
        <w:t>Source signals</w:t>
      </w:r>
    </w:p>
    <w:p/>
    <w:p>
      <w:pPr>
        <w:pStyle w:val="ListBullet"/>
      </w:pPr>
      <w:r>
        <w:t>[tender_offer] https://www.release.tdnet.info/inbs/140120260410501548.pdf — signal_id da31b15ab3e7986db976614e03d80690</w:t>
      </w:r>
    </w:p>
    <w:p/>
    <w:p>
      <w:pPr>
        <w:pStyle w:val="Heading2"/>
      </w:pPr>
      <w:r>
        <w:t>Translation notes</w:t>
      </w:r>
    </w:p>
    <w:p/>
    <w:p>
      <w:r>
        <w:t>Japanese source. Translation pattern is unambiguous at tc=0.92. Deep-dive must still read the PDF for specifics (price, premium, timing, counterparty).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$1032M USD</w:t>
      </w:r>
    </w:p>
    <w:p>
      <w:pPr>
        <w:pStyle w:val="ListBullet"/>
      </w:pPr>
      <w:r>
        <w:t>Sector / sub-sector: TODO (deep-dive)</w:t>
      </w:r>
    </w:p>
    <w:p>
      <w:pPr>
        <w:pStyle w:val="ListBullet"/>
      </w:pPr>
      <w:r>
        <w:t>Recent price action: TODO (30/90d)</w:t>
      </w:r>
    </w:p>
    <w:p>
      <w:pPr>
        <w:pStyle w:val="ListBullet"/>
      </w:pPr>
      <w:r>
        <w:t>Cross-listings: TODO (check HK / ADR / LSE)</w:t>
      </w:r>
    </w:p>
    <w:p/>
    <w:p>
      <w:pPr>
        <w:pStyle w:val="Heading2"/>
      </w:pPr>
      <w:r>
        <w:t>Thesis statement (to be completed by deep-dive)</w:t>
      </w:r>
    </w:p>
    <w:p/>
    <w:p>
      <w:r>
        <w:t>TOB / tender-offer target. Typical playbook: long target into spread; size to annualized IRR. If the filer (buyer side) is the ticker, re-check direction during deep-dive — trading companies (8001 Itochu) sometimes file as the *buyer*, in which case thesis is different.</w:t>
      </w:r>
    </w:p>
    <w:p/>
    <w:p>
      <w:pPr>
        <w:pStyle w:val="Heading2"/>
      </w:pPr>
      <w:r>
        <w:t>Steelman of the opposite view</w:t>
      </w:r>
    </w:p>
    <w:p/>
    <w:p>
      <w:r>
        <w:t>**Pending deep-dive.** Likely angles:</w:t>
      </w:r>
    </w:p>
    <w:p>
      <w:pPr>
        <w:pStyle w:val="ListBullet"/>
      </w:pPr>
      <w:r>
        <w:t>Market already priced in the disclosure (no edge).</w:t>
      </w:r>
    </w:p>
    <w:p>
      <w:pPr>
        <w:pStyle w:val="ListBullet"/>
      </w:pPr>
      <w:r>
        <w:t>Terms / magnitude less favorable than headline implies.</w:t>
      </w:r>
    </w:p>
    <w:p>
      <w:pPr>
        <w:pStyle w:val="ListBullet"/>
      </w:pPr>
      <w:r>
        <w:t>Counter-catalyst exists (regulatory, activist, competing bid).</w:t>
      </w:r>
    </w:p>
    <w:p>
      <w:pPr>
        <w:pStyle w:val="ListBullet"/>
      </w:pPr>
      <w:r>
        <w:t>Translation / interpretation error — revisit tc if direction flips on re-read.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 / Reuters / Bloomberg coverage of ITOCHU-SHOKUHIN Co., Ltd.</w:t>
      </w:r>
    </w:p>
    <w:p>
      <w:pPr>
        <w:pStyle w:val="ListBullet"/>
      </w:pPr>
      <w:r>
        <w:t>Peer precedents for the same signal_type in JP market</w:t>
      </w:r>
    </w:p>
    <w:p>
      <w:pPr>
        <w:pStyle w:val="ListBullet"/>
      </w:pPr>
      <w:r>
        <w:t>Shareholder register (activist presence?)</w:t>
      </w:r>
    </w:p>
    <w:p>
      <w:pPr>
        <w:pStyle w:val="ListBullet"/>
      </w:pPr>
      <w:r>
        <w:t>Analyst coverage &amp; recent target price moves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Subsequent TDnet filing revising terms unfavorably — flip or cut.</w:t>
      </w:r>
    </w:p>
    <w:p>
      <w:pPr>
        <w:pStyle w:val="ListBullet"/>
      </w:pPr>
      <w:r>
        <w:t>**Kill 2:** Board or independent committee opposes (for takeover signals); regulatory action escalates (for litigation signals).</w:t>
      </w:r>
    </w:p>
    <w:p>
      <w:pPr>
        <w:pStyle w:val="ListBullet"/>
      </w:pPr>
      <w:r>
        <w:t>**Kill 3:** Translation re-read flips thesis direction → exit.</w:t>
      </w:r>
    </w:p>
    <w:p>
      <w:pPr>
        <w:pStyle w:val="ListBullet"/>
      </w:pPr>
      <w:r>
        <w:t>**Kill 4:** Scanner flags superseding signal at the next cycle.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Primary filing | 2026-04-10 | (observed) | — |</w:t>
      </w:r>
    </w:p>
    <w:p>
      <w:r>
        <w:t>| Board / regulatory response | T+5 to T+15 | Confirm support | Cut on opposition |</w:t>
      </w:r>
    </w:p>
    <w:p>
      <w:r>
        <w:t>| Resolution window | varies | Maintain | Close near target |</w:t>
      </w:r>
    </w:p>
    <w:p/>
    <w:p>
      <w:pPr>
        <w:pStyle w:val="Heading2"/>
      </w:pPr>
      <w:r>
        <w:t>Position sizing</w:t>
      </w:r>
    </w:p>
    <w:p/>
    <w:p>
      <w:r>
        <w:t>Satellite (2–5%). Adjust for liquidity of 2692.T; $1032M mcap implies moderate liquidity — verify ADV before sizing.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[tender_offer] https://www.release.tdnet.info/inbs/140120260410501548.pdf — signal_id da31b15ab3e7986db976614e03d80690</w:t>
      </w:r>
    </w:p>
    <w:p>
      <w:pPr>
        <w:pStyle w:val="ListBullet"/>
      </w:pPr>
      <w:r>
        <w:t>OpenFIGI: ticker=2692 mic=XTKS → figi=BBG000FRFW97, issuer=BBG000FRFVY1</w:t>
      </w:r>
    </w:p>
    <w:p>
      <w:pPr>
        <w:pStyle w:val="ListBullet"/>
      </w:pPr>
      <w:r>
        <w:t>Market cap: yfinance 2692.T → $1032M USD</w:t>
      </w:r>
    </w:p>
    <w:p>
      <w:pPr>
        <w:pStyle w:val="ListBullet"/>
      </w:pPr>
      <w:r>
        <w:t>Convergence: D-004 hard-merge on (issuer_figi, signal_type, source_date)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