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Aica Kogyo Company, Limited (4206.XTKS)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Aica Kogyo Company, Limited (4206.XTKS) was flagged on 2026-04-13 via TDnet for a tender offer signal (scanner score 35.0, translation confidence 0.92, $1417M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2026-04-13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BBG000BJG1W0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BBG000BJG1K3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1417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2026-04-13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Aica Kogyo Company, Limited (4206.XTKS)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2026-04-13 for Aica Kogyo Company, Limited (4206). Scanner classified signal_type=tender_offer at score_total=35.0, translation_confidence=0.92, thesis_direction=long. Market cap $1417M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https://www.release.tdnet.info/inbs/140120260413502738.pdf — signal_id 4ddd00493fde8b6ee35664d66ad6778b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$1417M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Aica Kogyo Company, Limited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2026-04-13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4206.T; $1417M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https://www.release.tdnet.info/inbs/140120260413502738.pdf — signal_id 4ddd00493fde8b6ee35664d66ad6778b</w:t>
      </w:r>
    </w:p>
    <w:p>
      <w:pPr>
        <w:pStyle w:val="ListBullet"/>
      </w:pPr>
      <w:r>
        <w:t>OpenFIGI: ticker=4206 mic=XTKS → figi=BBG000BJG1W0, issuer=BBG000BJG1K3</w:t>
      </w:r>
    </w:p>
    <w:p>
      <w:pPr>
        <w:pStyle w:val="ListBullet"/>
      </w:pPr>
      <w:r>
        <w:t>Market cap: yfinance 4206.T → $1417M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