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A44"/>
        </w:rPr>
        <w:t>AEON Fantasy Co., Ltd. (4343.XTKS)</w:t>
      </w:r>
    </w:p>
    <w:p>
      <w:r>
        <w:rPr>
          <w:i/>
          <w:sz w:val="18"/>
        </w:rPr>
        <w:t>Deep Dive — Impairment Loss · Generated 2026-04-15 · Source tool: non_us</w:t>
      </w:r>
    </w:p>
    <w:p>
      <w:pPr>
        <w:pStyle w:val="Heading1"/>
      </w:pPr>
      <w:r>
        <w:t>Hypothesis</w:t>
      </w:r>
    </w:p>
    <w:p>
      <w:r>
        <w:t>AEON Fantasy Co., Ltd. (4343.XTKS) disclosed impairment loss on 2026-04-09 ($311M USD mcap, scanner score 31.0). Working hypothesis is short: one-off accounting hits often create clean-slate setups where the market over-discounts forward earnings. Deep-dive must quantify the cash vs. non-cash split, confirm guidance is not being lowered structurally, and identify any catalyst that re-anchors valuation post-disclosure.</w:t>
      </w:r>
    </w:p>
    <w:p>
      <w:pPr>
        <w:pStyle w:val="Heading1"/>
      </w:pPr>
      <w:r>
        <w:t>Key dates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Event</w:t>
            </w:r>
          </w:p>
        </w:tc>
        <w:tc>
          <w:tcPr>
            <w:tcW w:type="dxa" w:w="3312"/>
          </w:tcPr>
          <w:p>
            <w:r>
              <w:t>Nature</w:t>
            </w:r>
          </w:p>
        </w:tc>
      </w:tr>
      <w:tr>
        <w:tc>
          <w:tcPr>
            <w:tcW w:type="dxa" w:w="3312"/>
          </w:tcPr>
          <w:p>
            <w:r>
              <w:t>2026-04-09</w:t>
            </w:r>
          </w:p>
        </w:tc>
        <w:tc>
          <w:tcPr>
            <w:tcW w:type="dxa" w:w="3312"/>
          </w:tcPr>
          <w:p>
            <w:r>
              <w:t>Initial scanner signal / source filing</w:t>
            </w:r>
          </w:p>
        </w:tc>
        <w:tc>
          <w:tcPr>
            <w:tcW w:type="dxa" w:w="3312"/>
          </w:tcPr>
          <w:p>
            <w:r>
              <w:t>filing</w:t>
            </w:r>
          </w:p>
        </w:tc>
      </w:tr>
      <w:tr>
        <w:tc>
          <w:tcPr>
            <w:tcW w:type="dxa" w:w="3312"/>
          </w:tcPr>
          <w:p>
            <w:r>
              <w:t>2026-04-09</w:t>
            </w:r>
          </w:p>
        </w:tc>
        <w:tc>
          <w:tcPr>
            <w:tcW w:type="dxa" w:w="3312"/>
          </w:tcPr>
          <w:p>
            <w:r>
              <w:t>Primary catalyst</w:t>
            </w:r>
          </w:p>
        </w:tc>
        <w:tc>
          <w:tcPr>
            <w:tcW w:type="dxa" w:w="3312"/>
          </w:tcPr>
          <w:p>
            <w:r>
              <w:t>decision</w:t>
            </w:r>
          </w:p>
        </w:tc>
      </w:tr>
    </w:tbl>
    <w:p>
      <w:pPr>
        <w:pStyle w:val="Heading1"/>
      </w:pPr>
      <w:r>
        <w:t>Source candidate metadata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ISIN</w:t>
            </w:r>
          </w:p>
        </w:tc>
        <w:tc>
          <w:tcPr>
            <w:tcW w:type="dxa" w:w="4968"/>
          </w:tcPr>
          <w:p>
            <w:r>
              <w:t>null</w:t>
            </w:r>
          </w:p>
        </w:tc>
      </w:tr>
      <w:tr>
        <w:tc>
          <w:tcPr>
            <w:tcW w:type="dxa" w:w="4968"/>
          </w:tcPr>
          <w:p>
            <w:r>
              <w:t>FIGI</w:t>
            </w:r>
          </w:p>
        </w:tc>
        <w:tc>
          <w:tcPr>
            <w:tcW w:type="dxa" w:w="4968"/>
          </w:tcPr>
          <w:p>
            <w:r>
              <w:t>BBG000LTC703</w:t>
            </w:r>
          </w:p>
        </w:tc>
      </w:tr>
      <w:tr>
        <w:tc>
          <w:tcPr>
            <w:tcW w:type="dxa" w:w="4968"/>
          </w:tcPr>
          <w:p>
            <w:r>
              <w:t>Issuer FIGI</w:t>
            </w:r>
          </w:p>
        </w:tc>
        <w:tc>
          <w:tcPr>
            <w:tcW w:type="dxa" w:w="4968"/>
          </w:tcPr>
          <w:p>
            <w:r>
              <w:t>BBG000LTB5H0</w:t>
            </w:r>
          </w:p>
        </w:tc>
      </w:tr>
      <w:tr>
        <w:tc>
          <w:tcPr>
            <w:tcW w:type="dxa" w:w="4968"/>
          </w:tcPr>
          <w:p>
            <w:r>
              <w:t>Market cap (USD mm)</w:t>
            </w:r>
          </w:p>
        </w:tc>
        <w:tc>
          <w:tcPr>
            <w:tcW w:type="dxa" w:w="4968"/>
          </w:tcPr>
          <w:p>
            <w:r>
              <w:t>311</w:t>
            </w:r>
          </w:p>
        </w:tc>
      </w:tr>
      <w:tr>
        <w:tc>
          <w:tcPr>
            <w:tcW w:type="dxa" w:w="4968"/>
          </w:tcPr>
          <w:p>
            <w:r>
              <w:t>Exchange / scanner</w:t>
            </w:r>
          </w:p>
        </w:tc>
        <w:tc>
          <w:tcPr>
            <w:tcW w:type="dxa" w:w="4968"/>
          </w:tcPr>
          <w:p>
            <w:r>
              <w:t>TDnet</w:t>
            </w:r>
          </w:p>
        </w:tc>
      </w:tr>
      <w:tr>
        <w:tc>
          <w:tcPr>
            <w:tcW w:type="dxa" w:w="4968"/>
          </w:tcPr>
          <w:p>
            <w:r>
              <w:t>Country</w:t>
            </w:r>
          </w:p>
        </w:tc>
        <w:tc>
          <w:tcPr>
            <w:tcW w:type="dxa" w:w="4968"/>
          </w:tcPr>
          <w:p>
            <w:r>
              <w:t>JP</w:t>
            </w:r>
          </w:p>
        </w:tc>
      </w:tr>
      <w:tr>
        <w:tc>
          <w:tcPr>
            <w:tcW w:type="dxa" w:w="4968"/>
          </w:tcPr>
          <w:p>
            <w:r>
              <w:t>Scanner score</w:t>
            </w:r>
          </w:p>
        </w:tc>
        <w:tc>
          <w:tcPr>
            <w:tcW w:type="dxa" w:w="4968"/>
          </w:tcPr>
          <w:p>
            <w:r>
              <w:t>31.0</w:t>
            </w:r>
          </w:p>
        </w:tc>
      </w:tr>
      <w:tr>
        <w:tc>
          <w:tcPr>
            <w:tcW w:type="dxa" w:w="4968"/>
          </w:tcPr>
          <w:p>
            <w:r>
              <w:t>Convergence count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Translation confidence</w:t>
            </w:r>
          </w:p>
        </w:tc>
        <w:tc>
          <w:tcPr>
            <w:tcW w:type="dxa" w:w="4968"/>
          </w:tcPr>
          <w:p>
            <w:r>
              <w:t>0.88</w:t>
            </w:r>
          </w:p>
        </w:tc>
      </w:tr>
      <w:tr>
        <w:tc>
          <w:tcPr>
            <w:tcW w:type="dxa" w:w="4968"/>
          </w:tcPr>
          <w:p>
            <w:r>
              <w:t>Thesis direction</w:t>
            </w:r>
          </w:p>
        </w:tc>
        <w:tc>
          <w:tcPr>
            <w:tcW w:type="dxa" w:w="4968"/>
          </w:tcPr>
          <w:p>
            <w:r>
              <w:t>short</w:t>
            </w:r>
          </w:p>
        </w:tc>
      </w:tr>
      <w:tr>
        <w:tc>
          <w:tcPr>
            <w:tcW w:type="dxa" w:w="4968"/>
          </w:tcPr>
          <w:p>
            <w:r>
              <w:t>Signal category</w:t>
            </w:r>
          </w:p>
        </w:tc>
        <w:tc>
          <w:tcPr>
            <w:tcW w:type="dxa" w:w="4968"/>
          </w:tcPr>
          <w:p>
            <w:r>
              <w:t>results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pending_deep_dive</w:t>
            </w:r>
          </w:p>
        </w:tc>
      </w:tr>
      <w:tr>
        <w:tc>
          <w:tcPr>
            <w:tcW w:type="dxa" w:w="4968"/>
          </w:tcPr>
          <w:p>
            <w:r>
              <w:t>First signal date</w:t>
            </w:r>
          </w:p>
        </w:tc>
        <w:tc>
          <w:tcPr>
            <w:tcW w:type="dxa" w:w="4968"/>
          </w:tcPr>
          <w:p>
            <w:r>
              <w:t>2026-04-09</w:t>
            </w:r>
          </w:p>
        </w:tc>
      </w:tr>
      <w:tr>
        <w:tc>
          <w:tcPr>
            <w:tcW w:type="dxa" w:w="4968"/>
          </w:tcPr>
          <w:p>
            <w:r>
              <w:t>Primary catalyst date</w:t>
            </w:r>
          </w:p>
        </w:tc>
        <w:tc>
          <w:tcPr>
            <w:tcW w:type="dxa" w:w="4968"/>
          </w:tcPr>
          <w:p>
            <w:r>
              <w:t>2026-04-09</w:t>
            </w:r>
          </w:p>
        </w:tc>
      </w:tr>
    </w:tbl>
    <w:p>
      <w:pPr>
        <w:pStyle w:val="Heading1"/>
      </w:pPr>
      <w:r>
        <w:t>Source candidate body (verbatim)</w:t>
      </w:r>
    </w:p>
    <w:p/>
    <w:p>
      <w:pPr>
        <w:pStyle w:val="Heading1"/>
      </w:pPr>
      <w:r>
        <w:t>AEON Fantasy (4343.XTKS) — Non-operating income + special losses booking</w:t>
      </w:r>
    </w:p>
    <w:p/>
    <w:p>
      <w:r>
        <w:rPr>
          <w:i/>
        </w:rPr>
        <w:t>**STATUS: pending_deep_dive.** Automated-scanner stub. Do not act on this alone.</w:t>
      </w:r>
    </w:p>
    <w:p/>
    <w:p>
      <w:pPr>
        <w:pStyle w:val="Heading2"/>
      </w:pPr>
      <w:r>
        <w:t>TL;DR</w:t>
      </w:r>
    </w:p>
    <w:p/>
    <w:p>
      <w:r>
        <w:t>On 2026-04-09 (04:30 UTC / 13:30 JST) AEON Fantasy — the indoor family entertainment / kids-amusement subsidiary of the AEON group, operating "Mollyfantasy" and "Kidzooona" arcades inside AEON malls — released a TDnet filing titled 「営業外収益及び特別損失の計上に関するお知らせ」 ("Notice of booking of non-operating income and special losses"). Scanner classifies signal_strength=4, thesis_direction=short, tc=0.88 (above the 0.85 direction-allow floor). Score 31 — immediate-route. The dual booking (non-op income AND special losses in the same release) is unusual; the most common pattern is an insurance/tax refund recovery on the income side paired with store-closure/impairment charges on the loss side. Market cap $311M USD is just above the floor — low liquidity.</w:t>
      </w:r>
    </w:p>
    <w:p/>
    <w:p>
      <w:pPr>
        <w:pStyle w:val="Heading2"/>
      </w:pPr>
      <w:r>
        <w:t>Source signal</w:t>
      </w:r>
    </w:p>
    <w:p/>
    <w:p>
      <w:pPr>
        <w:pStyle w:val="ListBullet"/>
      </w:pPr>
      <w:r>
        <w:t>**Source URL**: https://www.release.tdnet.info/inbs/140120260409500600.pdf</w:t>
      </w:r>
    </w:p>
    <w:p>
      <w:pPr>
        <w:pStyle w:val="ListBullet"/>
      </w:pPr>
      <w:r>
        <w:t>**Filing date/time**: 2026-04-09 04:30 UTC (13:30 JST)</w:t>
      </w:r>
    </w:p>
    <w:p>
      <w:pPr>
        <w:pStyle w:val="ListBullet"/>
      </w:pPr>
      <w:r>
        <w:t>**Local-language headline**: 「営業外収益及び特別損失の計上に関するお知らせ」</w:t>
      </w:r>
    </w:p>
    <w:p>
      <w:pPr>
        <w:pStyle w:val="ListBullet"/>
      </w:pPr>
      <w:r>
        <w:t>**Signal ID**: `6b4296297b9890745bbe6fb2f7252f10`</w:t>
      </w:r>
    </w:p>
    <w:p/>
    <w:p>
      <w:pPr>
        <w:pStyle w:val="Heading2"/>
      </w:pPr>
      <w:r>
        <w:t>Translation notes</w:t>
      </w:r>
    </w:p>
    <w:p/>
    <w:p>
      <w:r>
        <w:t>Translation confidence 0.88 — above the 0.85 direction-allow floor but below high-confidence. Direction tag `short` is pattern-matched on `特別損失` ("special losses"). Deep-dive MUST read the PDF to confirm:</w:t>
      </w:r>
    </w:p>
    <w:p>
      <w:pPr>
        <w:pStyle w:val="ListBullet"/>
      </w:pPr>
      <w:r>
        <w:t>Actual yen magnitude of the special loss</w:t>
      </w:r>
    </w:p>
    <w:p>
      <w:pPr>
        <w:pStyle w:val="ListBullet"/>
      </w:pPr>
      <w:r>
        <w:t>Cause (store closure? impairment of overseas subsidiaries, e.g. China/ASEAN? non-recurring restructuring?)</w:t>
      </w:r>
    </w:p>
    <w:p>
      <w:pPr>
        <w:pStyle w:val="ListBullet"/>
      </w:pPr>
      <w:r>
        <w:t>Size of the offsetting non-operating income (insurance recovery? gain on sale? foreign-exchange?)</w:t>
      </w:r>
    </w:p>
    <w:p>
      <w:pPr>
        <w:pStyle w:val="ListBullet"/>
      </w:pPr>
      <w:r>
        <w:t>Net P&amp;L impact vs. prior guidance</w:t>
      </w:r>
    </w:p>
    <w:p/>
    <w:p>
      <w:pPr>
        <w:pStyle w:val="Heading2"/>
      </w:pPr>
      <w:r>
        <w:t>Company context (to be completed by deep-dive)</w:t>
      </w:r>
    </w:p>
    <w:p/>
    <w:p>
      <w:pPr>
        <w:pStyle w:val="ListBullet"/>
      </w:pPr>
      <w:r>
        <w:t>Market cap: $311M USD (JPY ~¥46B at 150 JPY/USD). At the $300M floor — liquidity-constrained for institutional sizing.</w:t>
      </w:r>
    </w:p>
    <w:p>
      <w:pPr>
        <w:pStyle w:val="ListBullet"/>
      </w:pPr>
      <w:r>
        <w:t>Sector: Consumer Services / Leisure (amusement/entertainment).</w:t>
      </w:r>
    </w:p>
    <w:p>
      <w:pPr>
        <w:pStyle w:val="ListBullet"/>
      </w:pPr>
      <w:r>
        <w:t>Parent: AEON Group (8267 itself saw a separate TDnet tender-offer signal this cycle — cross-reference).</w:t>
      </w:r>
    </w:p>
    <w:p>
      <w:pPr>
        <w:pStyle w:val="ListBullet"/>
      </w:pPr>
      <w:r>
        <w:t>Business: indoor kids-amusement arcades operated inside AEON malls in Japan + overseas (China, ASEAN). Overseas expansion is the known impairment-risk area.</w:t>
      </w:r>
    </w:p>
    <w:p>
      <w:pPr>
        <w:pStyle w:val="ListBullet"/>
      </w:pPr>
      <w:r>
        <w:t>Fiscal year: AEON Fantasy's FY ends February, so this April 2026 filing likely relates to FY2026 (Feb 2026) results preview OR an FY2027 (Feb 2027) Q1 pre-announcement.</w:t>
      </w:r>
    </w:p>
    <w:p>
      <w:pPr>
        <w:pStyle w:val="ListBullet"/>
      </w:pPr>
      <w:r>
        <w:t>30/90-day price: TODO. Pull from yfinance `4343.T`.</w:t>
      </w:r>
    </w:p>
    <w:p>
      <w:pPr>
        <w:pStyle w:val="ListBullet"/>
      </w:pPr>
      <w:r>
        <w:t>Recent news: TODO — check Nikkei, Bloomberg JP for overseas store-closure rumors, China same-store-sales warnings, or wage-cost pressure stories in Q1 2026.</w:t>
      </w:r>
    </w:p>
    <w:p/>
    <w:p>
      <w:pPr>
        <w:pStyle w:val="Heading2"/>
      </w:pPr>
      <w:r>
        <w:t>Thesis statement (to be completed by deep-dive)</w:t>
      </w:r>
    </w:p>
    <w:p/>
    <w:p>
      <w:r>
        <w:t>**Pending.** Direction pre-tagged `short` — standard TDnet 特別損失 pattern.</w:t>
      </w:r>
    </w:p>
    <w:p/>
    <w:p>
      <w:r>
        <w:t>Deep-dive must:</w:t>
      </w:r>
    </w:p>
    <w:p>
      <w:pPr>
        <w:pStyle w:val="ListBullet"/>
      </w:pPr>
      <w:r>
        <w:t>Read the PDF to extract:</w:t>
      </w:r>
    </w:p>
    <w:p>
      <w:r>
        <w:t xml:space="preserve">  - Special loss amount (JPY), and line-item (impairment, restructuring, litigation, inventory write-down)</w:t>
      </w:r>
    </w:p>
    <w:p>
      <w:r>
        <w:t xml:space="preserve">  - Non-operating income amount and source</w:t>
      </w:r>
    </w:p>
    <w:p>
      <w:r>
        <w:t xml:space="preserve">  - Net impact on FY guidance (has management revised the forecast?)</w:t>
      </w:r>
    </w:p>
    <w:p>
      <w:r>
        <w:t xml:space="preserve">  - Whether a concurrent 業績予想の修正 ("guidance revision") filing was made</w:t>
      </w:r>
    </w:p>
    <w:p>
      <w:pPr>
        <w:pStyle w:val="ListBullet"/>
      </w:pPr>
      <w:r>
        <w:t>Check for companion filings on the same day (4343 TDnet index for 2026-04-09)</w:t>
      </w:r>
    </w:p>
    <w:p>
      <w:pPr>
        <w:pStyle w:val="ListBullet"/>
      </w:pPr>
      <w:r>
        <w:t>Size the loss vs. consensus FY2026 net income (Nikkei/Bloomberg JP consensus)</w:t>
      </w:r>
    </w:p>
    <w:p>
      <w:pPr>
        <w:pStyle w:val="ListBullet"/>
      </w:pPr>
      <w:r>
        <w:t>Consider instruments:</w:t>
      </w:r>
    </w:p>
    <w:p>
      <w:r>
        <w:t xml:space="preserve">  - **Straight short 4343** — direct but low liquidity (avg daily volume thin)</w:t>
      </w:r>
    </w:p>
    <w:p>
      <w:r>
        <w:t xml:space="preserve">  - **Pair short 4343 vs. long 8267 (AEON parent)** — if the loss is 4343-idiosyncratic, the parent may be insulated</w:t>
      </w:r>
    </w:p>
    <w:p>
      <w:r>
        <w:t xml:space="preserve">  - **Avoid options** — Japan single-name options on mid-caps at this size are illiquid</w:t>
      </w:r>
    </w:p>
    <w:p/>
    <w:p>
      <w:pPr>
        <w:pStyle w:val="Heading2"/>
      </w:pPr>
      <w:r>
        <w:t>Steelman of the opposite view</w:t>
      </w:r>
    </w:p>
    <w:p/>
    <w:p>
      <w:r>
        <w:t>A "non-op income + special loss" dual booking can be **net-neutral or net-positive** for cash earnings if the non-operating income is a large insurance recovery, tax refund, or gain-on-sale of a non-core asset, and the special loss is a one-time overseas impairment that management had already telegraphed. In that scenario:</w:t>
      </w:r>
    </w:p>
    <w:p>
      <w:pPr>
        <w:pStyle w:val="ListBullet"/>
      </w:pPr>
      <w:r>
        <w:t>The market has priced in the impairment already (30-day drift would show this)</w:t>
      </w:r>
    </w:p>
    <w:p>
      <w:pPr>
        <w:pStyle w:val="ListBullet"/>
      </w:pPr>
      <w:r>
        <w:t>The offsetting income is fresh news</w:t>
      </w:r>
    </w:p>
    <w:p>
      <w:pPr>
        <w:pStyle w:val="ListBullet"/>
      </w:pPr>
      <w:r>
        <w:t>The stock can rally on the release because cash EPS beats the prior-guidance midpoint</w:t>
      </w:r>
    </w:p>
    <w:p>
      <w:pPr>
        <w:pStyle w:val="ListBullet"/>
      </w:pPr>
      <w:r>
        <w:t>A reflexive short on `特別損失` headline gets run over</w:t>
      </w:r>
    </w:p>
    <w:p/>
    <w:p>
      <w:r>
        <w:t>Before sizing any short, deep-dive must confirm the special loss is NET LARGER than the offsetting income, that guidance is being cut (not held), and that the market had not telegraphed the impairment already.</w:t>
      </w:r>
    </w:p>
    <w:p/>
    <w:p>
      <w:pPr>
        <w:pStyle w:val="Heading2"/>
      </w:pPr>
      <w:r>
        <w:t>Web research layer (deep-dive TODO)</w:t>
      </w:r>
    </w:p>
    <w:p/>
    <w:p>
      <w:pPr>
        <w:pStyle w:val="ListBullet"/>
      </w:pPr>
      <w:r>
        <w:t>Search Nikkei Asia for "AEON Fantasy China" / "Mollyfantasy" closures in last 90 days</w:t>
      </w:r>
    </w:p>
    <w:p>
      <w:pPr>
        <w:pStyle w:val="ListBullet"/>
      </w:pPr>
      <w:r>
        <w:t>Check IR calendar at https://www.fantasy.co.jp/ir/ for FY2026 results date</w:t>
      </w:r>
    </w:p>
    <w:p>
      <w:pPr>
        <w:pStyle w:val="ListBullet"/>
      </w:pPr>
      <w:r>
        <w:t>Look for analyst notes from Nomura, Daiwa, SMBC Nikko — recent rating changes or target cuts</w:t>
      </w:r>
    </w:p>
    <w:p>
      <w:pPr>
        <w:pStyle w:val="ListBullet"/>
      </w:pPr>
      <w:r>
        <w:t>Cross-reference AEON group (8267) same-week filings — parent-level color on the subsidiary</w:t>
      </w:r>
    </w:p>
    <w:p/>
    <w:p>
      <w:pPr>
        <w:pStyle w:val="Heading2"/>
      </w:pPr>
      <w:r>
        <w:t>Kill conditions</w:t>
      </w:r>
    </w:p>
    <w:p/>
    <w:p>
      <w:pPr>
        <w:pStyle w:val="ListBullet"/>
      </w:pPr>
      <w:r>
        <w:t>**Kill if** deep-dive PDF shows net non-op income &gt; special loss (reverses direction)</w:t>
      </w:r>
    </w:p>
    <w:p>
      <w:pPr>
        <w:pStyle w:val="ListBullet"/>
      </w:pPr>
      <w:r>
        <w:t>**Kill if** guidance is HELD or RAISED alongside the notice</w:t>
      </w:r>
    </w:p>
    <w:p>
      <w:pPr>
        <w:pStyle w:val="ListBullet"/>
      </w:pPr>
      <w:r>
        <w:t>**Kill if** the special loss is &lt; ¥500M (immaterial vs. ¥46B market cap → ~1% hit)</w:t>
      </w:r>
    </w:p>
    <w:p>
      <w:pPr>
        <w:pStyle w:val="ListBullet"/>
      </w:pPr>
      <w:r>
        <w:t>**Kill if** stock is already down &gt;10% in the 30 days pre-filing (priced in)</w:t>
      </w:r>
    </w:p>
    <w:p>
      <w:pPr>
        <w:pStyle w:val="ListBullet"/>
      </w:pPr>
      <w:r>
        <w:t>**Kill if** liquidity check (20-day ADV) &lt; $1M USD-equivalent — un-tradeable</w:t>
      </w:r>
    </w:p>
    <w:p/>
    <w:p>
      <w:pPr>
        <w:pStyle w:val="Heading2"/>
      </w:pPr>
      <w:r>
        <w:t>Catalyst map</w:t>
      </w:r>
    </w:p>
    <w:p/>
    <w:p>
      <w:pPr>
        <w:pStyle w:val="ListBullet"/>
      </w:pPr>
      <w:r>
        <w:t>**Primary catalyst**: FY2026 results release (typically April for a February-end FY) — watch for concurrent guidance revision</w:t>
      </w:r>
    </w:p>
    <w:p>
      <w:pPr>
        <w:pStyle w:val="ListBullet"/>
      </w:pPr>
      <w:r>
        <w:t>**Window**: 0–30 days</w:t>
      </w:r>
    </w:p>
    <w:p>
      <w:pPr>
        <w:pStyle w:val="ListBullet"/>
      </w:pPr>
      <w:r>
        <w:t>**Entry trigger**: deep-dive confirms loss &gt; income AND guidance cut</w:t>
      </w:r>
    </w:p>
    <w:p>
      <w:pPr>
        <w:pStyle w:val="ListBullet"/>
      </w:pPr>
      <w:r>
        <w:t>**Exit trigger**: post-results reversal, earnings-day gap up, or hit kill condition</w:t>
      </w:r>
    </w:p>
    <w:p/>
    <w:p>
      <w:pPr>
        <w:pStyle w:val="Heading2"/>
      </w:pPr>
      <w:r>
        <w:t>Position sizing</w:t>
      </w:r>
    </w:p>
    <w:p/>
    <w:p>
      <w:r>
        <w:t>Placeholder — do not size until deep-dive complete. Liquidity floor: 4343 20-day ADV must be confirmed. Target portfolio weight: 0.5–1.0% net short on conviction, half-size on tc=0.88 confidence.</w:t>
      </w:r>
    </w:p>
    <w:p/>
    <w:p>
      <w:pPr>
        <w:pStyle w:val="Heading2"/>
      </w:pPr>
      <w:r>
        <w:t>Source traceability</w:t>
      </w:r>
    </w:p>
    <w:p/>
    <w:p>
      <w:pPr>
        <w:pStyle w:val="ListBullet"/>
      </w:pPr>
      <w:r>
        <w:t>Signal hash: `604d9e0bbcb71782d10f83f2`</w:t>
      </w:r>
    </w:p>
    <w:p>
      <w:pPr>
        <w:pStyle w:val="ListBullet"/>
      </w:pPr>
      <w:r>
        <w:t>TDnet PDF: https://www.release.tdnet.info/inbs/140120260409500600.pdf</w:t>
      </w:r>
    </w:p>
    <w:p>
      <w:pPr>
        <w:pStyle w:val="ListBullet"/>
      </w:pPr>
      <w:r>
        <w:t>Scanner: `tdnet` / Phase 2</w:t>
      </w:r>
    </w:p>
    <w:p>
      <w:pPr>
        <w:pStyle w:val="ListBullet"/>
      </w:pPr>
      <w:r>
        <w:t>Scan date: 2026-04-15</w:t>
      </w:r>
    </w:p>
    <w:p/>
    <w:p>
      <w:pPr>
        <w:pStyle w:val="Heading1"/>
      </w:pPr>
      <w:r>
        <w:t>Backfill provenance</w:t>
      </w:r>
    </w:p>
    <w:p>
      <w:r>
        <w:t>This deep dive was generated by reporting-hub-deep-dives task on 2026-04-15T21:12:00Z as part of the non_us backfill cycle (registry schema 3.0 migration). Source candidate is an automated-scanner stub; deep-dive analyst review is still pending. Hypothesis and key-dates fields are derived mechanically from frontmatter and signal type — they should be replaced once an analyst pass occurs.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