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2A44"/>
        </w:rPr>
        <w:t>Bengo4.com,Inc. (6027.XTKS)</w:t>
      </w:r>
    </w:p>
    <w:p>
      <w:r>
        <w:rPr>
          <w:i/>
          <w:sz w:val="18"/>
        </w:rPr>
        <w:t>Deep Dive — Impairment Loss · Generated 2026-04-15 · Source tool: non_us</w:t>
      </w:r>
    </w:p>
    <w:p>
      <w:pPr>
        <w:pStyle w:val="Heading1"/>
      </w:pPr>
      <w:r>
        <w:t>Hypothesis</w:t>
      </w:r>
    </w:p>
    <w:p>
      <w:r>
        <w:t>Bengo4.com,Inc. (6027.XTKS) disclosed impairment loss on 2026-04-15 ($389M USD mcap, scanner score 31.0). Working hypothesis is short: one-off accounting hits often create clean-slate setups where the market over-discounts forward earnings. Deep-dive must quantify the cash vs. non-cash split, confirm guidance is not being lowered structurally, and identify any catalyst that re-anchors valuation post-disclosure.</w:t>
      </w:r>
    </w:p>
    <w:p>
      <w:pPr>
        <w:pStyle w:val="Heading1"/>
      </w:pPr>
      <w:r>
        <w:t>Key dates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Event</w:t>
            </w:r>
          </w:p>
        </w:tc>
        <w:tc>
          <w:tcPr>
            <w:tcW w:type="dxa" w:w="3312"/>
          </w:tcPr>
          <w:p>
            <w:r>
              <w:t>Nature</w:t>
            </w:r>
          </w:p>
        </w:tc>
      </w:tr>
      <w:tr>
        <w:tc>
          <w:tcPr>
            <w:tcW w:type="dxa" w:w="3312"/>
          </w:tcPr>
          <w:p>
            <w:r>
              <w:t>2026-04-15</w:t>
            </w:r>
          </w:p>
        </w:tc>
        <w:tc>
          <w:tcPr>
            <w:tcW w:type="dxa" w:w="3312"/>
          </w:tcPr>
          <w:p>
            <w:r>
              <w:t>Initial scanner signal / source filing</w:t>
            </w:r>
          </w:p>
        </w:tc>
        <w:tc>
          <w:tcPr>
            <w:tcW w:type="dxa" w:w="3312"/>
          </w:tcPr>
          <w:p>
            <w:r>
              <w:t>filing</w:t>
            </w:r>
          </w:p>
        </w:tc>
      </w:tr>
      <w:tr>
        <w:tc>
          <w:tcPr>
            <w:tcW w:type="dxa" w:w="3312"/>
          </w:tcPr>
          <w:p>
            <w:r>
              <w:t>TBD</w:t>
            </w:r>
          </w:p>
        </w:tc>
        <w:tc>
          <w:tcPr>
            <w:tcW w:type="dxa" w:w="3312"/>
          </w:tcPr>
          <w:p>
            <w:r>
              <w:t>Resolution window (T+5 to T+30 typical for this signal type)</w:t>
            </w:r>
          </w:p>
        </w:tc>
        <w:tc>
          <w:tcPr>
            <w:tcW w:type="dxa" w:w="3312"/>
          </w:tcPr>
          <w:p>
            <w:r>
              <w:t>other</w:t>
            </w:r>
          </w:p>
        </w:tc>
      </w:tr>
    </w:tbl>
    <w:p>
      <w:pPr>
        <w:pStyle w:val="Heading1"/>
      </w:pPr>
      <w:r>
        <w:t>Source candidate metadata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ISIN</w:t>
            </w:r>
          </w:p>
        </w:tc>
        <w:tc>
          <w:tcPr>
            <w:tcW w:type="dxa" w:w="4968"/>
          </w:tcPr>
          <w:p>
            <w:r>
              <w:t>null</w:t>
            </w:r>
          </w:p>
        </w:tc>
      </w:tr>
      <w:tr>
        <w:tc>
          <w:tcPr>
            <w:tcW w:type="dxa" w:w="4968"/>
          </w:tcPr>
          <w:p>
            <w:r>
              <w:t>FIGI</w:t>
            </w:r>
          </w:p>
        </w:tc>
        <w:tc>
          <w:tcPr>
            <w:tcW w:type="dxa" w:w="4968"/>
          </w:tcPr>
          <w:p>
            <w:r>
              <w:t>BBG007HP08F6</w:t>
            </w:r>
          </w:p>
        </w:tc>
      </w:tr>
      <w:tr>
        <w:tc>
          <w:tcPr>
            <w:tcW w:type="dxa" w:w="4968"/>
          </w:tcPr>
          <w:p>
            <w:r>
              <w:t>Issuer FIGI</w:t>
            </w:r>
          </w:p>
        </w:tc>
        <w:tc>
          <w:tcPr>
            <w:tcW w:type="dxa" w:w="4968"/>
          </w:tcPr>
          <w:p>
            <w:r>
              <w:t>BBG007HP08C9</w:t>
            </w:r>
          </w:p>
        </w:tc>
      </w:tr>
      <w:tr>
        <w:tc>
          <w:tcPr>
            <w:tcW w:type="dxa" w:w="4968"/>
          </w:tcPr>
          <w:p>
            <w:r>
              <w:t>Market cap (USD mm)</w:t>
            </w:r>
          </w:p>
        </w:tc>
        <w:tc>
          <w:tcPr>
            <w:tcW w:type="dxa" w:w="4968"/>
          </w:tcPr>
          <w:p>
            <w:r>
              <w:t>389</w:t>
            </w:r>
          </w:p>
        </w:tc>
      </w:tr>
      <w:tr>
        <w:tc>
          <w:tcPr>
            <w:tcW w:type="dxa" w:w="4968"/>
          </w:tcPr>
          <w:p>
            <w:r>
              <w:t>Exchange / scanner</w:t>
            </w:r>
          </w:p>
        </w:tc>
        <w:tc>
          <w:tcPr>
            <w:tcW w:type="dxa" w:w="4968"/>
          </w:tcPr>
          <w:p>
            <w:r>
              <w:t>TDnet</w:t>
            </w:r>
          </w:p>
        </w:tc>
      </w:tr>
      <w:tr>
        <w:tc>
          <w:tcPr>
            <w:tcW w:type="dxa" w:w="4968"/>
          </w:tcPr>
          <w:p>
            <w:r>
              <w:t>Country</w:t>
            </w:r>
          </w:p>
        </w:tc>
        <w:tc>
          <w:tcPr>
            <w:tcW w:type="dxa" w:w="4968"/>
          </w:tcPr>
          <w:p>
            <w:r>
              <w:t>JP</w:t>
            </w:r>
          </w:p>
        </w:tc>
      </w:tr>
      <w:tr>
        <w:tc>
          <w:tcPr>
            <w:tcW w:type="dxa" w:w="4968"/>
          </w:tcPr>
          <w:p>
            <w:r>
              <w:t>Scanner score</w:t>
            </w:r>
          </w:p>
        </w:tc>
        <w:tc>
          <w:tcPr>
            <w:tcW w:type="dxa" w:w="4968"/>
          </w:tcPr>
          <w:p>
            <w:r>
              <w:t>31.0</w:t>
            </w:r>
          </w:p>
        </w:tc>
      </w:tr>
      <w:tr>
        <w:tc>
          <w:tcPr>
            <w:tcW w:type="dxa" w:w="4968"/>
          </w:tcPr>
          <w:p>
            <w:r>
              <w:t>Convergence count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Translation confidence</w:t>
            </w:r>
          </w:p>
        </w:tc>
        <w:tc>
          <w:tcPr>
            <w:tcW w:type="dxa" w:w="4968"/>
          </w:tcPr>
          <w:p>
            <w:r>
              <w:t>0.88</w:t>
            </w:r>
          </w:p>
        </w:tc>
      </w:tr>
      <w:tr>
        <w:tc>
          <w:tcPr>
            <w:tcW w:type="dxa" w:w="4968"/>
          </w:tcPr>
          <w:p>
            <w:r>
              <w:t>Thesis direction</w:t>
            </w:r>
          </w:p>
        </w:tc>
        <w:tc>
          <w:tcPr>
            <w:tcW w:type="dxa" w:w="4968"/>
          </w:tcPr>
          <w:p>
            <w:r>
              <w:t>short</w:t>
            </w:r>
          </w:p>
        </w:tc>
      </w:tr>
      <w:tr>
        <w:tc>
          <w:tcPr>
            <w:tcW w:type="dxa" w:w="4968"/>
          </w:tcPr>
          <w:p>
            <w:r>
              <w:t>Signal category</w:t>
            </w:r>
          </w:p>
        </w:tc>
        <w:tc>
          <w:tcPr>
            <w:tcW w:type="dxa" w:w="4968"/>
          </w:tcPr>
          <w:p>
            <w:r>
              <w:t>results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pending_deep_dive</w:t>
            </w:r>
          </w:p>
        </w:tc>
      </w:tr>
      <w:tr>
        <w:tc>
          <w:tcPr>
            <w:tcW w:type="dxa" w:w="4968"/>
          </w:tcPr>
          <w:p>
            <w:r>
              <w:t>First signal date</w:t>
            </w:r>
          </w:p>
        </w:tc>
        <w:tc>
          <w:tcPr>
            <w:tcW w:type="dxa" w:w="4968"/>
          </w:tcPr>
          <w:p>
            <w:r>
              <w:t>2026-04-15</w:t>
            </w:r>
          </w:p>
        </w:tc>
      </w:tr>
      <w:tr>
        <w:tc>
          <w:tcPr>
            <w:tcW w:type="dxa" w:w="4968"/>
          </w:tcPr>
          <w:p>
            <w:r>
              <w:t>Primary catalyst date</w:t>
            </w:r>
          </w:p>
        </w:tc>
        <w:tc>
          <w:tcPr>
            <w:tcW w:type="dxa" w:w="4968"/>
          </w:tcPr>
          <w:p>
            <w:r>
              <w:t>indefinite</w:t>
            </w:r>
          </w:p>
        </w:tc>
      </w:tr>
    </w:tbl>
    <w:p>
      <w:pPr>
        <w:pStyle w:val="Heading1"/>
      </w:pPr>
      <w:r>
        <w:t>Source candidate body (verbatim)</w:t>
      </w:r>
    </w:p>
    <w:p/>
    <w:p>
      <w:pPr>
        <w:pStyle w:val="Heading1"/>
      </w:pPr>
      <w:r>
        <w:t>Bengo4.com,Inc. (6027.XTKS) — Impairment Loss</w:t>
      </w:r>
    </w:p>
    <w:p/>
    <w:p>
      <w:r>
        <w:rPr>
          <w:i/>
        </w:rPr>
        <w:t>**STATUS: pending_deep_dive.** Automated-scanner stub. Do not act on this alone.</w:t>
      </w:r>
    </w:p>
    <w:p/>
    <w:p>
      <w:pPr>
        <w:pStyle w:val="Heading2"/>
      </w:pPr>
      <w:r>
        <w:t>TL;DR</w:t>
      </w:r>
    </w:p>
    <w:p/>
    <w:p>
      <w:r>
        <w:t>TDnet filed 2026-04-15 for Bengo4.com,Inc. (6027). Scanner classified signal_type=impairment_loss at score_total=31.0, translation_confidence=0.88, thesis_direction=short. Market cap $389M USD. 1 related filing(s) merged via D-004 convergence.</w:t>
      </w:r>
    </w:p>
    <w:p/>
    <w:p>
      <w:pPr>
        <w:pStyle w:val="Heading2"/>
      </w:pPr>
      <w:r>
        <w:t>Source signals</w:t>
      </w:r>
    </w:p>
    <w:p/>
    <w:p>
      <w:pPr>
        <w:pStyle w:val="ListBullet"/>
      </w:pPr>
      <w:r>
        <w:t>[impairment_loss] https://www.release.tdnet.info/inbs/140120260415504708.pdf — signal_id c0a18d72aca8e690a6ada7a6ead291fe</w:t>
      </w:r>
    </w:p>
    <w:p/>
    <w:p>
      <w:pPr>
        <w:pStyle w:val="Heading2"/>
      </w:pPr>
      <w:r>
        <w:t>Translation notes</w:t>
      </w:r>
    </w:p>
    <w:p/>
    <w:p>
      <w:r>
        <w:t>Japanese source. Translation pattern is unambiguous at tc=0.88. Deep-dive must still read the PDF for specifics (price, premium, timing, counterparty).</w:t>
      </w:r>
    </w:p>
    <w:p/>
    <w:p>
      <w:pPr>
        <w:pStyle w:val="Heading2"/>
      </w:pPr>
      <w:r>
        <w:t>Company context</w:t>
      </w:r>
    </w:p>
    <w:p/>
    <w:p>
      <w:pPr>
        <w:pStyle w:val="ListBullet"/>
      </w:pPr>
      <w:r>
        <w:t>Market cap: $389M USD</w:t>
      </w:r>
    </w:p>
    <w:p>
      <w:pPr>
        <w:pStyle w:val="ListBullet"/>
      </w:pPr>
      <w:r>
        <w:t>Sector / sub-sector: TODO (deep-dive)</w:t>
      </w:r>
    </w:p>
    <w:p>
      <w:pPr>
        <w:pStyle w:val="ListBullet"/>
      </w:pPr>
      <w:r>
        <w:t>Recent price action: TODO (30/90d)</w:t>
      </w:r>
    </w:p>
    <w:p>
      <w:pPr>
        <w:pStyle w:val="ListBullet"/>
      </w:pPr>
      <w:r>
        <w:t>Cross-listings: TODO (check HK / ADR / LSE)</w:t>
      </w:r>
    </w:p>
    <w:p/>
    <w:p>
      <w:pPr>
        <w:pStyle w:val="Heading2"/>
      </w:pPr>
      <w:r>
        <w:t>Thesis statement (to be completed by deep-dive)</w:t>
      </w:r>
    </w:p>
    <w:p/>
    <w:p>
      <w:r>
        <w:t>Impairment or special loss disclosure. Direction=short on weakness in affected segment; check whether the market was surprised (vs. pre-announced).</w:t>
      </w:r>
    </w:p>
    <w:p/>
    <w:p>
      <w:pPr>
        <w:pStyle w:val="Heading2"/>
      </w:pPr>
      <w:r>
        <w:t>Steelman of the opposite view</w:t>
      </w:r>
    </w:p>
    <w:p/>
    <w:p>
      <w:r>
        <w:t>**Pending deep-dive.** Likely angles:</w:t>
      </w:r>
    </w:p>
    <w:p>
      <w:pPr>
        <w:pStyle w:val="ListBullet"/>
      </w:pPr>
      <w:r>
        <w:t>Market already priced in the disclosure (no edge).</w:t>
      </w:r>
    </w:p>
    <w:p>
      <w:pPr>
        <w:pStyle w:val="ListBullet"/>
      </w:pPr>
      <w:r>
        <w:t>Terms / magnitude less favorable than headline implies.</w:t>
      </w:r>
    </w:p>
    <w:p>
      <w:pPr>
        <w:pStyle w:val="ListBullet"/>
      </w:pPr>
      <w:r>
        <w:t>Counter-catalyst exists (regulatory, activist, competing bid).</w:t>
      </w:r>
    </w:p>
    <w:p>
      <w:pPr>
        <w:pStyle w:val="ListBullet"/>
      </w:pPr>
      <w:r>
        <w:t>Translation / interpretation error — revisit tc if direction flips on re-read.</w:t>
      </w:r>
    </w:p>
    <w:p/>
    <w:p>
      <w:pPr>
        <w:pStyle w:val="Heading2"/>
      </w:pPr>
      <w:r>
        <w:t>Web research layer (mandatory — pending)</w:t>
      </w:r>
    </w:p>
    <w:p/>
    <w:p>
      <w:pPr>
        <w:pStyle w:val="ListBullet"/>
      </w:pPr>
      <w:r>
        <w:t>Nikkei / Reuters / Bloomberg coverage of Bengo4.com,Inc.</w:t>
      </w:r>
    </w:p>
    <w:p>
      <w:pPr>
        <w:pStyle w:val="ListBullet"/>
      </w:pPr>
      <w:r>
        <w:t>Peer precedents for the same signal_type in JP market</w:t>
      </w:r>
    </w:p>
    <w:p>
      <w:pPr>
        <w:pStyle w:val="ListBullet"/>
      </w:pPr>
      <w:r>
        <w:t>Shareholder register (activist presence?)</w:t>
      </w:r>
    </w:p>
    <w:p>
      <w:pPr>
        <w:pStyle w:val="ListBullet"/>
      </w:pPr>
      <w:r>
        <w:t>Analyst coverage &amp; recent target price moves</w:t>
      </w:r>
    </w:p>
    <w:p/>
    <w:p>
      <w:pPr>
        <w:pStyle w:val="Heading2"/>
      </w:pPr>
      <w:r>
        <w:t>Kill conditions</w:t>
      </w:r>
    </w:p>
    <w:p/>
    <w:p>
      <w:pPr>
        <w:pStyle w:val="ListBullet"/>
      </w:pPr>
      <w:r>
        <w:t>**Kill 1:** Subsequent TDnet filing revising terms unfavorably — flip or cut.</w:t>
      </w:r>
    </w:p>
    <w:p>
      <w:pPr>
        <w:pStyle w:val="ListBullet"/>
      </w:pPr>
      <w:r>
        <w:t>**Kill 2:** Board or independent committee opposes (for takeover signals); regulatory action escalates (for litigation signals).</w:t>
      </w:r>
    </w:p>
    <w:p>
      <w:pPr>
        <w:pStyle w:val="ListBullet"/>
      </w:pPr>
      <w:r>
        <w:t>**Kill 3:** Translation re-read flips thesis direction → exit.</w:t>
      </w:r>
    </w:p>
    <w:p>
      <w:pPr>
        <w:pStyle w:val="ListBullet"/>
      </w:pPr>
      <w:r>
        <w:t>**Kill 4:** Scanner flags superseding signal at the next cycle.</w:t>
      </w:r>
    </w:p>
    <w:p/>
    <w:p>
      <w:pPr>
        <w:pStyle w:val="Heading2"/>
      </w:pPr>
      <w:r>
        <w:t>Catalyst map (skeleton)</w:t>
      </w:r>
    </w:p>
    <w:p/>
    <w:p>
      <w:r>
        <w:t>| Event | Date/Window | Entry trigger | Exit trigger |</w:t>
      </w:r>
    </w:p>
    <w:p>
      <w:r>
        <w:t>|-------|-------------|---------------|--------------|</w:t>
      </w:r>
    </w:p>
    <w:p>
      <w:r>
        <w:t>| Primary filing | 2026-04-15 | (observed) | — |</w:t>
      </w:r>
    </w:p>
    <w:p>
      <w:r>
        <w:t>| Board / regulatory response | T+5 to T+15 | Confirm support | Cut on opposition |</w:t>
      </w:r>
    </w:p>
    <w:p>
      <w:r>
        <w:t>| Resolution window | varies | Maintain | Close near target |</w:t>
      </w:r>
    </w:p>
    <w:p/>
    <w:p>
      <w:pPr>
        <w:pStyle w:val="Heading2"/>
      </w:pPr>
      <w:r>
        <w:t>Position sizing</w:t>
      </w:r>
    </w:p>
    <w:p/>
    <w:p>
      <w:r>
        <w:t>Satellite (2–5%). Adjust for liquidity of 6027.T; $389M mcap implies moderate liquidity — verify ADV before sizing.</w:t>
      </w:r>
    </w:p>
    <w:p/>
    <w:p>
      <w:pPr>
        <w:pStyle w:val="Heading2"/>
      </w:pPr>
      <w:r>
        <w:t>Source traceability</w:t>
      </w:r>
    </w:p>
    <w:p/>
    <w:p>
      <w:pPr>
        <w:pStyle w:val="ListBullet"/>
      </w:pPr>
      <w:r>
        <w:t>[impairment_loss] https://www.release.tdnet.info/inbs/140120260415504708.pdf — signal_id c0a18d72aca8e690a6ada7a6ead291fe</w:t>
      </w:r>
    </w:p>
    <w:p>
      <w:pPr>
        <w:pStyle w:val="ListBullet"/>
      </w:pPr>
      <w:r>
        <w:t>OpenFIGI: ticker=6027 mic=XTKS → figi=BBG007HP08F6, issuer=BBG007HP08C9</w:t>
      </w:r>
    </w:p>
    <w:p>
      <w:pPr>
        <w:pStyle w:val="ListBullet"/>
      </w:pPr>
      <w:r>
        <w:t>Market cap: yfinance 6027.T → $389M USD</w:t>
      </w:r>
    </w:p>
    <w:p>
      <w:pPr>
        <w:pStyle w:val="ListBullet"/>
      </w:pPr>
      <w:r>
        <w:t>Convergence: D-004 hard-merge on (issuer_figi, signal_type, source_date)</w:t>
      </w:r>
    </w:p>
    <w:p/>
    <w:p>
      <w:pPr>
        <w:pStyle w:val="Heading1"/>
      </w:pPr>
      <w:r>
        <w:t>Backfill provenance</w:t>
      </w:r>
    </w:p>
    <w:p>
      <w:r>
        <w:t>This deep dive was generated by reporting-hub-deep-dives task on 2026-04-15T21:12:00Z as part of the non_us backfill cycle (registry schema 3.0 migration). Source candidate is an automated-scanner stub; deep-dive analyst review is still pending. Hypothesis and key-dates fields are derived mechanically from frontmatter and signal type — they should be replaced once an analyst pass occurs.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