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2A44"/>
        </w:rPr>
        <w:t>Vector Inc. (6058.XTKS)</w:t>
      </w:r>
    </w:p>
    <w:p>
      <w:r>
        <w:rPr>
          <w:i/>
          <w:sz w:val="18"/>
        </w:rPr>
        <w:t>Deep Dive — Impairment Loss · Generated 2026-04-15 · Source tool: non_us</w:t>
      </w:r>
    </w:p>
    <w:p>
      <w:pPr>
        <w:pStyle w:val="Heading1"/>
      </w:pPr>
      <w:r>
        <w:t>Hypothesis</w:t>
      </w:r>
    </w:p>
    <w:p>
      <w:r>
        <w:t>Vector Inc. (6058.XTKS) disclosed impairment loss on 2026-04-14 ($375M USD mcap, scanner score 31.0). Working hypothesis is short: one-off accounting hits often create clean-slate setups where the market over-discounts forward earnings. Deep-dive must quantify the cash vs. non-cash split, confirm guidance is not being lowered structurally, and identify any catalyst that re-anchors valuation post-disclosure.</w:t>
      </w:r>
    </w:p>
    <w:p>
      <w:pPr>
        <w:pStyle w:val="Heading1"/>
      </w:pPr>
      <w:r>
        <w:t>Key dates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Date</w:t>
            </w:r>
          </w:p>
        </w:tc>
        <w:tc>
          <w:tcPr>
            <w:tcW w:type="dxa" w:w="3312"/>
          </w:tcPr>
          <w:p>
            <w:r>
              <w:t>Event</w:t>
            </w:r>
          </w:p>
        </w:tc>
        <w:tc>
          <w:tcPr>
            <w:tcW w:type="dxa" w:w="3312"/>
          </w:tcPr>
          <w:p>
            <w:r>
              <w:t>Nature</w:t>
            </w:r>
          </w:p>
        </w:tc>
      </w:tr>
      <w:tr>
        <w:tc>
          <w:tcPr>
            <w:tcW w:type="dxa" w:w="3312"/>
          </w:tcPr>
          <w:p>
            <w:r>
              <w:t>2026-04-14</w:t>
            </w:r>
          </w:p>
        </w:tc>
        <w:tc>
          <w:tcPr>
            <w:tcW w:type="dxa" w:w="3312"/>
          </w:tcPr>
          <w:p>
            <w:r>
              <w:t>Initial scanner signal / source filing</w:t>
            </w:r>
          </w:p>
        </w:tc>
        <w:tc>
          <w:tcPr>
            <w:tcW w:type="dxa" w:w="3312"/>
          </w:tcPr>
          <w:p>
            <w:r>
              <w:t>filing</w:t>
            </w:r>
          </w:p>
        </w:tc>
      </w:tr>
      <w:tr>
        <w:tc>
          <w:tcPr>
            <w:tcW w:type="dxa" w:w="3312"/>
          </w:tcPr>
          <w:p>
            <w:r>
              <w:t>2026-04-14</w:t>
            </w:r>
          </w:p>
        </w:tc>
        <w:tc>
          <w:tcPr>
            <w:tcW w:type="dxa" w:w="3312"/>
          </w:tcPr>
          <w:p>
            <w:r>
              <w:t>Primary catalyst</w:t>
            </w:r>
          </w:p>
        </w:tc>
        <w:tc>
          <w:tcPr>
            <w:tcW w:type="dxa" w:w="3312"/>
          </w:tcPr>
          <w:p>
            <w:r>
              <w:t>decision</w:t>
            </w:r>
          </w:p>
        </w:tc>
      </w:tr>
    </w:tbl>
    <w:p>
      <w:pPr>
        <w:pStyle w:val="Heading1"/>
      </w:pPr>
      <w:r>
        <w:t>Source candidate metadata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ISIN</w:t>
            </w:r>
          </w:p>
        </w:tc>
        <w:tc>
          <w:tcPr>
            <w:tcW w:type="dxa" w:w="4968"/>
          </w:tcPr>
          <w:p>
            <w:r>
              <w:t>null</w:t>
            </w:r>
          </w:p>
        </w:tc>
      </w:tr>
      <w:tr>
        <w:tc>
          <w:tcPr>
            <w:tcW w:type="dxa" w:w="4968"/>
          </w:tcPr>
          <w:p>
            <w:r>
              <w:t>FIGI</w:t>
            </w:r>
          </w:p>
        </w:tc>
        <w:tc>
          <w:tcPr>
            <w:tcW w:type="dxa" w:w="4968"/>
          </w:tcPr>
          <w:p>
            <w:r>
              <w:t>BBG002PJLR30</w:t>
            </w:r>
          </w:p>
        </w:tc>
      </w:tr>
      <w:tr>
        <w:tc>
          <w:tcPr>
            <w:tcW w:type="dxa" w:w="4968"/>
          </w:tcPr>
          <w:p>
            <w:r>
              <w:t>Issuer FIGI</w:t>
            </w:r>
          </w:p>
        </w:tc>
        <w:tc>
          <w:tcPr>
            <w:tcW w:type="dxa" w:w="4968"/>
          </w:tcPr>
          <w:p>
            <w:r>
              <w:t>BBG002PJLR21</w:t>
            </w:r>
          </w:p>
        </w:tc>
      </w:tr>
      <w:tr>
        <w:tc>
          <w:tcPr>
            <w:tcW w:type="dxa" w:w="4968"/>
          </w:tcPr>
          <w:p>
            <w:r>
              <w:t>Market cap (USD mm)</w:t>
            </w:r>
          </w:p>
        </w:tc>
        <w:tc>
          <w:tcPr>
            <w:tcW w:type="dxa" w:w="4968"/>
          </w:tcPr>
          <w:p>
            <w:r>
              <w:t>375</w:t>
            </w:r>
          </w:p>
        </w:tc>
      </w:tr>
      <w:tr>
        <w:tc>
          <w:tcPr>
            <w:tcW w:type="dxa" w:w="4968"/>
          </w:tcPr>
          <w:p>
            <w:r>
              <w:t>Exchange / scanner</w:t>
            </w:r>
          </w:p>
        </w:tc>
        <w:tc>
          <w:tcPr>
            <w:tcW w:type="dxa" w:w="4968"/>
          </w:tcPr>
          <w:p>
            <w:r>
              <w:t>TDnet</w:t>
            </w:r>
          </w:p>
        </w:tc>
      </w:tr>
      <w:tr>
        <w:tc>
          <w:tcPr>
            <w:tcW w:type="dxa" w:w="4968"/>
          </w:tcPr>
          <w:p>
            <w:r>
              <w:t>Country</w:t>
            </w:r>
          </w:p>
        </w:tc>
        <w:tc>
          <w:tcPr>
            <w:tcW w:type="dxa" w:w="4968"/>
          </w:tcPr>
          <w:p>
            <w:r>
              <w:t>JP</w:t>
            </w:r>
          </w:p>
        </w:tc>
      </w:tr>
      <w:tr>
        <w:tc>
          <w:tcPr>
            <w:tcW w:type="dxa" w:w="4968"/>
          </w:tcPr>
          <w:p>
            <w:r>
              <w:t>Scanner score</w:t>
            </w:r>
          </w:p>
        </w:tc>
        <w:tc>
          <w:tcPr>
            <w:tcW w:type="dxa" w:w="4968"/>
          </w:tcPr>
          <w:p>
            <w:r>
              <w:t>31.0</w:t>
            </w:r>
          </w:p>
        </w:tc>
      </w:tr>
      <w:tr>
        <w:tc>
          <w:tcPr>
            <w:tcW w:type="dxa" w:w="4968"/>
          </w:tcPr>
          <w:p>
            <w:r>
              <w:t>Convergence count</w:t>
            </w:r>
          </w:p>
        </w:tc>
        <w:tc>
          <w:tcPr>
            <w:tcW w:type="dxa" w:w="4968"/>
          </w:tcPr>
          <w:p>
            <w:r>
              <w:t>1</w:t>
            </w:r>
          </w:p>
        </w:tc>
      </w:tr>
      <w:tr>
        <w:tc>
          <w:tcPr>
            <w:tcW w:type="dxa" w:w="4968"/>
          </w:tcPr>
          <w:p>
            <w:r>
              <w:t>Translation confidence</w:t>
            </w:r>
          </w:p>
        </w:tc>
        <w:tc>
          <w:tcPr>
            <w:tcW w:type="dxa" w:w="4968"/>
          </w:tcPr>
          <w:p>
            <w:r>
              <w:t>0.88</w:t>
            </w:r>
          </w:p>
        </w:tc>
      </w:tr>
      <w:tr>
        <w:tc>
          <w:tcPr>
            <w:tcW w:type="dxa" w:w="4968"/>
          </w:tcPr>
          <w:p>
            <w:r>
              <w:t>Thesis direction</w:t>
            </w:r>
          </w:p>
        </w:tc>
        <w:tc>
          <w:tcPr>
            <w:tcW w:type="dxa" w:w="4968"/>
          </w:tcPr>
          <w:p>
            <w:r>
              <w:t>short</w:t>
            </w:r>
          </w:p>
        </w:tc>
      </w:tr>
      <w:tr>
        <w:tc>
          <w:tcPr>
            <w:tcW w:type="dxa" w:w="4968"/>
          </w:tcPr>
          <w:p>
            <w:r>
              <w:t>Signal category</w:t>
            </w:r>
          </w:p>
        </w:tc>
        <w:tc>
          <w:tcPr>
            <w:tcW w:type="dxa" w:w="4968"/>
          </w:tcPr>
          <w:p>
            <w:r>
              <w:t>results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pending_deep_dive</w:t>
            </w:r>
          </w:p>
        </w:tc>
      </w:tr>
      <w:tr>
        <w:tc>
          <w:tcPr>
            <w:tcW w:type="dxa" w:w="4968"/>
          </w:tcPr>
          <w:p>
            <w:r>
              <w:t>First signal date</w:t>
            </w:r>
          </w:p>
        </w:tc>
        <w:tc>
          <w:tcPr>
            <w:tcW w:type="dxa" w:w="4968"/>
          </w:tcPr>
          <w:p>
            <w:r>
              <w:t>2026-04-14</w:t>
            </w:r>
          </w:p>
        </w:tc>
      </w:tr>
      <w:tr>
        <w:tc>
          <w:tcPr>
            <w:tcW w:type="dxa" w:w="4968"/>
          </w:tcPr>
          <w:p>
            <w:r>
              <w:t>Primary catalyst date</w:t>
            </w:r>
          </w:p>
        </w:tc>
        <w:tc>
          <w:tcPr>
            <w:tcW w:type="dxa" w:w="4968"/>
          </w:tcPr>
          <w:p>
            <w:r>
              <w:t>2026-04-14</w:t>
            </w:r>
          </w:p>
        </w:tc>
      </w:tr>
    </w:tbl>
    <w:p>
      <w:pPr>
        <w:pStyle w:val="Heading1"/>
      </w:pPr>
      <w:r>
        <w:t>Source candidate body (verbatim)</w:t>
      </w:r>
    </w:p>
    <w:p/>
    <w:p>
      <w:pPr>
        <w:pStyle w:val="Heading1"/>
      </w:pPr>
      <w:r>
        <w:t>Vector Inc. (6058.XTKS) — Special Gains &amp; Losses Booking</w:t>
      </w:r>
    </w:p>
    <w:p/>
    <w:p>
      <w:r>
        <w:rPr>
          <w:i/>
        </w:rPr>
        <w:t>**STATUS: pending_deep_dive.** Automated-scanner stub. Do not act on this alone.</w:t>
      </w:r>
    </w:p>
    <w:p/>
    <w:p>
      <w:pPr>
        <w:pStyle w:val="Heading2"/>
      </w:pPr>
      <w:r>
        <w:t>TL;DR</w:t>
      </w:r>
    </w:p>
    <w:p/>
    <w:p>
      <w:r>
        <w:t>On 2026-04-14 Vector Inc. (6058) announced the booking of both special gains and special losses (特別利益及び特別損失). Scanner matched on the impairment_loss pattern (特別損失.計上). thesis_direction=short, translation_confidence=0.88, score 31. The concurrent special-gain booking introduces ambiguity — net impact could be positive, neutral, or negative. Deep-dive must size both sides.</w:t>
      </w:r>
    </w:p>
    <w:p/>
    <w:p>
      <w:pPr>
        <w:pStyle w:val="Heading2"/>
      </w:pPr>
      <w:r>
        <w:t>Source signal</w:t>
      </w:r>
    </w:p>
    <w:p/>
    <w:p>
      <w:pPr>
        <w:pStyle w:val="ListBullet"/>
      </w:pPr>
      <w:r>
        <w:t>https://www.release.tdnet.info/inbs/140120260414503199.pdf — 2026-04-14 15:30 JST — TDnet — Japanese-language notice; title-pattern match only; direction thesis provisional.</w:t>
      </w:r>
    </w:p>
    <w:p/>
    <w:p>
      <w:pPr>
        <w:pStyle w:val="Heading2"/>
      </w:pPr>
      <w:r>
        <w:t>Translation notes</w:t>
      </w:r>
    </w:p>
    <w:p/>
    <w:p>
      <w:r>
        <w:t>Japanese source. The title "特別利益及び特別損失の計上に関するお知らせ" translates literally as "Notice regarding the booking of special gains and special losses." The co-presence of special gains weakens the short thesis relative to a pure impairment. Deep-dive must:</w:t>
      </w:r>
    </w:p>
    <w:p>
      <w:pPr>
        <w:pStyle w:val="ListBullet"/>
      </w:pPr>
      <w:r>
        <w:t>Translate the PDF body to extract 特別利益 (gain) and 特別損失 (loss) amounts</w:t>
      </w:r>
    </w:p>
    <w:p>
      <w:pPr>
        <w:pStyle w:val="ListBullet"/>
      </w:pPr>
      <w:r>
        <w:t>Determine net impact on the current-year forecast</w:t>
      </w:r>
    </w:p>
    <w:p>
      <w:pPr>
        <w:pStyle w:val="ListBullet"/>
      </w:pPr>
      <w:r>
        <w:t>Identify the cause of each (asset sale? restructuring? subsidiary disposal?)</w:t>
      </w:r>
    </w:p>
    <w:p/>
    <w:p>
      <w:pPr>
        <w:pStyle w:val="Heading2"/>
      </w:pPr>
      <w:r>
        <w:t>Company context</w:t>
      </w:r>
    </w:p>
    <w:p/>
    <w:p>
      <w:pPr>
        <w:pStyle w:val="ListBullet"/>
      </w:pPr>
      <w:r>
        <w:t>Market cap: $375M USD (≈¥60B at 158.8 JPY/USD)</w:t>
      </w:r>
    </w:p>
    <w:p>
      <w:pPr>
        <w:pStyle w:val="ListBullet"/>
      </w:pPr>
      <w:r>
        <w:t>Sector: PR / advertising / influencer marketing — Vector runs Japan's largest PR firm, plus advertising and content subsidiaries.</w:t>
      </w:r>
    </w:p>
    <w:p>
      <w:pPr>
        <w:pStyle w:val="ListBullet"/>
      </w:pPr>
      <w:r>
        <w:t>Trading status: N.</w:t>
      </w:r>
    </w:p>
    <w:p>
      <w:pPr>
        <w:pStyle w:val="ListBullet"/>
      </w:pPr>
      <w:r>
        <w:t>Recent price action: TODO.</w:t>
      </w:r>
    </w:p>
    <w:p>
      <w:pPr>
        <w:pStyle w:val="ListBullet"/>
      </w:pPr>
      <w:r>
        <w:t>Portfolio: Vector is acquisitive — special items may relate to subsidiary revaluation or disposal.</w:t>
      </w:r>
    </w:p>
    <w:p/>
    <w:p>
      <w:pPr>
        <w:pStyle w:val="Heading2"/>
      </w:pPr>
      <w:r>
        <w:t>Thesis statement (to be completed by deep-dive)</w:t>
      </w:r>
    </w:p>
    <w:p/>
    <w:p>
      <w:r>
        <w:t>**Pending.** Direction provisional-short. Critical questions:</w:t>
      </w:r>
    </w:p>
    <w:p>
      <w:pPr>
        <w:pStyle w:val="ListBullet"/>
      </w:pPr>
      <w:r>
        <w:t>Net impact of gains vs. losses — is this neutral or materially negative?</w:t>
      </w:r>
    </w:p>
    <w:p>
      <w:pPr>
        <w:pStyle w:val="ListBullet"/>
      </w:pPr>
      <w:r>
        <w:t>Is the loss related to an impaired subsidiary that Vector was known to be carrying at stretched book value?</w:t>
      </w:r>
    </w:p>
    <w:p>
      <w:pPr>
        <w:pStyle w:val="ListBullet"/>
      </w:pPr>
      <w:r>
        <w:t>Does this change FY26 guidance, or is it already embedded?</w:t>
      </w:r>
    </w:p>
    <w:p>
      <w:pPr>
        <w:pStyle w:val="ListBullet"/>
      </w:pPr>
      <w:r>
        <w:t>If this is a "kitchen sink" quarter (book everything bad now), the post-news setup may be long, not short.</w:t>
      </w:r>
    </w:p>
    <w:p/>
    <w:p>
      <w:pPr>
        <w:pStyle w:val="Heading2"/>
      </w:pPr>
      <w:r>
        <w:t>Steelman of the opposite view</w:t>
      </w:r>
    </w:p>
    <w:p/>
    <w:p>
      <w:pPr>
        <w:pStyle w:val="ListBullet"/>
      </w:pPr>
      <w:r>
        <w:t>Gains &gt; losses, net boost to earnings</w:t>
      </w:r>
    </w:p>
    <w:p>
      <w:pPr>
        <w:pStyle w:val="ListBullet"/>
      </w:pPr>
      <w:r>
        <w:t>Special loss is on a subsidiary being divested; cleaning up balance sheet pre-strategic refocus</w:t>
      </w:r>
    </w:p>
    <w:p>
      <w:pPr>
        <w:pStyle w:val="ListBullet"/>
      </w:pPr>
      <w:r>
        <w:t>Vector's core PR business (high-margin, structural growth) untouched</w:t>
      </w:r>
    </w:p>
    <w:p>
      <w:pPr>
        <w:pStyle w:val="ListBullet"/>
      </w:pPr>
      <w:r>
        <w:t>Market may misread the "loss" headline and oversell on day one</w:t>
      </w:r>
    </w:p>
    <w:p/>
    <w:p>
      <w:pPr>
        <w:pStyle w:val="Heading2"/>
      </w:pPr>
      <w:r>
        <w:t>Web research layer (mandatory — pending)</w:t>
      </w:r>
    </w:p>
    <w:p/>
    <w:p>
      <w:pPr>
        <w:pStyle w:val="ListBullet"/>
      </w:pPr>
      <w:r>
        <w:t>Nikkei, Bloomberg Japan coverage</w:t>
      </w:r>
    </w:p>
    <w:p>
      <w:pPr>
        <w:pStyle w:val="ListBullet"/>
      </w:pPr>
      <w:r>
        <w:t>Vector investor relations page for the full release</w:t>
      </w:r>
    </w:p>
    <w:p>
      <w:pPr>
        <w:pStyle w:val="ListBullet"/>
      </w:pPr>
      <w:r>
        <w:t>Recent M&amp;A history: has Vector bought anything that looks like it might now be impaired?</w:t>
      </w:r>
    </w:p>
    <w:p>
      <w:pPr>
        <w:pStyle w:val="ListBullet"/>
      </w:pPr>
      <w:r>
        <w:t>Peer comparison: Sunny Side Up, ADK — any similar charges?</w:t>
      </w:r>
    </w:p>
    <w:p/>
    <w:p>
      <w:pPr>
        <w:pStyle w:val="Heading2"/>
      </w:pPr>
      <w:r>
        <w:t>Kill conditions</w:t>
      </w:r>
    </w:p>
    <w:p/>
    <w:p>
      <w:pPr>
        <w:pStyle w:val="ListBullet"/>
      </w:pPr>
      <w:r>
        <w:t>**Kill 1:** Net impact is positive (gains &gt; losses). Flip thesis.</w:t>
      </w:r>
    </w:p>
    <w:p>
      <w:pPr>
        <w:pStyle w:val="ListBullet"/>
      </w:pPr>
      <w:r>
        <w:t>**Kill 2:** Loss is &lt; 5% of market cap AND already in guidance. Downgrade to watchlist or discard.</w:t>
      </w:r>
    </w:p>
    <w:p>
      <w:pPr>
        <w:pStyle w:val="ListBullet"/>
      </w:pPr>
      <w:r>
        <w:t>**Kill 3:** Management commentary signals "kitchen sink" — treat as long.</w:t>
      </w:r>
    </w:p>
    <w:p/>
    <w:p>
      <w:pPr>
        <w:pStyle w:val="Heading2"/>
      </w:pPr>
      <w:r>
        <w:t>Catalyst map (skeleton)</w:t>
      </w:r>
    </w:p>
    <w:p/>
    <w:p>
      <w:r>
        <w:t>| Event | Date/Window | Entry trigger | Exit trigger |</w:t>
      </w:r>
    </w:p>
    <w:p>
      <w:r>
        <w:t>|-------|-------------|---------------|--------------|</w:t>
      </w:r>
    </w:p>
    <w:p>
      <w:r>
        <w:t>| Tanshin release for relevant quarter | TBD | N/A | - |</w:t>
      </w:r>
    </w:p>
    <w:p>
      <w:r>
        <w:t>| Guidance revision (if any) | T+0 to T+14 | - | - |</w:t>
      </w:r>
    </w:p>
    <w:p>
      <w:r>
        <w:t>| Post-close commentary | Next IR event | - | - |</w:t>
      </w:r>
    </w:p>
    <w:p/>
    <w:p>
      <w:pPr>
        <w:pStyle w:val="Heading2"/>
      </w:pPr>
      <w:r>
        <w:t>Position sizing</w:t>
      </w:r>
    </w:p>
    <w:p/>
    <w:p>
      <w:r>
        <w:t>Small satellite (1-2%) until thesis is sharpened. Ambiguous signal — the gain+loss combo requires deep-dive before conviction.</w:t>
      </w:r>
    </w:p>
    <w:p/>
    <w:p>
      <w:pPr>
        <w:pStyle w:val="Heading2"/>
      </w:pPr>
      <w:r>
        <w:t>Source traceability</w:t>
      </w:r>
    </w:p>
    <w:p/>
    <w:p>
      <w:pPr>
        <w:pStyle w:val="ListBullet"/>
      </w:pPr>
      <w:r>
        <w:t>https://www.release.tdnet.info/inbs/140120260414503199.pdf — retrieved 2026-04-14 via tdnet scanner</w:t>
      </w:r>
    </w:p>
    <w:p>
      <w:pPr>
        <w:pStyle w:val="ListBullet"/>
      </w:pPr>
      <w:r>
        <w:t>OpenFIGI: ticker=6058 mic=XTKS → figi=BBG002PJLR30, issuer_figi=BBG002PJLR21 (cached 2026-04-14)</w:t>
      </w:r>
    </w:p>
    <w:p>
      <w:pPr>
        <w:pStyle w:val="ListBullet"/>
      </w:pPr>
      <w:r>
        <w:t>Market cap: yfinance 6058.T, ≈¥60B × 0.006298 → $375M USD (2026-04-14)</w:t>
      </w:r>
    </w:p>
    <w:p/>
    <w:p>
      <w:pPr>
        <w:pStyle w:val="Heading1"/>
      </w:pPr>
      <w:r>
        <w:t>Backfill provenance</w:t>
      </w:r>
    </w:p>
    <w:p>
      <w:r>
        <w:t>This deep dive was generated by reporting-hub-deep-dives task on 2026-04-15T21:12:00Z as part of the non_us backfill cycle (registry schema 3.0 migration). Source candidate is an automated-scanner stub; deep-dive analyst review is still pending. Hypothesis and key-dates fields are derived mechanically from frontmatter and signal type — they should be replaced once an analyst pass occurs.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