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A44"/>
        </w:rPr>
        <w:t>Makino Milling Machine Co., Ltd. (6135.XTKS)</w:t>
      </w:r>
    </w:p>
    <w:p>
      <w:r>
        <w:rPr>
          <w:i/>
          <w:sz w:val="18"/>
        </w:rPr>
        <w:t>Deep Dive — Tender Offer · Generated 2026-04-15 · Source tool: non_us</w:t>
      </w:r>
    </w:p>
    <w:p>
      <w:pPr>
        <w:pStyle w:val="Heading1"/>
      </w:pPr>
      <w:r>
        <w:t>Hypothesis</w:t>
      </w:r>
    </w:p>
    <w:p>
      <w:r>
        <w:t>Makino Milling Machine Co., Ltd. (6135.XTKS) was flagged on 2026-04-10 via TDnet for a tender offer signal (scanner score 35.0, translation confidence 0.92, $1710M USD market cap). Standard playbook is a long into the announced spread, sized to annualized IRR pending deep-dive verification of price, premium, counterparty and timing. Edge depends on whether the market has fully priced the announcement and whether the filer is the buyer or target — direction must be re-confirmed on PDF read before sizing.</w:t>
      </w:r>
    </w:p>
    <w:p>
      <w:pPr>
        <w:pStyle w:val="Heading1"/>
      </w:pPr>
      <w:r>
        <w:t>Key dates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Nature</w:t>
            </w:r>
          </w:p>
        </w:tc>
      </w:tr>
      <w:tr>
        <w:tc>
          <w:tcPr>
            <w:tcW w:type="dxa" w:w="3312"/>
          </w:tcPr>
          <w:p>
            <w:r>
              <w:t>2026-04-10</w:t>
            </w:r>
          </w:p>
        </w:tc>
        <w:tc>
          <w:tcPr>
            <w:tcW w:type="dxa" w:w="3312"/>
          </w:tcPr>
          <w:p>
            <w:r>
              <w:t>Initial scanner signal / source filing</w:t>
            </w:r>
          </w:p>
        </w:tc>
        <w:tc>
          <w:tcPr>
            <w:tcW w:type="dxa" w:w="3312"/>
          </w:tcPr>
          <w:p>
            <w:r>
              <w:t>filing</w:t>
            </w:r>
          </w:p>
        </w:tc>
      </w:tr>
      <w:tr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Resolution window (T+5 to T+30 typical for this signal type)</w:t>
            </w:r>
          </w:p>
        </w:tc>
        <w:tc>
          <w:tcPr>
            <w:tcW w:type="dxa" w:w="3312"/>
          </w:tcPr>
          <w:p>
            <w:r>
              <w:t>other</w:t>
            </w:r>
          </w:p>
        </w:tc>
      </w:tr>
    </w:tbl>
    <w:p>
      <w:pPr>
        <w:pStyle w:val="Heading1"/>
      </w:pPr>
      <w:r>
        <w:t>Source candidate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ISIN</w:t>
            </w:r>
          </w:p>
        </w:tc>
        <w:tc>
          <w:tcPr>
            <w:tcW w:type="dxa" w:w="4968"/>
          </w:tcPr>
          <w:p>
            <w:r>
              <w:t>null</w:t>
            </w:r>
          </w:p>
        </w:tc>
      </w:tr>
      <w:tr>
        <w:tc>
          <w:tcPr>
            <w:tcW w:type="dxa" w:w="4968"/>
          </w:tcPr>
          <w:p>
            <w:r>
              <w:t>FIGI</w:t>
            </w:r>
          </w:p>
        </w:tc>
        <w:tc>
          <w:tcPr>
            <w:tcW w:type="dxa" w:w="4968"/>
          </w:tcPr>
          <w:p>
            <w:r>
              <w:t>BBG000BLH591</w:t>
            </w:r>
          </w:p>
        </w:tc>
      </w:tr>
      <w:tr>
        <w:tc>
          <w:tcPr>
            <w:tcW w:type="dxa" w:w="4968"/>
          </w:tcPr>
          <w:p>
            <w:r>
              <w:t>Issuer FIGI</w:t>
            </w:r>
          </w:p>
        </w:tc>
        <w:tc>
          <w:tcPr>
            <w:tcW w:type="dxa" w:w="4968"/>
          </w:tcPr>
          <w:p>
            <w:r>
              <w:t>BBG000BLH4Q5</w:t>
            </w:r>
          </w:p>
        </w:tc>
      </w:tr>
      <w:tr>
        <w:tc>
          <w:tcPr>
            <w:tcW w:type="dxa" w:w="4968"/>
          </w:tcPr>
          <w:p>
            <w:r>
              <w:t>Market cap (USD mm)</w:t>
            </w:r>
          </w:p>
        </w:tc>
        <w:tc>
          <w:tcPr>
            <w:tcW w:type="dxa" w:w="4968"/>
          </w:tcPr>
          <w:p>
            <w:r>
              <w:t>1710</w:t>
            </w:r>
          </w:p>
        </w:tc>
      </w:tr>
      <w:tr>
        <w:tc>
          <w:tcPr>
            <w:tcW w:type="dxa" w:w="4968"/>
          </w:tcPr>
          <w:p>
            <w:r>
              <w:t>Exchange / scanner</w:t>
            </w:r>
          </w:p>
        </w:tc>
        <w:tc>
          <w:tcPr>
            <w:tcW w:type="dxa" w:w="4968"/>
          </w:tcPr>
          <w:p>
            <w:r>
              <w:t>TDnet</w:t>
            </w:r>
          </w:p>
        </w:tc>
      </w:tr>
      <w:tr>
        <w:tc>
          <w:tcPr>
            <w:tcW w:type="dxa" w:w="4968"/>
          </w:tcPr>
          <w:p>
            <w:r>
              <w:t>Country</w:t>
            </w:r>
          </w:p>
        </w:tc>
        <w:tc>
          <w:tcPr>
            <w:tcW w:type="dxa" w:w="4968"/>
          </w:tcPr>
          <w:p>
            <w:r>
              <w:t>JP</w:t>
            </w:r>
          </w:p>
        </w:tc>
      </w:tr>
      <w:tr>
        <w:tc>
          <w:tcPr>
            <w:tcW w:type="dxa" w:w="4968"/>
          </w:tcPr>
          <w:p>
            <w:r>
              <w:t>Scanner score</w:t>
            </w:r>
          </w:p>
        </w:tc>
        <w:tc>
          <w:tcPr>
            <w:tcW w:type="dxa" w:w="4968"/>
          </w:tcPr>
          <w:p>
            <w:r>
              <w:t>35.0</w:t>
            </w:r>
          </w:p>
        </w:tc>
      </w:tr>
      <w:tr>
        <w:tc>
          <w:tcPr>
            <w:tcW w:type="dxa" w:w="4968"/>
          </w:tcPr>
          <w:p>
            <w:r>
              <w:t>Convergence count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Translation confidence</w:t>
            </w:r>
          </w:p>
        </w:tc>
        <w:tc>
          <w:tcPr>
            <w:tcW w:type="dxa" w:w="4968"/>
          </w:tcPr>
          <w:p>
            <w:r>
              <w:t>0.92</w:t>
            </w:r>
          </w:p>
        </w:tc>
      </w:tr>
      <w:tr>
        <w:tc>
          <w:tcPr>
            <w:tcW w:type="dxa" w:w="4968"/>
          </w:tcPr>
          <w:p>
            <w:r>
              <w:t>Thesis direction</w:t>
            </w:r>
          </w:p>
        </w:tc>
        <w:tc>
          <w:tcPr>
            <w:tcW w:type="dxa" w:w="4968"/>
          </w:tcPr>
          <w:p>
            <w:r>
              <w:t>long</w:t>
            </w:r>
          </w:p>
        </w:tc>
      </w:tr>
      <w:tr>
        <w:tc>
          <w:tcPr>
            <w:tcW w:type="dxa" w:w="4968"/>
          </w:tcPr>
          <w:p>
            <w:r>
              <w:t>Signal category</w:t>
            </w:r>
          </w:p>
        </w:tc>
        <w:tc>
          <w:tcPr>
            <w:tcW w:type="dxa" w:w="4968"/>
          </w:tcPr>
          <w:p>
            <w:r>
              <w:t>takeover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pending_deep_dive</w:t>
            </w:r>
          </w:p>
        </w:tc>
      </w:tr>
      <w:tr>
        <w:tc>
          <w:tcPr>
            <w:tcW w:type="dxa" w:w="4968"/>
          </w:tcPr>
          <w:p>
            <w:r>
              <w:t>First signal date</w:t>
            </w:r>
          </w:p>
        </w:tc>
        <w:tc>
          <w:tcPr>
            <w:tcW w:type="dxa" w:w="4968"/>
          </w:tcPr>
          <w:p>
            <w:r>
              <w:t>2026-04-10</w:t>
            </w:r>
          </w:p>
        </w:tc>
      </w:tr>
      <w:tr>
        <w:tc>
          <w:tcPr>
            <w:tcW w:type="dxa" w:w="4968"/>
          </w:tcPr>
          <w:p>
            <w:r>
              <w:t>Primary catalyst date</w:t>
            </w:r>
          </w:p>
        </w:tc>
        <w:tc>
          <w:tcPr>
            <w:tcW w:type="dxa" w:w="4968"/>
          </w:tcPr>
          <w:p>
            <w:r>
              <w:t>indefinite</w:t>
            </w:r>
          </w:p>
        </w:tc>
      </w:tr>
    </w:tbl>
    <w:p>
      <w:pPr>
        <w:pStyle w:val="Heading1"/>
      </w:pPr>
      <w:r>
        <w:t>Source candidate body (verbatim)</w:t>
      </w:r>
    </w:p>
    <w:p/>
    <w:p>
      <w:pPr>
        <w:pStyle w:val="Heading1"/>
      </w:pPr>
      <w:r>
        <w:t>Makino Milling Machine Co., Ltd. (6135.XTKS) — Tender Offer</w:t>
      </w:r>
    </w:p>
    <w:p/>
    <w:p>
      <w:r>
        <w:rPr>
          <w:i/>
        </w:rPr>
        <w:t>**STATUS: pending_deep_dive.** Automated-scanner stub. Do not act on this alone.</w:t>
      </w:r>
    </w:p>
    <w:p/>
    <w:p>
      <w:pPr>
        <w:pStyle w:val="Heading2"/>
      </w:pPr>
      <w:r>
        <w:t>TL;DR</w:t>
      </w:r>
    </w:p>
    <w:p/>
    <w:p>
      <w:r>
        <w:t>TDnet filed 2026-04-10 for Makino Milling Machine Co., Ltd. (6135). Scanner classified signal_type=tender_offer at score_total=35.0, translation_confidence=0.92, thesis_direction=long. Market cap $1710M USD. 1 related filing(s) merged via D-004 convergence.</w:t>
      </w:r>
    </w:p>
    <w:p/>
    <w:p>
      <w:pPr>
        <w:pStyle w:val="Heading2"/>
      </w:pPr>
      <w:r>
        <w:t>Source signals</w:t>
      </w:r>
    </w:p>
    <w:p/>
    <w:p>
      <w:pPr>
        <w:pStyle w:val="ListBullet"/>
      </w:pPr>
      <w:r>
        <w:t>[tender_offer] https://www.release.tdnet.info/inbs/140120260410501710.pdf — signal_id 4c473f015f2caf3a242d2818e2d91b91</w:t>
      </w:r>
    </w:p>
    <w:p/>
    <w:p>
      <w:pPr>
        <w:pStyle w:val="Heading2"/>
      </w:pPr>
      <w:r>
        <w:t>Translation notes</w:t>
      </w:r>
    </w:p>
    <w:p/>
    <w:p>
      <w:r>
        <w:t>Japanese source. Translation pattern is unambiguous at tc=0.92. Deep-dive must still read the PDF for specifics (price, premium, timing, counterparty).</w:t>
      </w:r>
    </w:p>
    <w:p/>
    <w:p>
      <w:pPr>
        <w:pStyle w:val="Heading2"/>
      </w:pPr>
      <w:r>
        <w:t>Company context</w:t>
      </w:r>
    </w:p>
    <w:p/>
    <w:p>
      <w:pPr>
        <w:pStyle w:val="ListBullet"/>
      </w:pPr>
      <w:r>
        <w:t>Market cap: $1710M USD</w:t>
      </w:r>
    </w:p>
    <w:p>
      <w:pPr>
        <w:pStyle w:val="ListBullet"/>
      </w:pPr>
      <w:r>
        <w:t>Sector / sub-sector: TODO (deep-dive)</w:t>
      </w:r>
    </w:p>
    <w:p>
      <w:pPr>
        <w:pStyle w:val="ListBullet"/>
      </w:pPr>
      <w:r>
        <w:t>Recent price action: TODO (30/90d)</w:t>
      </w:r>
    </w:p>
    <w:p>
      <w:pPr>
        <w:pStyle w:val="ListBullet"/>
      </w:pPr>
      <w:r>
        <w:t>Cross-listings: TODO (check HK / ADR / LSE)</w:t>
      </w:r>
    </w:p>
    <w:p/>
    <w:p>
      <w:pPr>
        <w:pStyle w:val="Heading2"/>
      </w:pPr>
      <w:r>
        <w:t>Thesis statement (to be completed by deep-dive)</w:t>
      </w:r>
    </w:p>
    <w:p/>
    <w:p>
      <w:r>
        <w:t>TOB / tender-offer target. Typical playbook: long target into spread; size to annualized IRR. If the filer (buyer side) is the ticker, re-check direction during deep-dive — trading companies (8001 Itochu) sometimes file as the *buyer*, in which case thesis is different.</w:t>
      </w:r>
    </w:p>
    <w:p/>
    <w:p>
      <w:pPr>
        <w:pStyle w:val="Heading2"/>
      </w:pPr>
      <w:r>
        <w:t>Steelman of the opposite view</w:t>
      </w:r>
    </w:p>
    <w:p/>
    <w:p>
      <w:r>
        <w:t>**Pending deep-dive.** Likely angles:</w:t>
      </w:r>
    </w:p>
    <w:p>
      <w:pPr>
        <w:pStyle w:val="ListBullet"/>
      </w:pPr>
      <w:r>
        <w:t>Market already priced in the disclosure (no edge).</w:t>
      </w:r>
    </w:p>
    <w:p>
      <w:pPr>
        <w:pStyle w:val="ListBullet"/>
      </w:pPr>
      <w:r>
        <w:t>Terms / magnitude less favorable than headline implies.</w:t>
      </w:r>
    </w:p>
    <w:p>
      <w:pPr>
        <w:pStyle w:val="ListBullet"/>
      </w:pPr>
      <w:r>
        <w:t>Counter-catalyst exists (regulatory, activist, competing bid).</w:t>
      </w:r>
    </w:p>
    <w:p>
      <w:pPr>
        <w:pStyle w:val="ListBullet"/>
      </w:pPr>
      <w:r>
        <w:t>Translation / interpretation error — revisit tc if direction flips on re-read.</w:t>
      </w:r>
    </w:p>
    <w:p/>
    <w:p>
      <w:pPr>
        <w:pStyle w:val="Heading2"/>
      </w:pPr>
      <w:r>
        <w:t>Web research layer (mandatory — pending)</w:t>
      </w:r>
    </w:p>
    <w:p/>
    <w:p>
      <w:pPr>
        <w:pStyle w:val="ListBullet"/>
      </w:pPr>
      <w:r>
        <w:t>Nikkei / Reuters / Bloomberg coverage of Makino Milling Machine Co., Ltd.</w:t>
      </w:r>
    </w:p>
    <w:p>
      <w:pPr>
        <w:pStyle w:val="ListBullet"/>
      </w:pPr>
      <w:r>
        <w:t>Peer precedents for the same signal_type in JP market</w:t>
      </w:r>
    </w:p>
    <w:p>
      <w:pPr>
        <w:pStyle w:val="ListBullet"/>
      </w:pPr>
      <w:r>
        <w:t>Shareholder register (activist presence?)</w:t>
      </w:r>
    </w:p>
    <w:p>
      <w:pPr>
        <w:pStyle w:val="ListBullet"/>
      </w:pPr>
      <w:r>
        <w:t>Analyst coverage &amp; recent target price moves</w:t>
      </w:r>
    </w:p>
    <w:p/>
    <w:p>
      <w:pPr>
        <w:pStyle w:val="Heading2"/>
      </w:pPr>
      <w:r>
        <w:t>Kill conditions</w:t>
      </w:r>
    </w:p>
    <w:p/>
    <w:p>
      <w:pPr>
        <w:pStyle w:val="ListBullet"/>
      </w:pPr>
      <w:r>
        <w:t>**Kill 1:** Subsequent TDnet filing revising terms unfavorably — flip or cut.</w:t>
      </w:r>
    </w:p>
    <w:p>
      <w:pPr>
        <w:pStyle w:val="ListBullet"/>
      </w:pPr>
      <w:r>
        <w:t>**Kill 2:** Board or independent committee opposes (for takeover signals); regulatory action escalates (for litigation signals).</w:t>
      </w:r>
    </w:p>
    <w:p>
      <w:pPr>
        <w:pStyle w:val="ListBullet"/>
      </w:pPr>
      <w:r>
        <w:t>**Kill 3:** Translation re-read flips thesis direction → exit.</w:t>
      </w:r>
    </w:p>
    <w:p>
      <w:pPr>
        <w:pStyle w:val="ListBullet"/>
      </w:pPr>
      <w:r>
        <w:t>**Kill 4:** Scanner flags superseding signal at the next cycle.</w:t>
      </w:r>
    </w:p>
    <w:p/>
    <w:p>
      <w:pPr>
        <w:pStyle w:val="Heading2"/>
      </w:pPr>
      <w:r>
        <w:t>Catalyst map (skeleton)</w:t>
      </w:r>
    </w:p>
    <w:p/>
    <w:p>
      <w:r>
        <w:t>| Event | Date/Window | Entry trigger | Exit trigger |</w:t>
      </w:r>
    </w:p>
    <w:p>
      <w:r>
        <w:t>|-------|-------------|---------------|--------------|</w:t>
      </w:r>
    </w:p>
    <w:p>
      <w:r>
        <w:t>| Primary filing | 2026-04-10 | (observed) | — |</w:t>
      </w:r>
    </w:p>
    <w:p>
      <w:r>
        <w:t>| Board / regulatory response | T+5 to T+15 | Confirm support | Cut on opposition |</w:t>
      </w:r>
    </w:p>
    <w:p>
      <w:r>
        <w:t>| Resolution window | varies | Maintain | Close near target |</w:t>
      </w:r>
    </w:p>
    <w:p/>
    <w:p>
      <w:pPr>
        <w:pStyle w:val="Heading2"/>
      </w:pPr>
      <w:r>
        <w:t>Position sizing</w:t>
      </w:r>
    </w:p>
    <w:p/>
    <w:p>
      <w:r>
        <w:t>Satellite (2–5%). Adjust for liquidity of 6135.T; $1710M mcap implies moderate liquidity — verify ADV before sizing.</w:t>
      </w:r>
    </w:p>
    <w:p/>
    <w:p>
      <w:pPr>
        <w:pStyle w:val="Heading2"/>
      </w:pPr>
      <w:r>
        <w:t>Source traceability</w:t>
      </w:r>
    </w:p>
    <w:p/>
    <w:p>
      <w:pPr>
        <w:pStyle w:val="ListBullet"/>
      </w:pPr>
      <w:r>
        <w:t>[tender_offer] https://www.release.tdnet.info/inbs/140120260410501710.pdf — signal_id 4c473f015f2caf3a242d2818e2d91b91</w:t>
      </w:r>
    </w:p>
    <w:p>
      <w:pPr>
        <w:pStyle w:val="ListBullet"/>
      </w:pPr>
      <w:r>
        <w:t>OpenFIGI: ticker=6135 mic=XTKS → figi=BBG000BLH591, issuer=BBG000BLH4Q5</w:t>
      </w:r>
    </w:p>
    <w:p>
      <w:pPr>
        <w:pStyle w:val="ListBullet"/>
      </w:pPr>
      <w:r>
        <w:t>Market cap: yfinance 6135.T → $1710M USD</w:t>
      </w:r>
    </w:p>
    <w:p>
      <w:pPr>
        <w:pStyle w:val="ListBullet"/>
      </w:pPr>
      <w:r>
        <w:t>Convergence: D-004 hard-merge on (issuer_figi, signal_type, source_date)</w:t>
      </w:r>
    </w:p>
    <w:p/>
    <w:p>
      <w:pPr>
        <w:pStyle w:val="Heading1"/>
      </w:pPr>
      <w:r>
        <w:t>Backfill provenance</w:t>
      </w:r>
    </w:p>
    <w:p>
      <w:r>
        <w:t>This deep dive was generated by reporting-hub-deep-dives task on 2026-04-15T21:12:00Z as part of the non_us backfill cycle (registry schema 3.0 migration). Source candidate is an automated-scanner stub; deep-dive analyst review is still pending. Hypothesis and key-dates fields are derived mechanically from frontmatter and signal type — they should be replaced once an analyst pass occurs.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