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Solasto Corporation (6197.XTKS)</w:t>
      </w:r>
    </w:p>
    <w:p>
      <w:r>
        <w:rPr>
          <w:i/>
          <w:sz w:val="18"/>
        </w:rPr>
        <w:t>Deep Dive — Mbo Announcement · Generated 2026-04-15 · Source tool: non_us</w:t>
      </w:r>
    </w:p>
    <w:p>
      <w:pPr>
        <w:pStyle w:val="Heading1"/>
      </w:pPr>
      <w:r>
        <w:t>Hypothesis</w:t>
      </w:r>
    </w:p>
    <w:p>
      <w:r>
        <w:t>Solasto Corporation (6197.XTKS) was flagged on 2026-04-09 via TDnet for a mbo announcement signal (scanner score 35.0, translation confidence 0.92, $637M USD market cap). Standard playbook is a long into the announced spread, sized to annualized IRR pending deep-dive verification of price, premium, counterparty and timing. Edge depends on whether the market has fully priced the announcement and whether the filer is the buyer or target — direction must be re-confirmed on PDF read before sizing.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2026-04-09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Resolution window (T+5 to T+30 typical for this signal type)</w:t>
            </w:r>
          </w:p>
        </w:tc>
        <w:tc>
          <w:tcPr>
            <w:tcW w:type="dxa" w:w="3312"/>
          </w:tcPr>
          <w:p>
            <w:r>
              <w:t>other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null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BBG00CXKN2W7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BBG00BGK7648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637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TDnet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JP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35.0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0.92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long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takeover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2026-04-09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indefinite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Solasto Corporation (6197.XTKS) — MBO / Tender Offer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On 2026-04-09 two paired TDnet filings for Solasto Corp (JP medical-clerical outsourcer): an MBO announcement (management buyout) plus a concurrent tender-offer filing. Scanner classified both as immediate-route (score 35, tc 0.92, direction=long). MBO + TOB pattern typically means management-led take-private at a premium to unaffected share price.</w:t>
      </w:r>
    </w:p>
    <w:p/>
    <w:p>
      <w:pPr>
        <w:pStyle w:val="Heading2"/>
      </w:pPr>
      <w:r>
        <w:t>Source signals</w:t>
      </w:r>
    </w:p>
    <w:p/>
    <w:p>
      <w:pPr>
        <w:pStyle w:val="ListBullet"/>
      </w:pPr>
      <w:r>
        <w:t>**Primary (MBO)** — https://www.release.tdnet.info/inbs/140120260409500870.pdf — 2026-04-09 — signal_id 550feb1b10d6e0ac41a404efddbf697f</w:t>
      </w:r>
    </w:p>
    <w:p>
      <w:pPr>
        <w:pStyle w:val="ListBullet"/>
      </w:pPr>
      <w:r>
        <w:t>**Primary (TOB)** — https://www.release.tdnet.info/inbs/140120260409500876.pdf — 2026-04-09 — signal_id f71138cdc30df65ce72c74fbc2aea6b6</w:t>
      </w:r>
    </w:p>
    <w:p>
      <w:pPr>
        <w:pStyle w:val="ListBullet"/>
      </w:pPr>
      <w:r>
        <w:t>**Related** — 0e74a7a04cc4e5f4a1b64bf91809fd50 (merged by convergence engine)</w:t>
      </w:r>
    </w:p>
    <w:p/>
    <w:p>
      <w:pPr>
        <w:pStyle w:val="Heading2"/>
      </w:pPr>
      <w:r>
        <w:t>Translation notes</w:t>
      </w:r>
    </w:p>
    <w:p/>
    <w:p>
      <w:r>
        <w:t>Japanese source. MBO = マネジメント・バイアウト; TOB = 公開買付. Pattern is unambiguous at tc=0.92. Deep-dive must read the PDFs to extract:</w:t>
      </w:r>
    </w:p>
    <w:p>
      <w:pPr>
        <w:pStyle w:val="ListBullet"/>
      </w:pPr>
      <w:r>
        <w:t>Offer price per share</w:t>
      </w:r>
    </w:p>
    <w:p>
      <w:pPr>
        <w:pStyle w:val="ListBullet"/>
      </w:pPr>
      <w:r>
        <w:t>Unaffected price (pre-announcement) and implied premium</w:t>
      </w:r>
    </w:p>
    <w:p>
      <w:pPr>
        <w:pStyle w:val="ListBullet"/>
      </w:pPr>
      <w:r>
        <w:t>Sponsor PE firm (if any)</w:t>
      </w:r>
    </w:p>
    <w:p>
      <w:pPr>
        <w:pStyle w:val="ListBullet"/>
      </w:pPr>
      <w:r>
        <w:t>Management rollover terms</w:t>
      </w:r>
    </w:p>
    <w:p>
      <w:pPr>
        <w:pStyle w:val="ListBullet"/>
      </w:pPr>
      <w:r>
        <w:t>Squeeze-out / minority buyout path</w:t>
      </w:r>
    </w:p>
    <w:p/>
    <w:p>
      <w:pPr>
        <w:pStyle w:val="Heading2"/>
      </w:pPr>
      <w:r>
        <w:t>Company context</w:t>
      </w:r>
    </w:p>
    <w:p/>
    <w:p>
      <w:pPr>
        <w:pStyle w:val="ListBullet"/>
      </w:pPr>
      <w:r>
        <w:t>Market cap: $637M USD (≈¥100B at 157 JPY/USD)</w:t>
      </w:r>
    </w:p>
    <w:p>
      <w:pPr>
        <w:pStyle w:val="ListBullet"/>
      </w:pPr>
      <w:r>
        <w:t>Sector: Medical and nursing-care administrative outsourcing (back-office services to hospitals and care facilities)</w:t>
      </w:r>
    </w:p>
    <w:p>
      <w:pPr>
        <w:pStyle w:val="ListBullet"/>
      </w:pPr>
      <w:r>
        <w:t>Trading status: N (normal)</w:t>
      </w:r>
    </w:p>
    <w:p>
      <w:pPr>
        <w:pStyle w:val="ListBullet"/>
      </w:pPr>
      <w:r>
        <w:t>Founding-family / management ownership levels are relevant for MBO feasibility — fetch during deep-dive</w:t>
      </w:r>
    </w:p>
    <w:p/>
    <w:p>
      <w:pPr>
        <w:pStyle w:val="Heading2"/>
      </w:pPr>
      <w:r>
        <w:t>Thesis statement (to be completed by deep-dive)</w:t>
      </w:r>
    </w:p>
    <w:p/>
    <w:p>
      <w:r>
        <w:t>**Pending.** Direction pre-tagged long — MBO/TOB announcements typically converge to offer price; merger-arb spread available. Deep-dive must verify:</w:t>
      </w:r>
    </w:p>
    <w:p>
      <w:pPr>
        <w:pStyle w:val="ListBullet"/>
      </w:pPr>
      <w:r>
        <w:t>Offer price vs. unaffected and implied premium (typically 20–40%)</w:t>
      </w:r>
    </w:p>
    <w:p>
      <w:pPr>
        <w:pStyle w:val="ListBullet"/>
      </w:pPr>
      <w:r>
        <w:t>PE sponsor identity (Bain, KKR, CVC, Japan Industrial Partners, MBKP all active in JP MBOs)</w:t>
      </w:r>
    </w:p>
    <w:p>
      <w:pPr>
        <w:pStyle w:val="ListBullet"/>
      </w:pPr>
      <w:r>
        <w:t>Board recommendation &amp; independent committee opinion</w:t>
      </w:r>
    </w:p>
    <w:p>
      <w:pPr>
        <w:pStyle w:val="ListBullet"/>
      </w:pPr>
      <w:r>
        <w:t>Anti-monopoly review (JFTC) — generally formal for MBOs of this size</w:t>
      </w:r>
    </w:p>
    <w:p>
      <w:pPr>
        <w:pStyle w:val="ListBullet"/>
      </w:pPr>
      <w:r>
        <w:t>Squeeze-out cash merger timeline post-TOB close (typically 60–90 days)</w:t>
      </w:r>
    </w:p>
    <w:p/>
    <w:p>
      <w:pPr>
        <w:pStyle w:val="Heading2"/>
      </w:pPr>
      <w:r>
        <w:t>Steelman of the opposite view</w:t>
      </w:r>
    </w:p>
    <w:p/>
    <w:p>
      <w:pPr>
        <w:pStyle w:val="ListBullet"/>
      </w:pPr>
      <w:r>
        <w:t>Offer price is "lowball" vs. intrinsic value; shareholder opposition emerges (Oasis, Murakami Group, Strategic Capital).</w:t>
      </w:r>
    </w:p>
    <w:p>
      <w:pPr>
        <w:pStyle w:val="ListBullet"/>
      </w:pPr>
      <w:r>
        <w:t>Competing bid materializes at higher price → current spread compresses or inverts.</w:t>
      </w:r>
    </w:p>
    <w:p>
      <w:pPr>
        <w:pStyle w:val="ListBullet"/>
      </w:pPr>
      <w:r>
        <w:t>Management rollover is excessive / conflicted → independent committee opposes.</w:t>
      </w:r>
    </w:p>
    <w:p>
      <w:pPr>
        <w:pStyle w:val="ListBullet"/>
      </w:pPr>
      <w:r>
        <w:t>Regulatory stall — JFTC approval delayed beyond normal window.</w:t>
      </w:r>
    </w:p>
    <w:p/>
    <w:p>
      <w:pPr>
        <w:pStyle w:val="Heading2"/>
      </w:pPr>
      <w:r>
        <w:t>Web research layer (mandatory — pending)</w:t>
      </w:r>
    </w:p>
    <w:p/>
    <w:p>
      <w:pPr>
        <w:pStyle w:val="ListBullet"/>
      </w:pPr>
      <w:r>
        <w:t>Nikkei / Reuters / Bloomberg Solasto MBO coverage</w:t>
      </w:r>
    </w:p>
    <w:p>
      <w:pPr>
        <w:pStyle w:val="ListBullet"/>
      </w:pPr>
      <w:r>
        <w:t>PE sponsor track record on JP MBOs</w:t>
      </w:r>
    </w:p>
    <w:p>
      <w:pPr>
        <w:pStyle w:val="ListBullet"/>
      </w:pPr>
      <w:r>
        <w:t>Activist involvement (CommonWealth, 3D, Effissimo, Strategic Capital)</w:t>
      </w:r>
    </w:p>
    <w:p>
      <w:pPr>
        <w:pStyle w:val="ListBullet"/>
      </w:pPr>
      <w:r>
        <w:t>Peer MBO multiples (Benesse 2023, Outsourcing 2024)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1:** Activist announces stake and opposition → spread widens on break risk. Trim/hedge.</w:t>
      </w:r>
    </w:p>
    <w:p>
      <w:pPr>
        <w:pStyle w:val="ListBullet"/>
      </w:pPr>
      <w:r>
        <w:t>**Kill 2:** Superior proposal surfaces → re-evaluate on new terms.</w:t>
      </w:r>
    </w:p>
    <w:p>
      <w:pPr>
        <w:pStyle w:val="ListBullet"/>
      </w:pPr>
      <w:r>
        <w:t>**Kill 3:** JFTC requests additional information; timeline slips &gt;90 days → IRR falls below threshold.</w:t>
      </w:r>
    </w:p>
    <w:p>
      <w:pPr>
        <w:pStyle w:val="ListBullet"/>
      </w:pPr>
      <w:r>
        <w:t>**Kill 4:** Scanner flags subsequent TDnet filing indicating delay, price revision, or withdrawal.</w:t>
      </w:r>
    </w:p>
    <w:p/>
    <w:p>
      <w:pPr>
        <w:pStyle w:val="Heading2"/>
      </w:pPr>
      <w:r>
        <w:t>Catalyst map</w:t>
      </w:r>
    </w:p>
    <w:p/>
    <w:p>
      <w:r>
        <w:t>| Event | Date/Window | Entry trigger | Exit trigger |</w:t>
      </w:r>
    </w:p>
    <w:p>
      <w:r>
        <w:t>|-------|-------------|---------------|--------------|</w:t>
      </w:r>
    </w:p>
    <w:p>
      <w:r>
        <w:t>| MBO/TOB launch | T+0 (2026-04-09) | In progress | — |</w:t>
      </w:r>
    </w:p>
    <w:p>
      <w:r>
        <w:t>| Board position fixed | T+5 to T+10 | Confirm support | Reject if opposition |</w:t>
      </w:r>
    </w:p>
    <w:p>
      <w:r>
        <w:t>| Tender period | typically 20–30 business days | Ride spread | Close near offer |</w:t>
      </w:r>
    </w:p>
    <w:p>
      <w:r>
        <w:t>| Squeeze-out cash merger | T+60 to T+90 | — | Settle to cash |</w:t>
      </w:r>
    </w:p>
    <w:p/>
    <w:p>
      <w:pPr>
        <w:pStyle w:val="Heading2"/>
      </w:pPr>
      <w:r>
        <w:t>Position sizing</w:t>
      </w:r>
    </w:p>
    <w:p/>
    <w:p>
      <w:r>
        <w:t>Satellite-arbitrage (2–5%). $637M mcap is mid-liquidity for TSE; monitor average daily volume before sizing. Standard JP MBO spread is 2–4% annualized at tight levels, 5–10% with break-risk overhang.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https://www.release.tdnet.info/inbs/140120260409500870.pdf (MBO) — retrieved via tdnet scanner 2026-04-15</w:t>
      </w:r>
    </w:p>
    <w:p>
      <w:pPr>
        <w:pStyle w:val="ListBullet"/>
      </w:pPr>
      <w:r>
        <w:t>https://www.release.tdnet.info/inbs/140120260409500876.pdf (TOB) — retrieved via tdnet scanner 2026-04-15</w:t>
      </w:r>
    </w:p>
    <w:p>
      <w:pPr>
        <w:pStyle w:val="ListBullet"/>
      </w:pPr>
      <w:r>
        <w:t>OpenFIGI: ticker=6197 mic=XTKS → figi=BBG00CXKN2W7, issuer=BBG00BGK7648 (cached)</w:t>
      </w:r>
    </w:p>
    <w:p>
      <w:pPr>
        <w:pStyle w:val="ListBullet"/>
      </w:pPr>
      <w:r>
        <w:t>Market cap: yfinance 6197.T → $637M USD</w:t>
      </w:r>
    </w:p>
    <w:p>
      <w:pPr>
        <w:pStyle w:val="ListBullet"/>
      </w:pPr>
      <w:r>
        <w:t>Related signal_ids per convergence engine D-004 hard-merge.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