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Daikin Industries,Ltd. (6367.XTKS)</w:t>
      </w:r>
    </w:p>
    <w:p>
      <w:r>
        <w:rPr>
          <w:i/>
          <w:sz w:val="18"/>
        </w:rPr>
        <w:t>Deep Dive — Litigation Regulatory · Generated 2026-04-15 · Source tool: non_us</w:t>
      </w:r>
    </w:p>
    <w:p>
      <w:pPr>
        <w:pStyle w:val="Heading1"/>
      </w:pPr>
      <w:r>
        <w:t>Hypothesis</w:t>
      </w:r>
    </w:p>
    <w:p>
      <w:r>
        <w:t>Daikin Industries,Ltd. (6367.XTKS) disclosed a litigation regulatory matter on 2026-04-10 (scanner score 29.0, tc 0.85, $37335M USD mcap). Initial direction is short; thesis is contingent on materiality of the matter relative to enterprise value and on the regulatory or court timeline. Deep-dive must verify whether this is a discrete charge or a recurring liability stream, and whether peer precedents support a one-time-event re-rating once resolved.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2026-04-10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BBG000BLNY73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BBG000BLNXT1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37335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29.0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0.85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short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governance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2026-04-10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Daikin Industries,Ltd. (6367.XTKS) — Litigation Regulatory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TDnet filed 2026-04-10 for Daikin Industries,Ltd. (6367). Scanner classified signal_type=litigation_regulatory at score_total=29.0, translation_confidence=0.85, thesis_direction=short. Market cap $37335M USD. 1 related filing(s) merged via D-004 convergence.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[litigation_regulatory] https://www.release.tdnet.info/inbs/140120260410501326.pdf — signal_id de4711f62eeda984cf5f09444c3f095b</w:t>
      </w:r>
    </w:p>
    <w:p/>
    <w:p>
      <w:pPr>
        <w:pStyle w:val="Heading2"/>
      </w:pPr>
      <w:r>
        <w:t>Translation notes</w:t>
      </w:r>
    </w:p>
    <w:p/>
    <w:p>
      <w:r>
        <w:t>Japanese source. Translation pattern is unambiguous at tc=0.85. Deep-dive must still read the PDF for specifics (price, premium, timing, counterparty).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$37335M USD</w:t>
      </w:r>
    </w:p>
    <w:p>
      <w:pPr>
        <w:pStyle w:val="ListBullet"/>
      </w:pPr>
      <w:r>
        <w:t>Sector / sub-sector: TODO (deep-dive)</w:t>
      </w:r>
    </w:p>
    <w:p>
      <w:pPr>
        <w:pStyle w:val="ListBullet"/>
      </w:pPr>
      <w:r>
        <w:t>Recent price action: TODO (30/90d)</w:t>
      </w:r>
    </w:p>
    <w:p>
      <w:pPr>
        <w:pStyle w:val="ListBullet"/>
      </w:pPr>
      <w:r>
        <w:t>Cross-listings: TODO (check HK / ADR / LSE)</w:t>
      </w:r>
    </w:p>
    <w:p/>
    <w:p>
      <w:pPr>
        <w:pStyle w:val="Heading2"/>
      </w:pPr>
      <w:r>
        <w:t>Thesis statement (to be completed by deep-dive)</w:t>
      </w:r>
    </w:p>
    <w:p/>
    <w:p>
      <w:r>
        <w:t>Litigation or regulatory action. Direction=short on headline-risk overhang; verify materiality relative to mcap before sizing.</w:t>
      </w:r>
    </w:p>
    <w:p/>
    <w:p>
      <w:pPr>
        <w:pStyle w:val="Heading2"/>
      </w:pPr>
      <w:r>
        <w:t>Steelman of the opposite view</w:t>
      </w:r>
    </w:p>
    <w:p/>
    <w:p>
      <w:r>
        <w:t>**Pending deep-dive.** Likely angles:</w:t>
      </w:r>
    </w:p>
    <w:p>
      <w:pPr>
        <w:pStyle w:val="ListBullet"/>
      </w:pPr>
      <w:r>
        <w:t>Market already priced in the disclosure (no edge).</w:t>
      </w:r>
    </w:p>
    <w:p>
      <w:pPr>
        <w:pStyle w:val="ListBullet"/>
      </w:pPr>
      <w:r>
        <w:t>Terms / magnitude less favorable than headline implies.</w:t>
      </w:r>
    </w:p>
    <w:p>
      <w:pPr>
        <w:pStyle w:val="ListBullet"/>
      </w:pPr>
      <w:r>
        <w:t>Counter-catalyst exists (regulatory, activist, competing bid).</w:t>
      </w:r>
    </w:p>
    <w:p>
      <w:pPr>
        <w:pStyle w:val="ListBullet"/>
      </w:pPr>
      <w:r>
        <w:t>Translation / interpretation error — revisit tc if direction flips on re-read.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/ Bloomberg coverage of Daikin Industries,Ltd.</w:t>
      </w:r>
    </w:p>
    <w:p>
      <w:pPr>
        <w:pStyle w:val="ListBullet"/>
      </w:pPr>
      <w:r>
        <w:t>Peer precedents for the same signal_type in JP market</w:t>
      </w:r>
    </w:p>
    <w:p>
      <w:pPr>
        <w:pStyle w:val="ListBullet"/>
      </w:pPr>
      <w:r>
        <w:t>Shareholder register (activist presence?)</w:t>
      </w:r>
    </w:p>
    <w:p>
      <w:pPr>
        <w:pStyle w:val="ListBullet"/>
      </w:pPr>
      <w:r>
        <w:t>Analyst coverage &amp; recent target price moves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Subsequent TDnet filing revising terms unfavorably — flip or cut.</w:t>
      </w:r>
    </w:p>
    <w:p>
      <w:pPr>
        <w:pStyle w:val="ListBullet"/>
      </w:pPr>
      <w:r>
        <w:t>**Kill 2:** Board or independent committee opposes (for takeover signals); regulatory action escalates (for litigation signals).</w:t>
      </w:r>
    </w:p>
    <w:p>
      <w:pPr>
        <w:pStyle w:val="ListBullet"/>
      </w:pPr>
      <w:r>
        <w:t>**Kill 3:** Translation re-read flips thesis direction → exit.</w:t>
      </w:r>
    </w:p>
    <w:p>
      <w:pPr>
        <w:pStyle w:val="ListBullet"/>
      </w:pPr>
      <w:r>
        <w:t>**Kill 4:** Scanner flags superseding signal at the next cycle.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Primary filing | 2026-04-10 | (observed) | — |</w:t>
      </w:r>
    </w:p>
    <w:p>
      <w:r>
        <w:t>| Board / regulatory response | T+5 to T+15 | Confirm support | Cut on opposition |</w:t>
      </w:r>
    </w:p>
    <w:p>
      <w:r>
        <w:t>| Resolution window | varies | Maintain | Close near target |</w:t>
      </w:r>
    </w:p>
    <w:p/>
    <w:p>
      <w:pPr>
        <w:pStyle w:val="Heading2"/>
      </w:pPr>
      <w:r>
        <w:t>Position sizing</w:t>
      </w:r>
    </w:p>
    <w:p/>
    <w:p>
      <w:r>
        <w:t>Satellite (2–5%). Adjust for liquidity of 6367.T; $37335M mcap implies institutional liquidity.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[litigation_regulatory] https://www.release.tdnet.info/inbs/140120260410501326.pdf — signal_id de4711f62eeda984cf5f09444c3f095b</w:t>
      </w:r>
    </w:p>
    <w:p>
      <w:pPr>
        <w:pStyle w:val="ListBullet"/>
      </w:pPr>
      <w:r>
        <w:t>OpenFIGI: ticker=6367 mic=XTKS → figi=BBG000BLNY73, issuer=BBG000BLNXT1</w:t>
      </w:r>
    </w:p>
    <w:p>
      <w:pPr>
        <w:pStyle w:val="ListBullet"/>
      </w:pPr>
      <w:r>
        <w:t>Market cap: yfinance 6367.T → $37335M USD</w:t>
      </w:r>
    </w:p>
    <w:p>
      <w:pPr>
        <w:pStyle w:val="ListBullet"/>
      </w:pPr>
      <w:r>
        <w:t>Convergence: D-004 hard-merge on (issuer_figi, signal_type, source_date)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