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A44"/>
        </w:rPr>
        <w:t>Aeon Hokkaido Corporation (7512.XTKS)</w:t>
      </w:r>
    </w:p>
    <w:p>
      <w:r>
        <w:rPr>
          <w:i/>
          <w:sz w:val="18"/>
        </w:rPr>
        <w:t>Deep Dive — Impairment Loss · Generated 2026-04-15 · Source tool: non_us</w:t>
      </w:r>
    </w:p>
    <w:p>
      <w:pPr>
        <w:pStyle w:val="Heading1"/>
      </w:pPr>
      <w:r>
        <w:t>Hypothesis</w:t>
      </w:r>
    </w:p>
    <w:p>
      <w:r>
        <w:t>Aeon Hokkaido Corporation (7512.XTKS) disclosed impairment loss on 2026-04-09 ($759M USD mcap, scanner score 31.0). Working hypothesis is short: one-off accounting hits often create clean-slate setups where the market over-discounts forward earnings. Deep-dive must quantify the cash vs. non-cash split, confirm guidance is not being lowered structurally, and identify any catalyst that re-anchors valuation post-disclosure.</w:t>
      </w:r>
    </w:p>
    <w:p>
      <w:pPr>
        <w:pStyle w:val="Heading1"/>
      </w:pPr>
      <w:r>
        <w:t>Key dates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Nature</w:t>
            </w:r>
          </w:p>
        </w:tc>
      </w:tr>
      <w:tr>
        <w:tc>
          <w:tcPr>
            <w:tcW w:type="dxa" w:w="3312"/>
          </w:tcPr>
          <w:p>
            <w:r>
              <w:t>2026-04-09</w:t>
            </w:r>
          </w:p>
        </w:tc>
        <w:tc>
          <w:tcPr>
            <w:tcW w:type="dxa" w:w="3312"/>
          </w:tcPr>
          <w:p>
            <w:r>
              <w:t>Initial scanner signal / source filing</w:t>
            </w:r>
          </w:p>
        </w:tc>
        <w:tc>
          <w:tcPr>
            <w:tcW w:type="dxa" w:w="3312"/>
          </w:tcPr>
          <w:p>
            <w:r>
              <w:t>filing</w:t>
            </w:r>
          </w:p>
        </w:tc>
      </w:tr>
      <w:tr>
        <w:tc>
          <w:tcPr>
            <w:tcW w:type="dxa" w:w="3312"/>
          </w:tcPr>
          <w:p>
            <w:r>
              <w:t>2026-04-09</w:t>
            </w:r>
          </w:p>
        </w:tc>
        <w:tc>
          <w:tcPr>
            <w:tcW w:type="dxa" w:w="3312"/>
          </w:tcPr>
          <w:p>
            <w:r>
              <w:t>Primary catalyst</w:t>
            </w:r>
          </w:p>
        </w:tc>
        <w:tc>
          <w:tcPr>
            <w:tcW w:type="dxa" w:w="3312"/>
          </w:tcPr>
          <w:p>
            <w:r>
              <w:t>decision</w:t>
            </w:r>
          </w:p>
        </w:tc>
      </w:tr>
    </w:tbl>
    <w:p>
      <w:pPr>
        <w:pStyle w:val="Heading1"/>
      </w:pPr>
      <w:r>
        <w:t>Source candidate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ISIN</w:t>
            </w:r>
          </w:p>
        </w:tc>
        <w:tc>
          <w:tcPr>
            <w:tcW w:type="dxa" w:w="4968"/>
          </w:tcPr>
          <w:p>
            <w:r>
              <w:t>null</w:t>
            </w:r>
          </w:p>
        </w:tc>
      </w:tr>
      <w:tr>
        <w:tc>
          <w:tcPr>
            <w:tcW w:type="dxa" w:w="4968"/>
          </w:tcPr>
          <w:p>
            <w:r>
              <w:t>FIGI</w:t>
            </w:r>
          </w:p>
        </w:tc>
        <w:tc>
          <w:tcPr>
            <w:tcW w:type="dxa" w:w="4968"/>
          </w:tcPr>
          <w:p>
            <w:r>
              <w:t>BBG000H7HQW4</w:t>
            </w:r>
          </w:p>
        </w:tc>
      </w:tr>
      <w:tr>
        <w:tc>
          <w:tcPr>
            <w:tcW w:type="dxa" w:w="4968"/>
          </w:tcPr>
          <w:p>
            <w:r>
              <w:t>Issuer FIGI</w:t>
            </w:r>
          </w:p>
        </w:tc>
        <w:tc>
          <w:tcPr>
            <w:tcW w:type="dxa" w:w="4968"/>
          </w:tcPr>
          <w:p>
            <w:r>
              <w:t>BBG000H7HQ72</w:t>
            </w:r>
          </w:p>
        </w:tc>
      </w:tr>
      <w:tr>
        <w:tc>
          <w:tcPr>
            <w:tcW w:type="dxa" w:w="4968"/>
          </w:tcPr>
          <w:p>
            <w:r>
              <w:t>Market cap (USD mm)</w:t>
            </w:r>
          </w:p>
        </w:tc>
        <w:tc>
          <w:tcPr>
            <w:tcW w:type="dxa" w:w="4968"/>
          </w:tcPr>
          <w:p>
            <w:r>
              <w:t>759</w:t>
            </w:r>
          </w:p>
        </w:tc>
      </w:tr>
      <w:tr>
        <w:tc>
          <w:tcPr>
            <w:tcW w:type="dxa" w:w="4968"/>
          </w:tcPr>
          <w:p>
            <w:r>
              <w:t>Exchange / scanner</w:t>
            </w:r>
          </w:p>
        </w:tc>
        <w:tc>
          <w:tcPr>
            <w:tcW w:type="dxa" w:w="4968"/>
          </w:tcPr>
          <w:p>
            <w:r>
              <w:t>TDnet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JP</w:t>
            </w:r>
          </w:p>
        </w:tc>
      </w:tr>
      <w:tr>
        <w:tc>
          <w:tcPr>
            <w:tcW w:type="dxa" w:w="4968"/>
          </w:tcPr>
          <w:p>
            <w:r>
              <w:t>Scanner score</w:t>
            </w:r>
          </w:p>
        </w:tc>
        <w:tc>
          <w:tcPr>
            <w:tcW w:type="dxa" w:w="4968"/>
          </w:tcPr>
          <w:p>
            <w:r>
              <w:t>31.0</w:t>
            </w:r>
          </w:p>
        </w:tc>
      </w:tr>
      <w:tr>
        <w:tc>
          <w:tcPr>
            <w:tcW w:type="dxa" w:w="4968"/>
          </w:tcPr>
          <w:p>
            <w:r>
              <w:t>Convergence count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Translation confidence</w:t>
            </w:r>
          </w:p>
        </w:tc>
        <w:tc>
          <w:tcPr>
            <w:tcW w:type="dxa" w:w="4968"/>
          </w:tcPr>
          <w:p>
            <w:r>
              <w:t>0.88</w:t>
            </w:r>
          </w:p>
        </w:tc>
      </w:tr>
      <w:tr>
        <w:tc>
          <w:tcPr>
            <w:tcW w:type="dxa" w:w="4968"/>
          </w:tcPr>
          <w:p>
            <w:r>
              <w:t>Thesis direction</w:t>
            </w:r>
          </w:p>
        </w:tc>
        <w:tc>
          <w:tcPr>
            <w:tcW w:type="dxa" w:w="4968"/>
          </w:tcPr>
          <w:p>
            <w:r>
              <w:t>short</w:t>
            </w:r>
          </w:p>
        </w:tc>
      </w:tr>
      <w:tr>
        <w:tc>
          <w:tcPr>
            <w:tcW w:type="dxa" w:w="4968"/>
          </w:tcPr>
          <w:p>
            <w:r>
              <w:t>Signal category</w:t>
            </w:r>
          </w:p>
        </w:tc>
        <w:tc>
          <w:tcPr>
            <w:tcW w:type="dxa" w:w="4968"/>
          </w:tcPr>
          <w:p>
            <w:r>
              <w:t>results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pending_deep_dive</w:t>
            </w:r>
          </w:p>
        </w:tc>
      </w:tr>
      <w:tr>
        <w:tc>
          <w:tcPr>
            <w:tcW w:type="dxa" w:w="4968"/>
          </w:tcPr>
          <w:p>
            <w:r>
              <w:t>First signal date</w:t>
            </w:r>
          </w:p>
        </w:tc>
        <w:tc>
          <w:tcPr>
            <w:tcW w:type="dxa" w:w="4968"/>
          </w:tcPr>
          <w:p>
            <w:r>
              <w:t>2026-04-09</w:t>
            </w:r>
          </w:p>
        </w:tc>
      </w:tr>
      <w:tr>
        <w:tc>
          <w:tcPr>
            <w:tcW w:type="dxa" w:w="4968"/>
          </w:tcPr>
          <w:p>
            <w:r>
              <w:t>Primary catalyst date</w:t>
            </w:r>
          </w:p>
        </w:tc>
        <w:tc>
          <w:tcPr>
            <w:tcW w:type="dxa" w:w="4968"/>
          </w:tcPr>
          <w:p>
            <w:r>
              <w:t>2026-04-09</w:t>
            </w:r>
          </w:p>
        </w:tc>
      </w:tr>
    </w:tbl>
    <w:p>
      <w:pPr>
        <w:pStyle w:val="Heading1"/>
      </w:pPr>
      <w:r>
        <w:t>Source candidate body (verbatim)</w:t>
      </w:r>
    </w:p>
    <w:p/>
    <w:p>
      <w:pPr>
        <w:pStyle w:val="Heading1"/>
      </w:pPr>
      <w:r>
        <w:t>AEON Hokkaido (7512.XTKS) — Special losses booking</w:t>
      </w:r>
    </w:p>
    <w:p/>
    <w:p>
      <w:r>
        <w:rPr>
          <w:i/>
        </w:rPr>
        <w:t>**STATUS: pending_deep_dive.** Automated-scanner stub. Do not act on this alone.</w:t>
      </w:r>
    </w:p>
    <w:p/>
    <w:p>
      <w:pPr>
        <w:pStyle w:val="Heading2"/>
      </w:pPr>
      <w:r>
        <w:t>TL;DR</w:t>
      </w:r>
    </w:p>
    <w:p/>
    <w:p>
      <w:r>
        <w:t>On 2026-04-09 (04:30 UTC / 13:30 JST) AEON Hokkaido — the Hokkaido-regional supermarket/GMS operator within the AEON group — released a TDnet filing titled 「特別損失の計上に関するお知らせ」 ("Notice of booking of special losses"). Scanner classifies signal_strength=4, thesis_direction=short, tc=0.88. Score 31 — immediate route. At $759M USD market cap, comfortably above the floor but still small-cap by global standards. The single-topic filing (no offsetting non-op income) is typical of store-closure impairment at a regional GMS operator facing secular footfall decline in regional Japan.</w:t>
      </w:r>
    </w:p>
    <w:p/>
    <w:p>
      <w:pPr>
        <w:pStyle w:val="Heading2"/>
      </w:pPr>
      <w:r>
        <w:t>Source signal</w:t>
      </w:r>
    </w:p>
    <w:p/>
    <w:p>
      <w:pPr>
        <w:pStyle w:val="ListBullet"/>
      </w:pPr>
      <w:r>
        <w:t>**Source URL**: https://www.release.tdnet.info/inbs/140120260408500265.pdf</w:t>
      </w:r>
    </w:p>
    <w:p>
      <w:pPr>
        <w:pStyle w:val="ListBullet"/>
      </w:pPr>
      <w:r>
        <w:t>**Filing date/time**: 2026-04-09 04:30 UTC (previous-day docID suggests 2026-04-08 filing released 2026-04-09)</w:t>
      </w:r>
    </w:p>
    <w:p>
      <w:pPr>
        <w:pStyle w:val="ListBullet"/>
      </w:pPr>
      <w:r>
        <w:t>**Local-language headline**: 「特別損失の計上に関するお知らせ」</w:t>
      </w:r>
    </w:p>
    <w:p>
      <w:pPr>
        <w:pStyle w:val="ListBullet"/>
      </w:pPr>
      <w:r>
        <w:t>**Signal ID**: `0d8a11326fdbca771918ce088f9264ff`</w:t>
      </w:r>
    </w:p>
    <w:p/>
    <w:p>
      <w:pPr>
        <w:pStyle w:val="Heading2"/>
      </w:pPr>
      <w:r>
        <w:t>Translation notes</w:t>
      </w:r>
    </w:p>
    <w:p/>
    <w:p>
      <w:r>
        <w:t>Translation confidence 0.88 — above the 0.85 direction-allow floor. Scanner tag `short` reflects the `特別損失` pattern. Deep-dive MUST read the PDF to confirm:</w:t>
      </w:r>
    </w:p>
    <w:p>
      <w:pPr>
        <w:pStyle w:val="ListBullet"/>
      </w:pPr>
      <w:r>
        <w:t>Actual yen magnitude</w:t>
      </w:r>
    </w:p>
    <w:p>
      <w:pPr>
        <w:pStyle w:val="ListBullet"/>
      </w:pPr>
      <w:r>
        <w:t>Whether this is store-closure impairment (most likely for a regional GMS), restructuring, or PP&amp;E writedown</w:t>
      </w:r>
    </w:p>
    <w:p>
      <w:pPr>
        <w:pStyle w:val="ListBullet"/>
      </w:pPr>
      <w:r>
        <w:t>Any concurrent FY guidance revision</w:t>
      </w:r>
    </w:p>
    <w:p/>
    <w:p>
      <w:pPr>
        <w:pStyle w:val="Heading2"/>
      </w:pPr>
      <w:r>
        <w:t>Company context (to be completed by deep-dive)</w:t>
      </w:r>
    </w:p>
    <w:p/>
    <w:p>
      <w:pPr>
        <w:pStyle w:val="ListBullet"/>
      </w:pPr>
      <w:r>
        <w:t>Market cap: $759M USD (JPY ~¥114B). Mid-cap by Japan standards.</w:t>
      </w:r>
    </w:p>
    <w:p>
      <w:pPr>
        <w:pStyle w:val="ListBullet"/>
      </w:pPr>
      <w:r>
        <w:t>Sector: Food &amp; Staples Retailing (supermarkets / GMS).</w:t>
      </w:r>
    </w:p>
    <w:p>
      <w:pPr>
        <w:pStyle w:val="ListBullet"/>
      </w:pPr>
      <w:r>
        <w:t>Parent/affiliate structure: AEON group (parent 8267). AEON operates several regional listed subsidiaries including 7512 (Hokkaido), 8273 (Kyushu), 8278 (Daiei — delisted), 2653 (Liquor — delisted).</w:t>
      </w:r>
    </w:p>
    <w:p>
      <w:pPr>
        <w:pStyle w:val="ListBullet"/>
      </w:pPr>
      <w:r>
        <w:t>Fiscal year: AEON group FY ends February. April 2026 filings relate to FY2026 close.</w:t>
      </w:r>
    </w:p>
    <w:p>
      <w:pPr>
        <w:pStyle w:val="ListBullet"/>
      </w:pPr>
      <w:r>
        <w:t>Business: ~130 stores in Hokkaido under AEON / MaxValu / DAIEI banners. Secular pressure from depopulation of regional Hokkaido + wage inflation on store-level opex.</w:t>
      </w:r>
    </w:p>
    <w:p>
      <w:pPr>
        <w:pStyle w:val="ListBullet"/>
      </w:pPr>
      <w:r>
        <w:t>30/90-day price: TODO. `7512.T` via yfinance.</w:t>
      </w:r>
    </w:p>
    <w:p>
      <w:pPr>
        <w:pStyle w:val="ListBullet"/>
      </w:pPr>
      <w:r>
        <w:t>Recent news: TODO — check for store-closure announcements in Hokkaido press (Hokkaido Shimbun, Nikkei regional).</w:t>
      </w:r>
    </w:p>
    <w:p/>
    <w:p>
      <w:pPr>
        <w:pStyle w:val="Heading2"/>
      </w:pPr>
      <w:r>
        <w:t>Thesis statement (to be completed by deep-dive)</w:t>
      </w:r>
    </w:p>
    <w:p/>
    <w:p>
      <w:r>
        <w:t>**Pending.** Direction pre-tagged `short` — standard TDnet 特別損失 pattern without an offsetting income item.</w:t>
      </w:r>
    </w:p>
    <w:p/>
    <w:p>
      <w:r>
        <w:t>Deep-dive must:</w:t>
      </w:r>
    </w:p>
    <w:p>
      <w:pPr>
        <w:pStyle w:val="ListBullet"/>
      </w:pPr>
      <w:r>
        <w:t>Read the PDF to extract:</w:t>
      </w:r>
    </w:p>
    <w:p>
      <w:r>
        <w:t xml:space="preserve">  - Special loss amount (JPY)</w:t>
      </w:r>
    </w:p>
    <w:p>
      <w:r>
        <w:t xml:space="preserve">  - Classification (impairment of tangible fixed assets? closure cost? inventory write-down?)</w:t>
      </w:r>
    </w:p>
    <w:p>
      <w:r>
        <w:t xml:space="preserve">  - Number of stores affected (if store-closure)</w:t>
      </w:r>
    </w:p>
    <w:p>
      <w:r>
        <w:t xml:space="preserve">  - Whether concurrent FY2026 (Feb-end) guidance revision was filed</w:t>
      </w:r>
    </w:p>
    <w:p>
      <w:pPr>
        <w:pStyle w:val="ListBullet"/>
      </w:pPr>
      <w:r>
        <w:t>Compare loss magnitude to consensus FY2026 net income (BBG JP consensus)</w:t>
      </w:r>
    </w:p>
    <w:p>
      <w:pPr>
        <w:pStyle w:val="ListBullet"/>
      </w:pPr>
      <w:r>
        <w:t>Check whether 8267 AEON parent filed a companion release on the same day (group-level impact)</w:t>
      </w:r>
    </w:p>
    <w:p/>
    <w:p>
      <w:pPr>
        <w:pStyle w:val="Heading2"/>
      </w:pPr>
      <w:r>
        <w:t>Steelman of the opposite view</w:t>
      </w:r>
    </w:p>
    <w:p/>
    <w:p>
      <w:r>
        <w:t>Regional GMS operators in Japan (7512 Hokkaido, 8273 Kyushu) periodically book store-closure impairments as part of portfolio rationalization; these are **typically pre-flagged in the medium-term plan and already in analyst estimates**. If:</w:t>
      </w:r>
    </w:p>
    <w:p>
      <w:pPr>
        <w:pStyle w:val="ListBullet"/>
      </w:pPr>
      <w:r>
        <w:t>The loss is consistent with the previously-disclosed "restructuring reserve" budget</w:t>
      </w:r>
    </w:p>
    <w:p>
      <w:pPr>
        <w:pStyle w:val="ListBullet"/>
      </w:pPr>
      <w:r>
        <w:t>The closures improve store-level ROIC (closing loss-making stores is a long-term positive)</w:t>
      </w:r>
    </w:p>
    <w:p>
      <w:pPr>
        <w:pStyle w:val="ListBullet"/>
      </w:pPr>
      <w:r>
        <w:t>Management simultaneously raises the FY2027 operating-profit outlook on the improved store portfolio</w:t>
      </w:r>
    </w:p>
    <w:p>
      <w:r>
        <w:t>...then the stock can rally on the release as a "kitchen-sinking" signal. Deep-dive must check whether 7512's existing multi-year plan already included store closures at this scale.</w:t>
      </w:r>
    </w:p>
    <w:p/>
    <w:p>
      <w:pPr>
        <w:pStyle w:val="Heading2"/>
      </w:pPr>
      <w:r>
        <w:t>Web research layer (deep-dive TODO)</w:t>
      </w:r>
    </w:p>
    <w:p/>
    <w:p>
      <w:pPr>
        <w:pStyle w:val="ListBullet"/>
      </w:pPr>
      <w:r>
        <w:t>Search Nikkei for "イオン北海道 店舗閉鎖" (AEON Hokkaido store closure) in last 90 days</w:t>
      </w:r>
    </w:p>
    <w:p>
      <w:pPr>
        <w:pStyle w:val="ListBullet"/>
      </w:pPr>
      <w:r>
        <w:t>Check AEON Hokkaido IR page at https://www.aeon-hokkaido.jp/ir/</w:t>
      </w:r>
    </w:p>
    <w:p>
      <w:pPr>
        <w:pStyle w:val="ListBullet"/>
      </w:pPr>
      <w:r>
        <w:t>Cross-reference 8267 parent AEON filings on the same day</w:t>
      </w:r>
    </w:p>
    <w:p>
      <w:pPr>
        <w:pStyle w:val="ListBullet"/>
      </w:pPr>
      <w:r>
        <w:t>Check sister-company 8273 AEON Kyushu for parallel filings (group-wide restructuring signal vs. Hokkaido-idiosyncratic)</w:t>
      </w:r>
    </w:p>
    <w:p/>
    <w:p>
      <w:pPr>
        <w:pStyle w:val="Heading2"/>
      </w:pPr>
      <w:r>
        <w:t>Kill conditions</w:t>
      </w:r>
    </w:p>
    <w:p/>
    <w:p>
      <w:pPr>
        <w:pStyle w:val="ListBullet"/>
      </w:pPr>
      <w:r>
        <w:t>**Kill if** special loss &lt; ¥1B (immaterial vs. ¥114B market cap)</w:t>
      </w:r>
    </w:p>
    <w:p>
      <w:pPr>
        <w:pStyle w:val="ListBullet"/>
      </w:pPr>
      <w:r>
        <w:t>**Kill if** guidance HELD or RAISED on the same day</w:t>
      </w:r>
    </w:p>
    <w:p>
      <w:pPr>
        <w:pStyle w:val="ListBullet"/>
      </w:pPr>
      <w:r>
        <w:t>**Kill if** closure plan was pre-announced in the medium-term plan</w:t>
      </w:r>
    </w:p>
    <w:p>
      <w:pPr>
        <w:pStyle w:val="ListBullet"/>
      </w:pPr>
      <w:r>
        <w:t>**Kill if** 20-day ADV &lt; $1M USD — untradeable</w:t>
      </w:r>
    </w:p>
    <w:p>
      <w:pPr>
        <w:pStyle w:val="ListBullet"/>
      </w:pPr>
      <w:r>
        <w:t>**Kill if** stock already down &gt;10% in 30 days pre-filing</w:t>
      </w:r>
    </w:p>
    <w:p>
      <w:pPr>
        <w:pStyle w:val="ListBullet"/>
      </w:pPr>
      <w:r>
        <w:t>**Kill if** deep-dive finds the loss is non-recurring and management guides to improved FY2027 margins</w:t>
      </w:r>
    </w:p>
    <w:p/>
    <w:p>
      <w:pPr>
        <w:pStyle w:val="Heading2"/>
      </w:pPr>
      <w:r>
        <w:t>Catalyst map</w:t>
      </w:r>
    </w:p>
    <w:p/>
    <w:p>
      <w:pPr>
        <w:pStyle w:val="ListBullet"/>
      </w:pPr>
      <w:r>
        <w:t>**Primary catalyst**: FY2026 results release (typically early April for Feb-end FY) — watch concurrent guidance revision</w:t>
      </w:r>
    </w:p>
    <w:p>
      <w:pPr>
        <w:pStyle w:val="ListBullet"/>
      </w:pPr>
      <w:r>
        <w:t>**Window**: 0–21 days</w:t>
      </w:r>
    </w:p>
    <w:p>
      <w:pPr>
        <w:pStyle w:val="ListBullet"/>
      </w:pPr>
      <w:r>
        <w:t>**Entry trigger**: deep-dive confirms material loss + guidance cut</w:t>
      </w:r>
    </w:p>
    <w:p>
      <w:pPr>
        <w:pStyle w:val="ListBullet"/>
      </w:pPr>
      <w:r>
        <w:t>**Exit trigger**: earnings-day reversal or kill condition hit</w:t>
      </w:r>
    </w:p>
    <w:p/>
    <w:p>
      <w:pPr>
        <w:pStyle w:val="Heading2"/>
      </w:pPr>
      <w:r>
        <w:t>Position sizing</w:t>
      </w:r>
    </w:p>
    <w:p/>
    <w:p>
      <w:r>
        <w:t>Placeholder. 7512 liquidity is thin; 20-day ADV check required. Target: 0.5–1.0% net short on high conviction, halved at tc=0.88.</w:t>
      </w:r>
    </w:p>
    <w:p/>
    <w:p>
      <w:pPr>
        <w:pStyle w:val="Heading2"/>
      </w:pPr>
      <w:r>
        <w:t>Source traceability</w:t>
      </w:r>
    </w:p>
    <w:p/>
    <w:p>
      <w:pPr>
        <w:pStyle w:val="ListBullet"/>
      </w:pPr>
      <w:r>
        <w:t>Signal hash: `dfb1d87ada8533f9c4740f38`</w:t>
      </w:r>
    </w:p>
    <w:p>
      <w:pPr>
        <w:pStyle w:val="ListBullet"/>
      </w:pPr>
      <w:r>
        <w:t>TDnet PDF: https://www.release.tdnet.info/inbs/140120260408500265.pdf</w:t>
      </w:r>
    </w:p>
    <w:p>
      <w:pPr>
        <w:pStyle w:val="ListBullet"/>
      </w:pPr>
      <w:r>
        <w:t>Scanner: `tdnet` / Phase 2</w:t>
      </w:r>
    </w:p>
    <w:p>
      <w:pPr>
        <w:pStyle w:val="ListBullet"/>
      </w:pPr>
      <w:r>
        <w:t>Scan date: 2026-04-15</w:t>
      </w:r>
    </w:p>
    <w:p/>
    <w:p>
      <w:pPr>
        <w:pStyle w:val="Heading1"/>
      </w:pPr>
      <w:r>
        <w:t>Backfill provenance</w:t>
      </w:r>
    </w:p>
    <w:p>
      <w:r>
        <w:t>This deep dive was generated by reporting-hub-deep-dives task on 2026-04-15T21:12:00Z as part of the non_us backfill cycle (registry schema 3.0 migration). Source candidate is an automated-scanner stub; deep-dive analyst review is still pending. Hypothesis and key-dates fields are derived mechanically from frontmatter and signal type — they should be replaced once an analyst pass occurs.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