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Aeon Co., Ltd. (8267.XTKS)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Aeon Co., Ltd. (8267.XTKS) was flagged on 2026-04-15 via TDnet for a tender offer signal (scanner score 35.0, translation confidence 0.92, $30388M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2026-04-15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BBG000BN0FT1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BBG000BN0FD8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30388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2026-04-15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Aeon Co., Ltd. (8267.XTKS)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2026-04-15 for Aeon Co., Ltd. (8267). Scanner classified signal_type=tender_offer at score_total=35.0, translation_confidence=0.92, thesis_direction=long. Market cap $30388M USD. 2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https://www.release.tdnet.info/inbs/140120260415504769.pdf — signal_id 340f9fef654c51e2ec31ddb83d6e8b61</w:t>
      </w:r>
    </w:p>
    <w:p>
      <w:pPr>
        <w:pStyle w:val="ListBullet"/>
      </w:pPr>
      <w:r>
        <w:t>[impairment_loss] https://www.release.tdnet.info/inbs/140120260409500830.pdf — signal_id b789ac16eb8d344248d72d1538cbcd40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$30388M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Aeon Co., 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2026-04-15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8267.T; $30388M mcap implies institutional liquidity.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https://www.release.tdnet.info/inbs/140120260415504769.pdf — signal_id 340f9fef654c51e2ec31ddb83d6e8b61</w:t>
      </w:r>
    </w:p>
    <w:p>
      <w:pPr>
        <w:pStyle w:val="ListBullet"/>
      </w:pPr>
      <w:r>
        <w:t>[impairment_loss] https://www.release.tdnet.info/inbs/140120260409500830.pdf — signal_id b789ac16eb8d344248d72d1538cbcd40</w:t>
      </w:r>
    </w:p>
    <w:p>
      <w:pPr>
        <w:pStyle w:val="ListBullet"/>
      </w:pPr>
      <w:r>
        <w:t>OpenFIGI: ticker=8267 mic=XTKS → figi=BBG000BN0FT1, issuer=BBG000BN0FD8</w:t>
      </w:r>
    </w:p>
    <w:p>
      <w:pPr>
        <w:pStyle w:val="ListBullet"/>
      </w:pPr>
      <w:r>
        <w:t>Market cap: yfinance 8267.T → $30388M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