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cs="Arial" w:eastAsia="Arial"/>
          <w:b/>
          <w:i w:val="0"/>
          <w:sz w:val="36"/>
        </w:rPr>
        <w:t>INVESTMENT THESIS</w:t>
      </w:r>
    </w:p>
    <w:p>
      <w:pPr>
        <w:spacing w:after="40"/>
        <w:jc w:val="center"/>
      </w:pPr>
      <w:r>
        <w:rPr>
          <w:rFonts w:ascii="Arial" w:hAnsi="Arial" w:cs="Arial" w:eastAsia="Arial"/>
          <w:b/>
          <w:i w:val="0"/>
          <w:sz w:val="28"/>
        </w:rPr>
        <w:t>Avanos Medical, Inc. (AVNS)</w:t>
      </w:r>
    </w:p>
    <w:p>
      <w:pPr>
        <w:spacing w:after="40"/>
        <w:jc w:val="center"/>
      </w:pPr>
      <w:r>
        <w:rPr>
          <w:rFonts w:ascii="Arial" w:hAnsi="Arial" w:cs="Arial" w:eastAsia="Arial"/>
          <w:b w:val="0"/>
          <w:i/>
          <w:sz w:val="24"/>
        </w:rPr>
        <w:t>American Industrial Partners take-private at $25.00 per share in cash</w:t>
      </w:r>
    </w:p>
    <w:p>
      <w:pPr>
        <w:spacing w:after="40"/>
        <w:jc w:val="center"/>
      </w:pPr>
      <w:r>
        <w:rPr>
          <w:rFonts w:ascii="Arial" w:hAnsi="Arial" w:cs="Arial" w:eastAsia="Arial"/>
          <w:b w:val="0"/>
          <w:i w:val="0"/>
          <w:sz w:val="22"/>
        </w:rPr>
        <w:t>Definitive merger agreement signed 13 April 2026  ·  Expected close H2 2026</w:t>
      </w:r>
    </w:p>
    <w:p>
      <w:pPr>
        <w:spacing w:after="240"/>
        <w:jc w:val="center"/>
      </w:pPr>
      <w:r>
        <w:rPr>
          <w:rFonts w:ascii="Arial" w:hAnsi="Arial" w:cs="Arial" w:eastAsia="Arial"/>
          <w:b w:val="0"/>
          <w:i/>
          <w:sz w:val="20"/>
        </w:rPr>
        <w:t>14 April 2026</w:t>
      </w:r>
    </w:p>
    <w:p>
      <w:pPr>
        <w:keepNext/>
        <w:spacing w:before="200" w:after="120" w:line="276" w:lineRule="auto"/>
      </w:pPr>
      <w:r>
        <w:rPr>
          <w:rFonts w:ascii="Arial" w:hAnsi="Arial" w:cs="Arial" w:eastAsia="Arial"/>
          <w:b/>
          <w:i w:val="0"/>
          <w:sz w:val="26"/>
        </w:rPr>
        <w:t>Glossary of Key Terms</w:t>
      </w:r>
    </w:p>
    <w:p>
      <w:pPr>
        <w:spacing w:after="120" w:before="0" w:line="276" w:lineRule="auto"/>
        <w:jc w:val="left"/>
      </w:pPr>
      <w:r>
        <w:rPr>
          <w:rFonts w:ascii="Arial" w:hAnsi="Arial" w:cs="Arial" w:eastAsia="Arial"/>
          <w:b w:val="0"/>
          <w:i/>
          <w:sz w:val="20"/>
        </w:rPr>
        <w:t>Acronyms and terms used throughout this note, defined up front so the summary reads cleanly:</w:t>
      </w:r>
    </w:p>
    <w:tbl>
      <w:tblPr>
        <w:tblW w:type="auto" w:w="0"/>
        <w:jc w:val="center"/>
        <w:tblLayout w:type="fixed"/>
        <w:tblLook w:firstColumn="1" w:firstRow="1" w:lastColumn="0" w:lastRow="0" w:noHBand="0" w:noVBand="1" w:val="04A0"/>
      </w:tblPr>
      <w:tblGrid>
        <w:gridCol w:w="5040"/>
        <w:gridCol w:w="5040"/>
      </w:tblGrid>
      <w:tr>
        <w:tc>
          <w:tcPr>
            <w:tcW w:type="dxa" w:w="2016"/>
            <w:shd w:val="clear" w:color="auto" w:fill="DCDCDC"/>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i w:val="0"/>
                <w:sz w:val="20"/>
              </w:rPr>
              <w:t>Term</w:t>
            </w:r>
          </w:p>
        </w:tc>
        <w:tc>
          <w:tcPr>
            <w:tcW w:type="dxa" w:w="7920"/>
            <w:shd w:val="clear" w:color="auto" w:fill="DCDCDC"/>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i w:val="0"/>
                <w:sz w:val="20"/>
              </w:rPr>
              <w:t>Meaning</w:t>
            </w:r>
          </w:p>
        </w:tc>
      </w:tr>
      <w:tr>
        <w:tc>
          <w:tcPr>
            <w:tcW w:type="dxa" w:w="20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8-K</w:t>
            </w:r>
          </w:p>
        </w:tc>
        <w:tc>
          <w:tcPr>
            <w:tcW w:type="dxa" w:w="792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SEC Form 8-K — current report filed for material corporate events such as a merger agreement.</w:t>
            </w:r>
          </w:p>
        </w:tc>
      </w:tr>
      <w:tr>
        <w:tc>
          <w:tcPr>
            <w:tcW w:type="dxa" w:w="20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AIP</w:t>
            </w:r>
          </w:p>
        </w:tc>
        <w:tc>
          <w:tcPr>
            <w:tcW w:type="dxa" w:w="792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American Industrial Partners — New York-based operationally-oriented private equity firm ($17.5B AUM) and the acquirer in this transaction.</w:t>
            </w:r>
          </w:p>
        </w:tc>
      </w:tr>
      <w:tr>
        <w:tc>
          <w:tcPr>
            <w:tcW w:type="dxa" w:w="20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DEF 14A</w:t>
            </w:r>
          </w:p>
        </w:tc>
        <w:tc>
          <w:tcPr>
            <w:tcW w:type="dxa" w:w="792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Definitive proxy statement — filed with the SEC ahead of a shareholder vote; required for a merger.</w:t>
            </w:r>
          </w:p>
        </w:tc>
      </w:tr>
      <w:tr>
        <w:tc>
          <w:tcPr>
            <w:tcW w:type="dxa" w:w="20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EV</w:t>
            </w:r>
          </w:p>
        </w:tc>
        <w:tc>
          <w:tcPr>
            <w:tcW w:type="dxa" w:w="792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Enterprise Value — equity value plus net debt; the price an acquirer pays for the entire business.</w:t>
            </w:r>
          </w:p>
        </w:tc>
      </w:tr>
      <w:tr>
        <w:tc>
          <w:tcPr>
            <w:tcW w:type="dxa" w:w="20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FTC / DOJ</w:t>
            </w:r>
          </w:p>
        </w:tc>
        <w:tc>
          <w:tcPr>
            <w:tcW w:type="dxa" w:w="792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Federal Trade Commission and Department of Justice — the two US antitrust enforcement agencies.</w:t>
            </w:r>
          </w:p>
        </w:tc>
      </w:tr>
      <w:tr>
        <w:tc>
          <w:tcPr>
            <w:tcW w:type="dxa" w:w="20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HSR</w:t>
            </w:r>
          </w:p>
        </w:tc>
        <w:tc>
          <w:tcPr>
            <w:tcW w:type="dxa" w:w="792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Hart-Scott-Rodino Antitrust Improvements Act — requires pre-merger notification filings and a waiting period (typically 30 days).</w:t>
            </w:r>
          </w:p>
        </w:tc>
      </w:tr>
      <w:tr>
        <w:tc>
          <w:tcPr>
            <w:tcW w:type="dxa" w:w="20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IV</w:t>
            </w:r>
          </w:p>
        </w:tc>
        <w:tc>
          <w:tcPr>
            <w:tcW w:type="dxa" w:w="792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Implied Volatility — the option market's forward estimate of price variance; typically compresses after a binary event resolves.</w:t>
            </w:r>
          </w:p>
        </w:tc>
      </w:tr>
      <w:tr>
        <w:tc>
          <w:tcPr>
            <w:tcW w:type="dxa" w:w="20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LBO</w:t>
            </w:r>
          </w:p>
        </w:tc>
        <w:tc>
          <w:tcPr>
            <w:tcW w:type="dxa" w:w="792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Leveraged Buyout — a PE acquisition structure using debt to finance a portion of the purchase price.</w:t>
            </w:r>
          </w:p>
        </w:tc>
      </w:tr>
      <w:tr>
        <w:tc>
          <w:tcPr>
            <w:tcW w:type="dxa" w:w="20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MAC</w:t>
            </w:r>
          </w:p>
        </w:tc>
        <w:tc>
          <w:tcPr>
            <w:tcW w:type="dxa" w:w="792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Material Adverse Change — contractual clause permitting deal termination if the target's condition deteriorates materially.</w:t>
            </w:r>
          </w:p>
        </w:tc>
      </w:tr>
      <w:tr>
        <w:tc>
          <w:tcPr>
            <w:tcW w:type="dxa" w:w="20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Merger Sub</w:t>
            </w:r>
          </w:p>
        </w:tc>
        <w:tc>
          <w:tcPr>
            <w:tcW w:type="dxa" w:w="792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Wholly-owned shell subsidiary created by the acquirer that merges with the target in a reverse triangular structure.</w:t>
            </w:r>
          </w:p>
        </w:tc>
      </w:tr>
      <w:tr>
        <w:tc>
          <w:tcPr>
            <w:tcW w:type="dxa" w:w="20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PDUFA</w:t>
            </w:r>
          </w:p>
        </w:tc>
        <w:tc>
          <w:tcPr>
            <w:tcW w:type="dxa" w:w="792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Prescription Drug User Fee Act date — not relevant here; included because adjacent theses in this framework use it.</w:t>
            </w:r>
          </w:p>
        </w:tc>
      </w:tr>
      <w:tr>
        <w:tc>
          <w:tcPr>
            <w:tcW w:type="dxa" w:w="20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Proration</w:t>
            </w:r>
          </w:p>
        </w:tc>
        <w:tc>
          <w:tcPr>
            <w:tcW w:type="dxa" w:w="792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Allocation mechanism when aggregate cash elections exceed a cap — excess converts pro-rata to the alternative form of consideration.</w:t>
            </w:r>
          </w:p>
        </w:tc>
      </w:tr>
      <w:tr>
        <w:tc>
          <w:tcPr>
            <w:tcW w:type="dxa" w:w="20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SEC</w:t>
            </w:r>
          </w:p>
        </w:tc>
        <w:tc>
          <w:tcPr>
            <w:tcW w:type="dxa" w:w="792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Securities and Exchange Commission — the US federal securities regulator.</w:t>
            </w:r>
          </w:p>
        </w:tc>
      </w:tr>
      <w:tr>
        <w:tc>
          <w:tcPr>
            <w:tcW w:type="dxa" w:w="20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VWAP</w:t>
            </w:r>
          </w:p>
        </w:tc>
        <w:tc>
          <w:tcPr>
            <w:tcW w:type="dxa" w:w="792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Volume Weighted Average Price — a benchmark price for a given period, weighted by trading volume.</w:t>
            </w:r>
          </w:p>
        </w:tc>
      </w:tr>
      <w:tr>
        <w:tc>
          <w:tcPr>
            <w:tcW w:type="dxa" w:w="20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WAC</w:t>
            </w:r>
          </w:p>
        </w:tc>
        <w:tc>
          <w:tcPr>
            <w:tcW w:type="dxa" w:w="792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Written Action by Consent — written shareholder approval in lieu of a meeting; not the path here (AVNS requires a live vote).</w:t>
            </w:r>
          </w:p>
        </w:tc>
      </w:tr>
      <w:tr>
        <w:tc>
          <w:tcPr>
            <w:tcW w:type="dxa" w:w="20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Reverse triangular merger</w:t>
            </w:r>
          </w:p>
        </w:tc>
        <w:tc>
          <w:tcPr>
            <w:tcW w:type="dxa" w:w="792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Structure in which a buyer's shell sub merges with and into the target, leaving the target as a wholly-owned subsidiary of the buyer.</w:t>
            </w:r>
          </w:p>
        </w:tc>
      </w:tr>
    </w:tbl>
    <w:p/>
    <w:p>
      <w:pPr>
        <w:keepNext/>
        <w:spacing w:before="280" w:after="120" w:line="276" w:lineRule="auto"/>
      </w:pPr>
      <w:r>
        <w:rPr>
          <w:rFonts w:ascii="Arial" w:hAnsi="Arial" w:cs="Arial" w:eastAsia="Arial"/>
          <w:b/>
          <w:i w:val="0"/>
          <w:sz w:val="30"/>
        </w:rPr>
        <w:t>Summary</w:t>
      </w:r>
    </w:p>
    <w:p>
      <w:pPr>
        <w:spacing w:after="120" w:before="0" w:line="276" w:lineRule="auto"/>
        <w:jc w:val="both"/>
      </w:pPr>
      <w:r>
        <w:rPr>
          <w:rFonts w:ascii="Arial" w:hAnsi="Arial" w:cs="Arial" w:eastAsia="Arial"/>
          <w:b w:val="0"/>
          <w:i w:val="0"/>
          <w:sz w:val="22"/>
        </w:rPr>
        <w:t>Avanos Medical agreed on 13 April 2026 to be acquired by affiliates of American Industrial Partners (AIP) at $25.00 per share in cash, valuing the company at approximately $1.272 billion of enterprise value. The deal was announced before the market open on 14 April and AVNS stock gapped from a $14.53 prior close to a $24.55 open on roughly forty-eight times normal volume. At the time of this note the stock is pinned at $24.68, a gross spread of $0.32 or 1.3% to the $25.00 closing consideration.</w:t>
      </w:r>
    </w:p>
    <w:p>
      <w:pPr>
        <w:spacing w:after="120" w:before="0" w:line="276" w:lineRule="auto"/>
        <w:jc w:val="both"/>
      </w:pPr>
      <w:r>
        <w:rPr>
          <w:rFonts w:ascii="Arial" w:hAnsi="Arial" w:cs="Arial" w:eastAsia="Arial"/>
          <w:b w:val="0"/>
          <w:i w:val="0"/>
          <w:sz w:val="22"/>
        </w:rPr>
        <w:t>The investment question is no longer the fundamental outlook for Avanos's medical device franchise. The fundamental outlook is now the property of AIP's investment committee. The question for a public-market investor is narrower and simpler: does a 1.3% gross, roughly 3% annualised spread over a three-to-six-month close compensate adequately for the tail risk that this cash deal fails to close? The answer sits somewhere between "yes, if you can finance it efficiently" and "no, if your opportunity cost is not Treasury bills." It is not an unambiguous buy, and the honest framing is that the excess-return case here is small and depends on execution. That is the thesis.</w:t>
      </w:r>
    </w:p>
    <w:p>
      <w:pPr>
        <w:keepNext/>
        <w:spacing w:before="200" w:after="120" w:line="276" w:lineRule="auto"/>
      </w:pPr>
      <w:r>
        <w:rPr>
          <w:rFonts w:ascii="Arial" w:hAnsi="Arial" w:cs="Arial" w:eastAsia="Arial"/>
          <w:b/>
          <w:i w:val="0"/>
          <w:sz w:val="26"/>
        </w:rPr>
        <w:t>The Case in 5 Points</w:t>
      </w:r>
    </w:p>
    <w:p>
      <w:pPr>
        <w:spacing w:after="120" w:line="276" w:lineRule="auto"/>
        <w:jc w:val="both"/>
      </w:pPr>
      <w:r>
        <w:rPr>
          <w:rFonts w:ascii="Arial" w:hAnsi="Arial" w:cs="Arial" w:eastAsia="Arial"/>
          <w:b/>
          <w:i w:val="0"/>
          <w:sz w:val="22"/>
        </w:rPr>
        <w:t xml:space="preserve">1. The spread is real but narrow — 1.3% gross for a cash deal with high-but-not-certain completion probability. </w:t>
      </w:r>
      <w:r>
        <w:rPr>
          <w:rFonts w:ascii="Arial" w:hAnsi="Arial" w:cs="Arial" w:eastAsia="Arial"/>
          <w:b w:val="0"/>
          <w:i w:val="0"/>
          <w:sz w:val="22"/>
        </w:rPr>
        <w:t>At a $24.68 trade against a $25.00 consideration, the market is pricing roughly 97% deal completion probability (assuming a $15 break reference). That is tight but not unreasonable for an all-cash PE take-private with unanimous board support, a 72.1% premium to the unaffected price, and no antitrust or financing overhang. The absolute upside is small, but the downside is correspondingly bounded and probabilistically low.</w:t>
      </w:r>
    </w:p>
    <w:p>
      <w:pPr>
        <w:spacing w:after="120" w:line="276" w:lineRule="auto"/>
        <w:jc w:val="both"/>
      </w:pPr>
      <w:r>
        <w:rPr>
          <w:rFonts w:ascii="Arial" w:hAnsi="Arial" w:cs="Arial" w:eastAsia="Arial"/>
          <w:b/>
          <w:i w:val="0"/>
          <w:sz w:val="22"/>
        </w:rPr>
        <w:t xml:space="preserve">2. The 72.1% premium is the single most important fact in the file. </w:t>
      </w:r>
      <w:r>
        <w:rPr>
          <w:rFonts w:ascii="Arial" w:hAnsi="Arial" w:cs="Arial" w:eastAsia="Arial"/>
          <w:b w:val="0"/>
          <w:i w:val="0"/>
          <w:sz w:val="22"/>
        </w:rPr>
        <w:t>Strategic medtech transactions typically clear at 30–40% premiums. Sponsor take-privates typically clear at 40–55%. A 72% premium is a top-decile mark and is inconsistent with a soft process, a low-ball opportunistic bid, or a reluctant board. It signals a negotiated deal where AIP paid up to close out other bidders and secured unanimous board approval. A high premium also structurally suppresses shareholder-vote risk and the probability of a topping bid — both of which are priced into the tight spread.</w:t>
      </w:r>
    </w:p>
    <w:p>
      <w:pPr>
        <w:spacing w:after="120" w:line="276" w:lineRule="auto"/>
        <w:jc w:val="both"/>
      </w:pPr>
      <w:r>
        <w:rPr>
          <w:rFonts w:ascii="Arial" w:hAnsi="Arial" w:cs="Arial" w:eastAsia="Arial"/>
          <w:b/>
          <w:i w:val="0"/>
          <w:sz w:val="22"/>
        </w:rPr>
        <w:t xml:space="preserve">3. Antitrust risk is near-zero; the deal clears HSR on the first pass. </w:t>
      </w:r>
      <w:r>
        <w:rPr>
          <w:rFonts w:ascii="Arial" w:hAnsi="Arial" w:cs="Arial" w:eastAsia="Arial"/>
          <w:b w:val="0"/>
          <w:i w:val="0"/>
          <w:sz w:val="22"/>
        </w:rPr>
        <w:t>Avanos is a niche medical-device manufacturer (chronic pain, surgical pain, digestive health). AIP is an industrials-focused PE firm with no meaningful healthcare exposure. There is no product overlap, no market-concentration story for FTC or DOJ to pursue, and no pattern in recent medtech PE take-privates of second requests or enforcement actions on businesses of this size. HSR clearance within the standard 30-day waiting period is the base-rate outcome.</w:t>
      </w:r>
    </w:p>
    <w:p>
      <w:pPr>
        <w:spacing w:after="120" w:line="276" w:lineRule="auto"/>
        <w:jc w:val="both"/>
      </w:pPr>
      <w:r>
        <w:rPr>
          <w:rFonts w:ascii="Arial" w:hAnsi="Arial" w:cs="Arial" w:eastAsia="Arial"/>
          <w:b/>
          <w:i w:val="0"/>
          <w:sz w:val="22"/>
        </w:rPr>
        <w:t xml:space="preserve">4. The structural tail risks are operational, not deal-break risks. </w:t>
      </w:r>
      <w:r>
        <w:rPr>
          <w:rFonts w:ascii="Arial" w:hAnsi="Arial" w:cs="Arial" w:eastAsia="Arial"/>
          <w:b w:val="0"/>
          <w:i w:val="0"/>
          <w:sz w:val="22"/>
        </w:rPr>
        <w:t>What could derail this is not the antitrust regulator. It is a material adverse change (MAC) invocation — a genuinely catastrophic deterioration in Avanos's business during the pendency period — or a shareholder vote surprise. Both are very low probability. AVNS's FY2025 revenue of $701.2M and adjusted EBITDA of $86.8M were already known when AIP signed; any further weakness within contractual MAC thresholds is unlikely to cause termination. A shareholder vote at a 72.1% premium with a unanimous board recommendation is a formality.</w:t>
      </w:r>
    </w:p>
    <w:p>
      <w:pPr>
        <w:spacing w:after="120" w:line="276" w:lineRule="auto"/>
        <w:jc w:val="both"/>
      </w:pPr>
      <w:r>
        <w:rPr>
          <w:rFonts w:ascii="Arial" w:hAnsi="Arial" w:cs="Arial" w:eastAsia="Arial"/>
          <w:b/>
          <w:i w:val="0"/>
          <w:sz w:val="22"/>
        </w:rPr>
        <w:t xml:space="preserve">5. The edge, to the extent it exists, is borrow-and-financing optimisation, not price edge. </w:t>
      </w:r>
      <w:r>
        <w:rPr>
          <w:rFonts w:ascii="Arial" w:hAnsi="Arial" w:cs="Arial" w:eastAsia="Arial"/>
          <w:b w:val="0"/>
          <w:i w:val="0"/>
          <w:sz w:val="22"/>
        </w:rPr>
        <w:t>For an investor running unlevered capital, the 3–5% annualised return is not especially attractive against current T-bill yields. The real case for adding AVNS is either (a) a liquidity sink for capital awaiting a better setup, or (b) a modest book position where the arb can be financed at spreads materially below the deal's annualised return. The fundamental-analyst edge — the kind we harvest on PDUFA-driven biotech names — is not present here. That should shape position sizing accordingly.</w:t>
      </w:r>
    </w:p>
    <w:p>
      <w:pPr>
        <w:keepNext/>
        <w:spacing w:before="200" w:after="120" w:line="276" w:lineRule="auto"/>
      </w:pPr>
      <w:r>
        <w:rPr>
          <w:rFonts w:ascii="Arial" w:hAnsi="Arial" w:cs="Arial" w:eastAsia="Arial"/>
          <w:b/>
          <w:i w:val="0"/>
          <w:sz w:val="26"/>
        </w:rPr>
        <w:t>Key Numbers</w:t>
      </w:r>
    </w:p>
    <w:tbl>
      <w:tblPr>
        <w:tblW w:type="auto" w:w="0"/>
        <w:jc w:val="center"/>
        <w:tblLayout w:type="fixed"/>
        <w:tblLook w:firstColumn="1" w:firstRow="1" w:lastColumn="0" w:lastRow="0" w:noHBand="0" w:noVBand="1" w:val="04A0"/>
      </w:tblPr>
      <w:tblGrid>
        <w:gridCol w:w="3360"/>
        <w:gridCol w:w="3360"/>
        <w:gridCol w:w="3360"/>
      </w:tblGrid>
      <w:tr>
        <w:tc>
          <w:tcPr>
            <w:tcW w:type="dxa" w:w="2880"/>
            <w:shd w:val="clear" w:color="auto" w:fill="DCDCDC"/>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i w:val="0"/>
                <w:sz w:val="20"/>
              </w:rPr>
              <w:t>Metric</w:t>
            </w:r>
          </w:p>
        </w:tc>
        <w:tc>
          <w:tcPr>
            <w:tcW w:type="dxa" w:w="2448"/>
            <w:shd w:val="clear" w:color="auto" w:fill="DCDCDC"/>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i w:val="0"/>
                <w:sz w:val="20"/>
              </w:rPr>
              <w:t>Value</w:t>
            </w:r>
          </w:p>
        </w:tc>
        <w:tc>
          <w:tcPr>
            <w:tcW w:type="dxa" w:w="4608"/>
            <w:shd w:val="clear" w:color="auto" w:fill="DCDCDC"/>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i w:val="0"/>
                <w:sz w:val="20"/>
              </w:rPr>
              <w:t>Note</w:t>
            </w:r>
          </w:p>
        </w:tc>
      </w:tr>
      <w:tr>
        <w:tc>
          <w:tcPr>
            <w:tcW w:type="dxa" w:w="288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Current share price</w:t>
            </w:r>
          </w:p>
        </w:tc>
        <w:tc>
          <w:tcPr>
            <w:tcW w:type="dxa" w:w="2448"/>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$24.68</w:t>
            </w:r>
          </w:p>
        </w:tc>
        <w:tc>
          <w:tcPr>
            <w:tcW w:type="dxa" w:w="4608"/>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14 April 2026 intraday (post-announcement)</w:t>
            </w:r>
          </w:p>
        </w:tc>
      </w:tr>
      <w:tr>
        <w:tc>
          <w:tcPr>
            <w:tcW w:type="dxa" w:w="288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Deal consideration</w:t>
            </w:r>
          </w:p>
        </w:tc>
        <w:tc>
          <w:tcPr>
            <w:tcW w:type="dxa" w:w="2448"/>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$25.00 cash</w:t>
            </w:r>
          </w:p>
        </w:tc>
        <w:tc>
          <w:tcPr>
            <w:tcW w:type="dxa" w:w="4608"/>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All-cash, no CVR, no collar</w:t>
            </w:r>
          </w:p>
        </w:tc>
      </w:tr>
      <w:tr>
        <w:tc>
          <w:tcPr>
            <w:tcW w:type="dxa" w:w="288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Gross spread</w:t>
            </w:r>
          </w:p>
        </w:tc>
        <w:tc>
          <w:tcPr>
            <w:tcW w:type="dxa" w:w="2448"/>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$0.32 (~1.3%)</w:t>
            </w:r>
          </w:p>
        </w:tc>
        <w:tc>
          <w:tcPr>
            <w:tcW w:type="dxa" w:w="4608"/>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To $25.00 deal price</w:t>
            </w:r>
          </w:p>
        </w:tc>
      </w:tr>
      <w:tr>
        <w:tc>
          <w:tcPr>
            <w:tcW w:type="dxa" w:w="288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Premium to unaffected price</w:t>
            </w:r>
          </w:p>
        </w:tc>
        <w:tc>
          <w:tcPr>
            <w:tcW w:type="dxa" w:w="2448"/>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72.1%</w:t>
            </w:r>
          </w:p>
        </w:tc>
        <w:tc>
          <w:tcPr>
            <w:tcW w:type="dxa" w:w="4608"/>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13 April close $14.53 was the reference</w:t>
            </w:r>
          </w:p>
        </w:tc>
      </w:tr>
      <w:tr>
        <w:tc>
          <w:tcPr>
            <w:tcW w:type="dxa" w:w="288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Premium to 30-day VWAP</w:t>
            </w:r>
          </w:p>
        </w:tc>
        <w:tc>
          <w:tcPr>
            <w:tcW w:type="dxa" w:w="2448"/>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82.8%</w:t>
            </w:r>
          </w:p>
        </w:tc>
        <w:tc>
          <w:tcPr>
            <w:tcW w:type="dxa" w:w="4608"/>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Reinforces the "negotiated, not opportunistic" read</w:t>
            </w:r>
          </w:p>
        </w:tc>
      </w:tr>
      <w:tr>
        <w:tc>
          <w:tcPr>
            <w:tcW w:type="dxa" w:w="288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Enterprise value</w:t>
            </w:r>
          </w:p>
        </w:tc>
        <w:tc>
          <w:tcPr>
            <w:tcW w:type="dxa" w:w="2448"/>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~$1.272B</w:t>
            </w:r>
          </w:p>
        </w:tc>
        <w:tc>
          <w:tcPr>
            <w:tcW w:type="dxa" w:w="4608"/>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Per signed merger agreement</w:t>
            </w:r>
          </w:p>
        </w:tc>
      </w:tr>
      <w:tr>
        <w:tc>
          <w:tcPr>
            <w:tcW w:type="dxa" w:w="288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Implied EV / FY2025 Revenue</w:t>
            </w:r>
          </w:p>
        </w:tc>
        <w:tc>
          <w:tcPr>
            <w:tcW w:type="dxa" w:w="2448"/>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~1.8x</w:t>
            </w:r>
          </w:p>
        </w:tc>
        <w:tc>
          <w:tcPr>
            <w:tcW w:type="dxa" w:w="4608"/>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FY2025 revenue $701.2M</w:t>
            </w:r>
          </w:p>
        </w:tc>
      </w:tr>
      <w:tr>
        <w:tc>
          <w:tcPr>
            <w:tcW w:type="dxa" w:w="288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Implied EV / FY2025 Adj. EBITDA</w:t>
            </w:r>
          </w:p>
        </w:tc>
        <w:tc>
          <w:tcPr>
            <w:tcW w:type="dxa" w:w="2448"/>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~14.7x</w:t>
            </w:r>
          </w:p>
        </w:tc>
        <w:tc>
          <w:tcPr>
            <w:tcW w:type="dxa" w:w="4608"/>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FY2025 Adj. EBITDA $86.8M</w:t>
            </w:r>
          </w:p>
        </w:tc>
      </w:tr>
      <w:tr>
        <w:tc>
          <w:tcPr>
            <w:tcW w:type="dxa" w:w="288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Expected close</w:t>
            </w:r>
          </w:p>
        </w:tc>
        <w:tc>
          <w:tcPr>
            <w:tcW w:type="dxa" w:w="2448"/>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H2 2026</w:t>
            </w:r>
          </w:p>
        </w:tc>
        <w:tc>
          <w:tcPr>
            <w:tcW w:type="dxa" w:w="4608"/>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Roughly 3–6 months; SEC comment cycle on proxy is the pacing item</w:t>
            </w:r>
          </w:p>
        </w:tc>
      </w:tr>
      <w:tr>
        <w:tc>
          <w:tcPr>
            <w:tcW w:type="dxa" w:w="288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Investment score</w:t>
            </w:r>
          </w:p>
        </w:tc>
        <w:tc>
          <w:tcPr>
            <w:tcW w:type="dxa" w:w="2448"/>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28.5 / 42.5</w:t>
            </w:r>
          </w:p>
        </w:tc>
        <w:tc>
          <w:tcPr>
            <w:tcW w:type="dxa" w:w="4608"/>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7-dimension weighted framework — marginal active candidate</w:t>
            </w:r>
          </w:p>
        </w:tc>
      </w:tr>
      <w:tr>
        <w:tc>
          <w:tcPr>
            <w:tcW w:type="dxa" w:w="288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Recommendation tier</w:t>
            </w:r>
          </w:p>
        </w:tc>
        <w:tc>
          <w:tcPr>
            <w:tcW w:type="dxa" w:w="2448"/>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Active candidate</w:t>
            </w:r>
          </w:p>
        </w:tc>
        <w:tc>
          <w:tcPr>
            <w:tcW w:type="dxa" w:w="4608"/>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Buy the spread only with efficient financing</w:t>
            </w:r>
          </w:p>
        </w:tc>
      </w:tr>
    </w:tbl>
    <w:p/>
    <w:p>
      <w:pPr>
        <w:keepNext/>
        <w:spacing w:before="200" w:after="120" w:line="276" w:lineRule="auto"/>
      </w:pPr>
      <w:r>
        <w:rPr>
          <w:rFonts w:ascii="Arial" w:hAnsi="Arial" w:cs="Arial" w:eastAsia="Arial"/>
          <w:b/>
          <w:i w:val="0"/>
          <w:sz w:val="26"/>
        </w:rPr>
        <w:t>The Asymmetry</w:t>
      </w:r>
    </w:p>
    <w:p>
      <w:pPr>
        <w:spacing w:after="80" w:before="0" w:line="276" w:lineRule="auto"/>
        <w:jc w:val="both"/>
      </w:pPr>
      <w:r>
        <w:rPr>
          <w:rFonts w:ascii="Arial" w:hAnsi="Arial" w:cs="Arial" w:eastAsia="Arial"/>
          <w:b w:val="0"/>
          <w:i w:val="0"/>
          <w:sz w:val="22"/>
        </w:rPr>
        <w:t>Base case (~95% probability): Deal closes on schedule in Q3 2026 at $25.00. Return from $24.68 is +1.3% gross over approximately five months, or roughly +3.0–3.2% annualised before borrow costs. The annualised return is unattractive relative to cash for a long-only book.</w:t>
      </w:r>
    </w:p>
    <w:p>
      <w:pPr>
        <w:spacing w:after="80" w:before="0" w:line="276" w:lineRule="auto"/>
        <w:jc w:val="both"/>
      </w:pPr>
      <w:r>
        <w:rPr>
          <w:rFonts w:ascii="Arial" w:hAnsi="Arial" w:cs="Arial" w:eastAsia="Arial"/>
          <w:b w:val="0"/>
          <w:i w:val="0"/>
          <w:sz w:val="22"/>
        </w:rPr>
        <w:t>Bull case (~3% probability): A topping bid emerges or AIP raises the offer to lock up a wavering holder. Topping bids are rare at 72%+ premiums — the population of strategic buyers willing to outbid a PE firm on an industrial-grade sponsor deal at this premium is small. Any topping bid likely clears at $26.50–$28.00, a mechanical 7–13% upside from current spot.</w:t>
      </w:r>
    </w:p>
    <w:p>
      <w:pPr>
        <w:spacing w:after="80" w:before="0" w:line="276" w:lineRule="auto"/>
        <w:jc w:val="both"/>
      </w:pPr>
      <w:r>
        <w:rPr>
          <w:rFonts w:ascii="Arial" w:hAnsi="Arial" w:cs="Arial" w:eastAsia="Arial"/>
          <w:b w:val="0"/>
          <w:i w:val="0"/>
          <w:sz w:val="22"/>
        </w:rPr>
        <w:t>Bear case (~2% probability): Deal terminates on MAC, financing failure (no financing condition was documented — this should be verified against the signed agreement), or a vote surprise. Stock reverts to a $14–$16 range, a clean −35–43% drawdown from current. The unaffected price was $14.53, and there is no fundamental story that has improved since then to support a floor above that.</w:t>
      </w:r>
    </w:p>
    <w:p>
      <w:pPr>
        <w:spacing w:after="80" w:before="0" w:line="276" w:lineRule="auto"/>
        <w:jc w:val="both"/>
      </w:pPr>
      <w:r>
        <w:rPr>
          <w:rFonts w:ascii="Arial" w:hAnsi="Arial" w:cs="Arial" w:eastAsia="Arial"/>
          <w:b w:val="0"/>
          <w:i w:val="0"/>
          <w:sz w:val="22"/>
        </w:rPr>
        <w:t>Probability-weighted expected return (using the above and a $15.00 bear anchor): roughly +1.2% nominal, or ~+2.8% annualised. The calculation is: 0.95 × $25.00 + 0.03 × $26.80 + 0.02 × $15.00 = $25.00. That is approximately the current ask. The market is efficiently priced. Any edge must come from financing, selection (which sub-1.5% spreads to own versus which to skip), or opportunistic re-entry if the spread widens on news noise.</w:t>
      </w:r>
    </w:p>
    <w:p>
      <w:pPr>
        <w:keepNext/>
        <w:spacing w:before="200" w:after="120" w:line="276" w:lineRule="auto"/>
      </w:pPr>
      <w:r>
        <w:rPr>
          <w:rFonts w:ascii="Arial" w:hAnsi="Arial" w:cs="Arial" w:eastAsia="Arial"/>
          <w:b/>
          <w:i w:val="0"/>
          <w:sz w:val="26"/>
        </w:rPr>
        <w:t>Recommendation</w:t>
      </w:r>
    </w:p>
    <w:tbl>
      <w:tblPr>
        <w:tblW w:type="auto" w:w="0"/>
        <w:jc w:val="center"/>
        <w:tblLook w:firstColumn="1" w:firstRow="1" w:lastColumn="0" w:lastRow="0" w:noHBand="0" w:noVBand="1" w:val="04A0"/>
      </w:tblPr>
      <w:tblGrid>
        <w:gridCol w:w="10080"/>
      </w:tblGrid>
      <w:tr>
        <w:tc>
          <w:tcPr>
            <w:tcW w:type="dxa" w:w="10080"/>
            <w:tcBorders>
              <w:top w:val="single" w:sz="12" w:space="0" w:color="888888"/>
              <w:left w:val="single" w:sz="12" w:space="0" w:color="888888"/>
              <w:bottom w:val="single" w:sz="12" w:space="0" w:color="888888"/>
              <w:right w:val="single" w:sz="12" w:space="0" w:color="888888"/>
            </w:tcBorders>
            <w:shd w:val="clear" w:color="auto" w:fill="F7F5F0"/>
          </w:tcPr>
          <w:p>
            <w:pPr>
              <w:spacing w:after="80"/>
            </w:pPr>
            <w:r/>
            <w:r>
              <w:rPr>
                <w:rFonts w:ascii="Arial" w:hAnsi="Arial" w:cs="Arial" w:eastAsia="Arial"/>
                <w:b/>
                <w:i w:val="0"/>
                <w:sz w:val="22"/>
              </w:rPr>
              <w:t>Hold / tactical add on weakness.</w:t>
            </w:r>
          </w:p>
          <w:p>
            <w:pPr>
              <w:spacing w:line="288" w:lineRule="auto"/>
            </w:pPr>
            <w:r>
              <w:rPr>
                <w:rFonts w:ascii="Arial" w:hAnsi="Arial" w:cs="Arial" w:eastAsia="Arial"/>
                <w:b w:val="0"/>
                <w:i w:val="0"/>
                <w:sz w:val="20"/>
              </w:rPr>
              <w:t>Spread is fairly priced. Size no more than 1–2% of gross at current levels and only if borrow / financing cost is meaningfully below 3.0% annualised. Add incrementally if the spread widens to 2.0%+ on non-fundamental noise (e.g., interim proxy disclosure, analyst suspension headline). Do not pay up into narrowing spreads. Not a core thesis candidate; this is a cash-plus sleeve position.</w:t>
            </w:r>
          </w:p>
        </w:tc>
      </w:tr>
    </w:tbl>
    <w:p/>
    <w:p>
      <w:pPr>
        <w:spacing w:after="120" w:before="0" w:line="276" w:lineRule="auto"/>
        <w:jc w:val="left"/>
      </w:pPr>
      <w:r>
        <w:rPr>
          <w:rFonts w:ascii="Arial" w:hAnsi="Arial" w:cs="Arial" w:eastAsia="Arial"/>
          <w:b w:val="0"/>
          <w:i/>
          <w:sz w:val="20"/>
        </w:rPr>
        <w:t>Full thesis, deal mechanics, risk decomposition, and sourcing in the Appendix that follows.</w:t>
      </w:r>
    </w:p>
    <w:p>
      <w:r>
        <w:br w:type="page"/>
      </w:r>
    </w:p>
    <w:p>
      <w:pPr>
        <w:keepNext/>
        <w:spacing w:before="280" w:after="120" w:line="276" w:lineRule="auto"/>
      </w:pPr>
      <w:r>
        <w:rPr>
          <w:rFonts w:ascii="Arial" w:hAnsi="Arial" w:cs="Arial" w:eastAsia="Arial"/>
          <w:b/>
          <w:i w:val="0"/>
          <w:sz w:val="30"/>
        </w:rPr>
        <w:t>APPENDIX — Full Investment Thesis</w:t>
      </w:r>
    </w:p>
    <w:p>
      <w:pPr>
        <w:keepNext/>
        <w:spacing w:before="200" w:after="120" w:line="276" w:lineRule="auto"/>
      </w:pPr>
      <w:r>
        <w:rPr>
          <w:rFonts w:ascii="Arial" w:hAnsi="Arial" w:cs="Arial" w:eastAsia="Arial"/>
          <w:b/>
          <w:i w:val="0"/>
          <w:sz w:val="26"/>
        </w:rPr>
        <w:t>A.1  Why Now — The Window Is Closing</w:t>
      </w:r>
    </w:p>
    <w:p>
      <w:pPr>
        <w:spacing w:after="120" w:before="0" w:line="276" w:lineRule="auto"/>
        <w:jc w:val="both"/>
      </w:pPr>
      <w:r>
        <w:rPr>
          <w:rFonts w:ascii="Arial" w:hAnsi="Arial" w:cs="Arial" w:eastAsia="Arial"/>
          <w:b w:val="0"/>
          <w:i w:val="0"/>
          <w:sz w:val="22"/>
        </w:rPr>
        <w:t>Merger-arbitrage edge decays asymmetrically. On announcement day the information shock is enormous and liquidity is plentiful. Over the subsequent weeks the spread typically compresses as event-driven funds build positions, and absent news the only remaining return stream is the slow accrual to deal price. By the proxy filing the spread is usually tightest; by the vote date it is near zero. There is no reason to expect AVNS to deviate from this pattern.</w:t>
      </w:r>
    </w:p>
    <w:p>
      <w:pPr>
        <w:spacing w:after="120" w:before="0" w:line="276" w:lineRule="auto"/>
        <w:jc w:val="both"/>
      </w:pPr>
      <w:r>
        <w:rPr>
          <w:rFonts w:ascii="Arial" w:hAnsi="Arial" w:cs="Arial" w:eastAsia="Arial"/>
          <w:b w:val="0"/>
          <w:i w:val="0"/>
          <w:sz w:val="22"/>
        </w:rPr>
        <w:t>The specific window that matters is now through the proxy mailing (typically four to six weeks post-signing, so mid-to-late May 2026). That is the window during which new arb buyers size up, borrow becomes available, and any litigation-discovery-driven spread widening is most likely. After the proxy filing, the spread generally walks smoothly to zero with the only risks being tail events.</w:t>
      </w:r>
    </w:p>
    <w:p>
      <w:pPr>
        <w:spacing w:after="80" w:before="0" w:line="276" w:lineRule="auto"/>
        <w:jc w:val="left"/>
      </w:pPr>
      <w:r>
        <w:rPr>
          <w:rFonts w:ascii="Arial" w:hAnsi="Arial" w:cs="Arial" w:eastAsia="Arial"/>
          <w:b/>
          <w:i w:val="0"/>
          <w:sz w:val="22"/>
        </w:rPr>
        <w:t>Three practical implications follow from the timing:</w:t>
      </w:r>
    </w:p>
    <w:p>
      <w:pPr>
        <w:pStyle w:val="ListNumber"/>
        <w:spacing w:after="40" w:line="276" w:lineRule="auto"/>
      </w:pPr>
      <w:r>
        <w:rPr>
          <w:rFonts w:ascii="Arial" w:hAnsi="Arial" w:cs="Arial" w:eastAsia="Arial"/>
          <w:b w:val="0"/>
          <w:i w:val="0"/>
          <w:sz w:val="22"/>
        </w:rPr>
        <w:t>Do not chase. The best execution price is likely within the next two weeks; after the proxy the trade is a carry trade at progressively lower spreads.</w:t>
      </w:r>
    </w:p>
    <w:p>
      <w:pPr>
        <w:pStyle w:val="ListNumber"/>
        <w:spacing w:after="40" w:line="276" w:lineRule="auto"/>
      </w:pPr>
      <w:r>
        <w:rPr>
          <w:rFonts w:ascii="Arial" w:hAnsi="Arial" w:cs="Arial" w:eastAsia="Arial"/>
          <w:b w:val="0"/>
          <w:i w:val="0"/>
          <w:sz w:val="22"/>
        </w:rPr>
        <w:t>Watch for mechanical spread-widening episodes — strike-suit news, analyst coverage suspensions, interim 8-K disclosures — and use them to build size if the fundamental completion probability is unchanged.</w:t>
      </w:r>
    </w:p>
    <w:p>
      <w:pPr>
        <w:pStyle w:val="ListNumber"/>
        <w:spacing w:after="40" w:line="276" w:lineRule="auto"/>
      </w:pPr>
      <w:r>
        <w:rPr>
          <w:rFonts w:ascii="Arial" w:hAnsi="Arial" w:cs="Arial" w:eastAsia="Arial"/>
          <w:b w:val="0"/>
          <w:i w:val="0"/>
          <w:sz w:val="22"/>
        </w:rPr>
        <w:t>Exit discipline: the trade is fully monetised at the close, not before. Selling into a tight spread weeks before close forfeits the last few basis points of return for no risk-management benefit unless materially better opportunities exist.</w:t>
      </w:r>
    </w:p>
    <w:p>
      <w:pPr>
        <w:pStyle w:val="ListNumber"/>
        <w:spacing w:after="40" w:line="276" w:lineRule="auto"/>
      </w:pPr>
      <w:r>
        <w:rPr>
          <w:rFonts w:ascii="Arial" w:hAnsi="Arial" w:cs="Arial" w:eastAsia="Arial"/>
          <w:b w:val="0"/>
          <w:i w:val="0"/>
          <w:sz w:val="22"/>
        </w:rPr>
        <w:t>Treat this position as a short-duration cash substitute, not a core risk-budget allocation. Sizing should reflect that.</w:t>
      </w:r>
    </w:p>
    <w:p>
      <w:pPr>
        <w:keepNext/>
        <w:spacing w:before="200" w:after="120" w:line="276" w:lineRule="auto"/>
      </w:pPr>
      <w:r>
        <w:rPr>
          <w:rFonts w:ascii="Arial" w:hAnsi="Arial" w:cs="Arial" w:eastAsia="Arial"/>
          <w:b/>
          <w:i w:val="0"/>
          <w:sz w:val="26"/>
        </w:rPr>
        <w:t>A.2  The Company</w:t>
      </w:r>
    </w:p>
    <w:p>
      <w:pPr>
        <w:spacing w:after="120" w:before="0" w:line="276" w:lineRule="auto"/>
        <w:jc w:val="both"/>
      </w:pPr>
      <w:r>
        <w:rPr>
          <w:rFonts w:ascii="Arial" w:hAnsi="Arial" w:cs="Arial" w:eastAsia="Arial"/>
          <w:b w:val="0"/>
          <w:i w:val="0"/>
          <w:sz w:val="22"/>
        </w:rPr>
        <w:t>Avanos Medical, headquartered in Alpharetta, Georgia, is a mid-cap US medical-device company with two reporting segments: Pain Management &amp; Recovery (ON-Q post-surgical non-opioid pain pumps, Game Ready cold-therapy systems, a range of interventional pain products) and Digestive Health (Corpak and Mic-Key feeding tubes, Cortrak electromagnetic placement systems). The business is mature, low-growth, and operates in niche-but-durable hospital procurement categories where the installed base creates a recurring consumables tail.</w:t>
      </w:r>
    </w:p>
    <w:p>
      <w:pPr>
        <w:spacing w:after="120" w:before="0" w:line="276" w:lineRule="auto"/>
        <w:jc w:val="both"/>
      </w:pPr>
      <w:r>
        <w:rPr>
          <w:rFonts w:ascii="Arial" w:hAnsi="Arial" w:cs="Arial" w:eastAsia="Arial"/>
          <w:b w:val="0"/>
          <w:i w:val="0"/>
          <w:sz w:val="22"/>
        </w:rPr>
        <w:t>FY2025 revenue was $701.2M, up 1.9% year-on-year. FY2025 adjusted EBITDA was $86.8M, down roughly 19% from the prior year's $107.6M, with the decline explained by tariff pressure on imported components and costs associated with an internal transformation programme. The 2026 guidance before the deal was issued assumed revenue of $700–720M with suspended EPS guidance pending the transaction. This is not a growth story; it is a margin-rehabilitation story, and that is exactly the kind of business operationally-focused sponsors like AIP prefer to own in private hands.</w:t>
      </w:r>
    </w:p>
    <w:p>
      <w:pPr>
        <w:spacing w:after="80" w:before="0" w:line="276" w:lineRule="auto"/>
        <w:jc w:val="left"/>
      </w:pPr>
      <w:r>
        <w:rPr>
          <w:rFonts w:ascii="Arial" w:hAnsi="Arial" w:cs="Arial" w:eastAsia="Arial"/>
          <w:b/>
          <w:i w:val="0"/>
          <w:sz w:val="22"/>
        </w:rPr>
        <w:t>Key operating facts:</w:t>
      </w:r>
    </w:p>
    <w:p>
      <w:pPr>
        <w:pStyle w:val="ListBullet"/>
        <w:spacing w:after="40" w:line="276" w:lineRule="auto"/>
      </w:pPr>
      <w:r>
        <w:rPr>
          <w:rFonts w:ascii="Arial" w:hAnsi="Arial" w:cs="Arial" w:eastAsia="Arial"/>
          <w:b w:val="0"/>
          <w:i w:val="0"/>
          <w:sz w:val="22"/>
        </w:rPr>
        <w:t>Two segments: Pain Management &amp; Recovery and Digestive Health.</w:t>
      </w:r>
    </w:p>
    <w:p>
      <w:pPr>
        <w:pStyle w:val="ListBullet"/>
        <w:spacing w:after="40" w:line="276" w:lineRule="auto"/>
      </w:pPr>
      <w:r>
        <w:rPr>
          <w:rFonts w:ascii="Arial" w:hAnsi="Arial" w:cs="Arial" w:eastAsia="Arial"/>
          <w:b w:val="0"/>
          <w:i w:val="0"/>
          <w:sz w:val="22"/>
        </w:rPr>
        <w:t>FY2025 revenue $701.2M (+1.9% YoY); Adj. EBITDA $86.8M (-19% YoY on tariff and transformation costs).</w:t>
      </w:r>
    </w:p>
    <w:p>
      <w:pPr>
        <w:pStyle w:val="ListBullet"/>
        <w:spacing w:after="40" w:line="276" w:lineRule="auto"/>
      </w:pPr>
      <w:r>
        <w:rPr>
          <w:rFonts w:ascii="Arial" w:hAnsi="Arial" w:cs="Arial" w:eastAsia="Arial"/>
          <w:b w:val="0"/>
          <w:i w:val="0"/>
          <w:sz w:val="22"/>
        </w:rPr>
        <w:t>Market cap pre-deal: approximately $665M. Post-deal implied equity value: approximately $1,150M.</w:t>
      </w:r>
    </w:p>
    <w:p>
      <w:pPr>
        <w:pStyle w:val="ListBullet"/>
        <w:spacing w:after="40" w:line="276" w:lineRule="auto"/>
      </w:pPr>
      <w:r>
        <w:rPr>
          <w:rFonts w:ascii="Arial" w:hAnsi="Arial" w:cs="Arial" w:eastAsia="Arial"/>
          <w:b w:val="0"/>
          <w:i w:val="0"/>
          <w:sz w:val="22"/>
        </w:rPr>
        <w:t>Deal EV / FY2025 Revenue: ~1.8x (below medtech median ~2.8x).</w:t>
      </w:r>
    </w:p>
    <w:p>
      <w:pPr>
        <w:pStyle w:val="ListBullet"/>
        <w:spacing w:after="40" w:line="276" w:lineRule="auto"/>
      </w:pPr>
      <w:r>
        <w:rPr>
          <w:rFonts w:ascii="Arial" w:hAnsi="Arial" w:cs="Arial" w:eastAsia="Arial"/>
          <w:b w:val="0"/>
          <w:i w:val="0"/>
          <w:sz w:val="22"/>
        </w:rPr>
        <w:t>Deal EV / FY2025 Adj. EBITDA: ~14.7x (mid-range for low-growth medtech with operational re-rating thesis).</w:t>
      </w:r>
    </w:p>
    <w:p>
      <w:pPr>
        <w:pStyle w:val="ListBullet"/>
        <w:spacing w:after="40" w:line="276" w:lineRule="auto"/>
      </w:pPr>
      <w:r>
        <w:rPr>
          <w:rFonts w:ascii="Arial" w:hAnsi="Arial" w:cs="Arial" w:eastAsia="Arial"/>
          <w:b w:val="0"/>
          <w:i w:val="0"/>
          <w:sz w:val="22"/>
        </w:rPr>
        <w:t>AIP portfolio AUM: $17.5B, approximately 64 portfolio companies, industrials-heavy; AVNS is a rare medtech bet.</w:t>
      </w:r>
    </w:p>
    <w:p>
      <w:pPr>
        <w:keepNext/>
        <w:spacing w:before="200" w:after="120" w:line="276" w:lineRule="auto"/>
      </w:pPr>
      <w:r>
        <w:rPr>
          <w:rFonts w:ascii="Arial" w:hAnsi="Arial" w:cs="Arial" w:eastAsia="Arial"/>
          <w:b/>
          <w:i w:val="0"/>
          <w:sz w:val="26"/>
        </w:rPr>
        <w:t>A.3  The Catalyst — A Definitive, Unanimous, All-Cash Deal</w:t>
      </w:r>
    </w:p>
    <w:p>
      <w:pPr>
        <w:spacing w:after="120" w:before="0" w:line="276" w:lineRule="auto"/>
        <w:jc w:val="both"/>
      </w:pPr>
      <w:r>
        <w:rPr>
          <w:rFonts w:ascii="Arial" w:hAnsi="Arial" w:cs="Arial" w:eastAsia="Arial"/>
          <w:b w:val="0"/>
          <w:i w:val="0"/>
          <w:sz w:val="22"/>
        </w:rPr>
        <w:t>The catalyst has already happened. On 13 April 2026 Avanos's board unanimously approved a definitive merger agreement with A-AV Holdco I, Inc. and A-AV MergerSub, Inc., both affiliates of American Industrial Partners. The structure is a reverse triangular merger: MergerSub merges into Avanos, with Avanos surviving as a wholly-owned subsidiary of Holdco. At closing each outstanding share of AVNS common stock (other than customary exclusions) converts into the right to receive $25.00 in cash.</w:t>
      </w:r>
    </w:p>
    <w:p>
      <w:pPr>
        <w:spacing w:after="120" w:before="0" w:line="276" w:lineRule="auto"/>
        <w:jc w:val="both"/>
      </w:pPr>
      <w:r>
        <w:rPr>
          <w:rFonts w:ascii="Arial" w:hAnsi="Arial" w:cs="Arial" w:eastAsia="Arial"/>
          <w:b w:val="0"/>
          <w:i w:val="0"/>
          <w:sz w:val="22"/>
        </w:rPr>
        <w:t>The consideration is fixed, all-cash, and has no contingent value right (CVR) component. There is no collar. There is no AIP equity or rollover offered to public holders. Shareholder approval is required — this is not a written-consent structure — and the proxy filing should follow within four to six weeks. HSR filings are expected imminently. The documented expected close is H2 2026, which is conservative; the standard 30-day HSR period plus a typical SEC proxy comment cycle and a 20-business-day vote window are consistent with a late-Q3 close.</w:t>
      </w:r>
    </w:p>
    <w:p>
      <w:pPr>
        <w:spacing w:after="120" w:before="0" w:line="276" w:lineRule="auto"/>
        <w:jc w:val="both"/>
      </w:pPr>
      <w:r>
        <w:rPr>
          <w:rFonts w:ascii="Arial" w:hAnsi="Arial" w:cs="Arial" w:eastAsia="Arial"/>
          <w:b w:val="0"/>
          <w:i w:val="0"/>
          <w:sz w:val="22"/>
        </w:rPr>
        <w:t>The press release does not disclose a go-shop period. The absence of a go-shop is meaningful: it suggests a direct negotiation rather than a broad auction, and it means any topping bid must satisfy a full fiduciary-out analysis with matching rights — a high bar at a 72% premium.</w:t>
      </w:r>
    </w:p>
    <w:tbl>
      <w:tblPr>
        <w:tblW w:type="auto" w:w="0"/>
        <w:jc w:val="center"/>
        <w:tblLook w:firstColumn="1" w:firstRow="1" w:lastColumn="0" w:lastRow="0" w:noHBand="0" w:noVBand="1" w:val="04A0"/>
      </w:tblPr>
      <w:tblGrid>
        <w:gridCol w:w="10080"/>
      </w:tblGrid>
      <w:tr>
        <w:tc>
          <w:tcPr>
            <w:tcW w:type="dxa" w:w="10080"/>
            <w:tcBorders>
              <w:top w:val="single" w:sz="12" w:space="0" w:color="888888"/>
              <w:left w:val="single" w:sz="12" w:space="0" w:color="888888"/>
              <w:bottom w:val="single" w:sz="12" w:space="0" w:color="888888"/>
              <w:right w:val="single" w:sz="12" w:space="0" w:color="888888"/>
            </w:tcBorders>
            <w:shd w:val="clear" w:color="auto" w:fill="F7F5F0"/>
          </w:tcPr>
          <w:p>
            <w:pPr>
              <w:spacing w:after="80"/>
            </w:pPr>
            <w:r/>
            <w:r>
              <w:rPr>
                <w:rFonts w:ascii="Arial" w:hAnsi="Arial" w:cs="Arial" w:eastAsia="Arial"/>
                <w:b/>
                <w:i w:val="0"/>
                <w:sz w:val="22"/>
              </w:rPr>
              <w:t>Why this deal priced rich</w:t>
            </w:r>
          </w:p>
          <w:p>
            <w:pPr>
              <w:spacing w:line="288" w:lineRule="auto"/>
            </w:pPr>
            <w:r>
              <w:rPr>
                <w:rFonts w:ascii="Arial" w:hAnsi="Arial" w:cs="Arial" w:eastAsia="Arial"/>
                <w:b w:val="0"/>
                <w:i w:val="0"/>
                <w:sz w:val="20"/>
              </w:rPr>
              <w:t>AIP paid 1.8x revenue and 14.7x EBITDA — a full-looking multiple only if one assumes static margins. AIP's underwriting almost certainly assumes 300–500bps of EBITDA-margin improvement over a three-to-five-year hold period via tariff mitigation, operational simplification, and consumables pricing. That implies an exit at 10–12x a higher EBITDA base, supporting a 2.0–2.5x MOIC underwriting. The 72% premium is rational under those operating assumptions; it is not a price for the standalone public-equity run-rate.</w:t>
            </w:r>
          </w:p>
        </w:tc>
      </w:tr>
    </w:tbl>
    <w:p/>
    <w:p>
      <w:pPr>
        <w:keepNext/>
        <w:spacing w:before="200" w:after="120" w:line="276" w:lineRule="auto"/>
      </w:pPr>
      <w:r>
        <w:rPr>
          <w:rFonts w:ascii="Arial" w:hAnsi="Arial" w:cs="Arial" w:eastAsia="Arial"/>
          <w:b/>
          <w:i w:val="0"/>
          <w:sz w:val="26"/>
        </w:rPr>
        <w:t>A.4  The Deal Mechanics — What Can Actually Go Wrong</w:t>
      </w:r>
    </w:p>
    <w:p>
      <w:pPr>
        <w:spacing w:after="120" w:before="0" w:line="276" w:lineRule="auto"/>
        <w:jc w:val="both"/>
      </w:pPr>
      <w:r>
        <w:rPr>
          <w:rFonts w:ascii="Arial" w:hAnsi="Arial" w:cs="Arial" w:eastAsia="Arial"/>
          <w:b w:val="0"/>
          <w:i w:val="0"/>
          <w:sz w:val="22"/>
        </w:rPr>
        <w:t>Merger-arb outcomes depend on mechanics, not narratives. The relevant mechanical risks in AVNS are: (1) HSR outcome, (2) shareholder vote, (3) MAC clause, (4) AIP financing, (5) topping bid, and (6) litigation noise. Each deserves discrete scrutiny.</w:t>
      </w:r>
    </w:p>
    <w:p>
      <w:pPr>
        <w:spacing w:after="120" w:before="0" w:line="276" w:lineRule="auto"/>
        <w:jc w:val="both"/>
      </w:pPr>
      <w:r>
        <w:rPr>
          <w:rFonts w:ascii="Arial" w:hAnsi="Arial" w:cs="Arial" w:eastAsia="Arial"/>
          <w:b w:val="0"/>
          <w:i w:val="0"/>
          <w:sz w:val="22"/>
        </w:rPr>
        <w:t>HSR outcome. The 30-day waiting period begins upon filing of the premerger notification. A second request — which would extend the review by 20 to 40 business days — is statistically rare in cases like this: no product-market overlap, no vertical integration concerns, and a sponsor whose portfolio does not touch the medtech verticals in question. Historical base rates for second requests in similar-sized medtech PE take-privates are in the 5–10% range. Expected HSR clearance: mid-to-late May 2026.</w:t>
      </w:r>
    </w:p>
    <w:p>
      <w:pPr>
        <w:spacing w:after="120" w:before="0" w:line="276" w:lineRule="auto"/>
        <w:jc w:val="both"/>
      </w:pPr>
      <w:r>
        <w:rPr>
          <w:rFonts w:ascii="Arial" w:hAnsi="Arial" w:cs="Arial" w:eastAsia="Arial"/>
          <w:b w:val="0"/>
          <w:i w:val="0"/>
          <w:sz w:val="22"/>
        </w:rPr>
        <w:t>Shareholder vote. A majority of AVNS outstanding shares must approve. The market-weighted institutional holder base (Blackrock, Vanguard, State Street, and the large active value funds) almost always votes with a unanimous board at a 72% premium. The only quantitative risk is an activist-led no vote — but no activist is on the register, and the premium to unaffected is so rich that any activist pressure would be for a higher price, not for rejection. Vote approval probability: ~99%.</w:t>
      </w:r>
    </w:p>
    <w:p>
      <w:pPr>
        <w:spacing w:after="120" w:before="0" w:line="276" w:lineRule="auto"/>
        <w:jc w:val="both"/>
      </w:pPr>
      <w:r>
        <w:rPr>
          <w:rFonts w:ascii="Arial" w:hAnsi="Arial" w:cs="Arial" w:eastAsia="Arial"/>
          <w:b w:val="0"/>
          <w:i w:val="0"/>
          <w:sz w:val="22"/>
        </w:rPr>
        <w:t>Material adverse change. The MAC definition in any reasonably drafted merger agreement excludes industry-wide effects and requires a durational and quantitative impairment that would be genuinely catastrophic to trigger. Without access to the signed Ex-2.1 language, this remains the single undisclosed risk in the file, but the base rate of MAC invocations in US medtech PE take-privates of this era is essentially zero. MAC termination probability: &lt;1%.</w:t>
      </w:r>
    </w:p>
    <w:p>
      <w:pPr>
        <w:spacing w:after="120" w:before="0" w:line="276" w:lineRule="auto"/>
        <w:jc w:val="both"/>
      </w:pPr>
      <w:r>
        <w:rPr>
          <w:rFonts w:ascii="Arial" w:hAnsi="Arial" w:cs="Arial" w:eastAsia="Arial"/>
          <w:b w:val="0"/>
          <w:i w:val="0"/>
          <w:sz w:val="22"/>
        </w:rPr>
        <w:t>AIP financing. No financing condition is flagged in public releases, which is consistent with AIP funding the purchase from committed equity and a debt package delivered with the signing. AIP's conservative historical leverage profile (roughly 55% debt, below the 65–70% peer average) reduces financing-related close risk. Financing-related termination probability: &lt;1%.</w:t>
      </w:r>
    </w:p>
    <w:p>
      <w:pPr>
        <w:spacing w:after="120" w:before="0" w:line="276" w:lineRule="auto"/>
        <w:jc w:val="both"/>
      </w:pPr>
      <w:r>
        <w:rPr>
          <w:rFonts w:ascii="Arial" w:hAnsi="Arial" w:cs="Arial" w:eastAsia="Arial"/>
          <w:b w:val="0"/>
          <w:i w:val="0"/>
          <w:sz w:val="22"/>
        </w:rPr>
        <w:t>Topping bid. At 72% premium, with no go-shop, and with industrials-focused AIP as the first mover, the universe of rational toppers is small. A strategic medtech acquirer would have to stomach a price already above historical medtech take-private multiples. An alternate sponsor would have to out-commit AIP on both price and certainty. Topping bid probability: 2–4%. If one emerges it is likely in the $26.50–$28.00 range.</w:t>
      </w:r>
    </w:p>
    <w:p>
      <w:pPr>
        <w:spacing w:after="120" w:before="0" w:line="276" w:lineRule="auto"/>
        <w:jc w:val="both"/>
      </w:pPr>
      <w:r>
        <w:rPr>
          <w:rFonts w:ascii="Arial" w:hAnsi="Arial" w:cs="Arial" w:eastAsia="Arial"/>
          <w:b w:val="0"/>
          <w:i w:val="0"/>
          <w:sz w:val="22"/>
        </w:rPr>
        <w:t>Litigation noise. Shareholder strike suits are effectively inevitable for a US public-target merger at this size — Halper Sadeh, Monteverde, Brodsky Smith, and peers file virtually every deal. These suits almost never derail a deal and almost always settle with a small supplementary disclosure and a mootness fee. They do sometimes cause transient spread widening of 20–50bps on the headlines; those are opportunities to add, not exit.</w:t>
      </w:r>
    </w:p>
    <w:tbl>
      <w:tblPr>
        <w:tblW w:type="auto" w:w="0"/>
        <w:jc w:val="center"/>
        <w:tblLook w:firstColumn="1" w:firstRow="1" w:lastColumn="0" w:lastRow="0" w:noHBand="0" w:noVBand="1" w:val="04A0"/>
      </w:tblPr>
      <w:tblGrid>
        <w:gridCol w:w="10080"/>
      </w:tblGrid>
      <w:tr>
        <w:tc>
          <w:tcPr>
            <w:tcW w:type="dxa" w:w="10080"/>
            <w:tcBorders>
              <w:top w:val="single" w:sz="12" w:space="0" w:color="888888"/>
              <w:left w:val="single" w:sz="12" w:space="0" w:color="888888"/>
              <w:bottom w:val="single" w:sz="12" w:space="0" w:color="888888"/>
              <w:right w:val="single" w:sz="12" w:space="0" w:color="888888"/>
            </w:tcBorders>
            <w:shd w:val="clear" w:color="auto" w:fill="F7F5F0"/>
          </w:tcPr>
          <w:p>
            <w:pPr>
              <w:spacing w:after="80"/>
            </w:pPr>
            <w:r/>
            <w:r>
              <w:rPr>
                <w:rFonts w:ascii="Arial" w:hAnsi="Arial" w:cs="Arial" w:eastAsia="Arial"/>
                <w:b/>
                <w:i w:val="0"/>
                <w:sz w:val="22"/>
              </w:rPr>
              <w:t>The one real unknown — MAC language</w:t>
            </w:r>
          </w:p>
          <w:p>
            <w:pPr>
              <w:spacing w:line="288" w:lineRule="auto"/>
            </w:pPr>
            <w:r>
              <w:rPr>
                <w:rFonts w:ascii="Arial" w:hAnsi="Arial" w:cs="Arial" w:eastAsia="Arial"/>
                <w:b w:val="0"/>
                <w:i w:val="0"/>
                <w:sz w:val="20"/>
              </w:rPr>
              <w:t>Without access to Ex-2.1 of the signed merger agreement, the specific MAC carve-outs and thresholds are not documented here. An investor sizing the position above 1% of gross should review the merger agreement carve-outs on tariff effects, industry-wide regulatory changes, and any buyer-specific outs. If the MAC language is unusually broad — or if it includes a discretionary buyer out for any post-signing revenue shortfall — that materially increases the pricing of the bear case. Base case assumes standard market language.</w:t>
            </w:r>
          </w:p>
        </w:tc>
      </w:tr>
    </w:tbl>
    <w:p/>
    <w:p>
      <w:pPr>
        <w:keepNext/>
        <w:spacing w:before="200" w:after="120" w:line="276" w:lineRule="auto"/>
      </w:pPr>
      <w:r>
        <w:rPr>
          <w:rFonts w:ascii="Arial" w:hAnsi="Arial" w:cs="Arial" w:eastAsia="Arial"/>
          <w:b/>
          <w:i w:val="0"/>
          <w:sz w:val="26"/>
        </w:rPr>
        <w:t>A.5  The Commercial / Standalone Case — Largely Irrelevant</w:t>
      </w:r>
    </w:p>
    <w:p>
      <w:pPr>
        <w:spacing w:after="120" w:before="0" w:line="276" w:lineRule="auto"/>
        <w:jc w:val="both"/>
      </w:pPr>
      <w:r>
        <w:rPr>
          <w:rFonts w:ascii="Arial" w:hAnsi="Arial" w:cs="Arial" w:eastAsia="Arial"/>
          <w:b w:val="0"/>
          <w:i w:val="0"/>
          <w:sz w:val="22"/>
        </w:rPr>
        <w:t>In a standard investment thesis this section walks through addressable market, competitive positioning, and operational leverage. For AVNS, that analysis is now subordinate to the deal mechanics. AIP owns the forward cash flows. Public investors are not betting on a margin-expansion story any more; they are betting on a 30-to-60-day deal-closing process.</w:t>
      </w:r>
    </w:p>
    <w:p>
      <w:pPr>
        <w:spacing w:after="120" w:before="0" w:line="276" w:lineRule="auto"/>
        <w:jc w:val="both"/>
      </w:pPr>
      <w:r>
        <w:rPr>
          <w:rFonts w:ascii="Arial" w:hAnsi="Arial" w:cs="Arial" w:eastAsia="Arial"/>
          <w:b w:val="0"/>
          <w:i w:val="0"/>
          <w:sz w:val="22"/>
        </w:rPr>
        <w:t>For context only: the standalone case was mediocre. Revenue growth of 2% on a soft medtech capex environment, EBITDA compression from tariffs, and the reality that the company had been quietly shopping itself for some time (the 72% premium and unanimous board endorsement are consistent with a process rather than an opportunistic raid). The fair standalone value was probably in the $15–18 range; AIP is paying $25 because it has private-market operational levers that the public market does not.</w:t>
      </w:r>
    </w:p>
    <w:p>
      <w:pPr>
        <w:spacing w:after="120" w:before="0" w:line="276" w:lineRule="auto"/>
        <w:jc w:val="both"/>
      </w:pPr>
      <w:r>
        <w:rPr>
          <w:rFonts w:ascii="Arial" w:hAnsi="Arial" w:cs="Arial" w:eastAsia="Arial"/>
          <w:b w:val="0"/>
          <w:i w:val="0"/>
          <w:sz w:val="22"/>
        </w:rPr>
        <w:t>The implication for an arb investor: there is no meaningful "support level" anywhere between the unaffected $14.53 and the deal price if the transaction breaks. The deep-in-the-money optionality comes from AIP's bid, not from fundamentals. This is what makes deal-break scenarios so punitive in risk/reward terms.</w:t>
      </w:r>
    </w:p>
    <w:p>
      <w:pPr>
        <w:keepNext/>
        <w:spacing w:before="200" w:after="120" w:line="276" w:lineRule="auto"/>
      </w:pPr>
      <w:r>
        <w:rPr>
          <w:rFonts w:ascii="Arial" w:hAnsi="Arial" w:cs="Arial" w:eastAsia="Arial"/>
          <w:b/>
          <w:i w:val="0"/>
          <w:sz w:val="26"/>
        </w:rPr>
        <w:t>A.6  The Quantitative Frame — 7-Dimension Score</w:t>
      </w:r>
    </w:p>
    <w:tbl>
      <w:tblPr>
        <w:tblW w:type="auto" w:w="0"/>
        <w:jc w:val="center"/>
        <w:tblLayout w:type="fixed"/>
        <w:tblLook w:firstColumn="1" w:firstRow="1" w:lastColumn="0" w:lastRow="0" w:noHBand="0" w:noVBand="1" w:val="04A0"/>
      </w:tblPr>
      <w:tblGrid>
        <w:gridCol w:w="3360"/>
        <w:gridCol w:w="3360"/>
        <w:gridCol w:w="3360"/>
      </w:tblGrid>
      <w:tr>
        <w:tc>
          <w:tcPr>
            <w:tcW w:type="dxa" w:w="2736"/>
            <w:shd w:val="clear" w:color="auto" w:fill="DCDCDC"/>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i w:val="0"/>
                <w:sz w:val="20"/>
              </w:rPr>
              <w:t>Dimension</w:t>
            </w:r>
          </w:p>
        </w:tc>
        <w:tc>
          <w:tcPr>
            <w:tcW w:type="dxa" w:w="1584"/>
            <w:shd w:val="clear" w:color="auto" w:fill="DCDCDC"/>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i w:val="0"/>
                <w:sz w:val="20"/>
              </w:rPr>
              <w:t>Score</w:t>
            </w:r>
          </w:p>
        </w:tc>
        <w:tc>
          <w:tcPr>
            <w:tcW w:type="dxa" w:w="5616"/>
            <w:shd w:val="clear" w:color="auto" w:fill="DCDCDC"/>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i w:val="0"/>
                <w:sz w:val="20"/>
              </w:rPr>
              <w:t>Rationale</w:t>
            </w:r>
          </w:p>
        </w:tc>
      </w:tr>
      <w:tr>
        <w:tc>
          <w:tcPr>
            <w:tcW w:type="dxa" w:w="273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Signal Strength (×2)</w:t>
            </w:r>
          </w:p>
        </w:tc>
        <w:tc>
          <w:tcPr>
            <w:tcW w:type="dxa" w:w="1584"/>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5.0 → 10.00</w:t>
            </w:r>
          </w:p>
        </w:tc>
        <w:tc>
          <w:tcPr>
            <w:tcW w:type="dxa" w:w="56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Signal is the event itself — a fully signed, publicly filed, unanimous-board definitive agreement</w:t>
            </w:r>
          </w:p>
        </w:tc>
      </w:tr>
      <w:tr>
        <w:tc>
          <w:tcPr>
            <w:tcW w:type="dxa" w:w="273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Catalyst Clarity (×1)</w:t>
            </w:r>
          </w:p>
        </w:tc>
        <w:tc>
          <w:tcPr>
            <w:tcW w:type="dxa" w:w="1584"/>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5.0 → 5.00</w:t>
            </w:r>
          </w:p>
        </w:tc>
        <w:tc>
          <w:tcPr>
            <w:tcW w:type="dxa" w:w="56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Clearly scoped mechanism and timeline (vote + HSR + close); no conditional contingencies</w:t>
            </w:r>
          </w:p>
        </w:tc>
      </w:tr>
      <w:tr>
        <w:tc>
          <w:tcPr>
            <w:tcW w:type="dxa" w:w="273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Info Asymmetry (×1.5)</w:t>
            </w:r>
          </w:p>
        </w:tc>
        <w:tc>
          <w:tcPr>
            <w:tcW w:type="dxa" w:w="1584"/>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1.0 → 1.50</w:t>
            </w:r>
          </w:p>
        </w:tc>
        <w:tc>
          <w:tcPr>
            <w:tcW w:type="dxa" w:w="56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Headline announcement, fully priced; no durable informational edge available to public investors</w:t>
            </w:r>
          </w:p>
        </w:tc>
      </w:tr>
      <w:tr>
        <w:tc>
          <w:tcPr>
            <w:tcW w:type="dxa" w:w="273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Risk / Reward (×1)</w:t>
            </w:r>
          </w:p>
        </w:tc>
        <w:tc>
          <w:tcPr>
            <w:tcW w:type="dxa" w:w="1584"/>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2.0 → 2.00</w:t>
            </w:r>
          </w:p>
        </w:tc>
        <w:tc>
          <w:tcPr>
            <w:tcW w:type="dxa" w:w="56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1.3% gross upside vs approximately 40% downside on break — asymmetric but probability-adjusted positive</w:t>
            </w:r>
          </w:p>
        </w:tc>
      </w:tr>
      <w:tr>
        <w:tc>
          <w:tcPr>
            <w:tcW w:type="dxa" w:w="273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Edge Decay (×1)</w:t>
            </w:r>
          </w:p>
        </w:tc>
        <w:tc>
          <w:tcPr>
            <w:tcW w:type="dxa" w:w="1584"/>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1.0 → 1.00</w:t>
            </w:r>
          </w:p>
        </w:tc>
        <w:tc>
          <w:tcPr>
            <w:tcW w:type="dxa" w:w="56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Already diffused; spread compresses mechanically through proxy and vote windows</w:t>
            </w:r>
          </w:p>
        </w:tc>
      </w:tr>
      <w:tr>
        <w:tc>
          <w:tcPr>
            <w:tcW w:type="dxa" w:w="273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Liquidity (×1)</w:t>
            </w:r>
          </w:p>
        </w:tc>
        <w:tc>
          <w:tcPr>
            <w:tcW w:type="dxa" w:w="1584"/>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5.0 → 5.00</w:t>
            </w:r>
          </w:p>
        </w:tc>
        <w:tc>
          <w:tcPr>
            <w:tcW w:type="dxa" w:w="56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19M+ share day on announcement; post-announcement ADV remains elevated</w:t>
            </w:r>
          </w:p>
        </w:tc>
      </w:tr>
      <w:tr>
        <w:tc>
          <w:tcPr>
            <w:tcW w:type="dxa" w:w="273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Catalyst Timeline (×1)</w:t>
            </w:r>
          </w:p>
        </w:tc>
        <w:tc>
          <w:tcPr>
            <w:tcW w:type="dxa" w:w="1584"/>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4.0 → 4.00</w:t>
            </w:r>
          </w:p>
        </w:tc>
        <w:tc>
          <w:tcPr>
            <w:tcW w:type="dxa" w:w="56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H2 2026 close is 3–6 months, near the sweet spot for PE take-private merger arbitrage</w:t>
            </w:r>
          </w:p>
        </w:tc>
      </w:tr>
      <w:tr>
        <w:tc>
          <w:tcPr>
            <w:tcW w:type="dxa" w:w="273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WEIGHTED TOTAL</w:t>
            </w:r>
          </w:p>
        </w:tc>
        <w:tc>
          <w:tcPr>
            <w:tcW w:type="dxa" w:w="1584"/>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28.5 / 42.5</w:t>
            </w:r>
          </w:p>
        </w:tc>
        <w:tc>
          <w:tcPr>
            <w:tcW w:type="dxa" w:w="56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Marginal active candidate (threshold 28). Validates scanner but does not generate alpha edge.</w:t>
            </w:r>
          </w:p>
        </w:tc>
      </w:tr>
    </w:tbl>
    <w:p/>
    <w:p>
      <w:pPr>
        <w:spacing w:after="120" w:before="0" w:line="276" w:lineRule="auto"/>
        <w:jc w:val="both"/>
      </w:pPr>
      <w:r>
        <w:rPr>
          <w:rFonts w:ascii="Arial" w:hAnsi="Arial" w:cs="Arial" w:eastAsia="Arial"/>
          <w:b w:val="0"/>
          <w:i w:val="0"/>
          <w:sz w:val="22"/>
        </w:rPr>
        <w:t>Web research does not move any dimension materially. The post-announcement narrative is consistent: clean PE take-private, no flagged antitrust concerns, no visible litigation as of mid-day 14 April, and no topping-bid chatter. The dimensions that score low (Info Asymmetry, Edge Decay) score low for the correct reason — this is a public event trading at fair value for its risk profile. The 28.5 composite score reflects that: above the 28.0 active-candidate threshold, but below the 30.0 high-conviction line, and well below the levels where we would recommend meaningful sizing.</w:t>
      </w:r>
    </w:p>
    <w:p>
      <w:pPr>
        <w:keepNext/>
        <w:spacing w:before="200" w:after="120" w:line="276" w:lineRule="auto"/>
      </w:pPr>
      <w:r>
        <w:rPr>
          <w:rFonts w:ascii="Arial" w:hAnsi="Arial" w:cs="Arial" w:eastAsia="Arial"/>
          <w:b/>
          <w:i w:val="0"/>
          <w:sz w:val="26"/>
        </w:rPr>
        <w:t>A.7  Market Interpretation vs. Mine</w:t>
      </w:r>
    </w:p>
    <w:tbl>
      <w:tblPr>
        <w:tblW w:type="auto" w:w="0"/>
        <w:jc w:val="center"/>
        <w:tblLayout w:type="fixed"/>
        <w:tblLook w:firstColumn="1" w:firstRow="1" w:lastColumn="0" w:lastRow="0" w:noHBand="0" w:noVBand="1" w:val="04A0"/>
      </w:tblPr>
      <w:tblGrid>
        <w:gridCol w:w="3360"/>
        <w:gridCol w:w="3360"/>
        <w:gridCol w:w="3360"/>
      </w:tblGrid>
      <w:tr>
        <w:tc>
          <w:tcPr>
            <w:tcW w:type="dxa" w:w="3024"/>
            <w:shd w:val="clear" w:color="auto" w:fill="DCDCDC"/>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i w:val="0"/>
                <w:sz w:val="20"/>
              </w:rPr>
              <w:t>Question</w:t>
            </w:r>
          </w:p>
        </w:tc>
        <w:tc>
          <w:tcPr>
            <w:tcW w:type="dxa" w:w="3312"/>
            <w:shd w:val="clear" w:color="auto" w:fill="DCDCDC"/>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i w:val="0"/>
                <w:sz w:val="20"/>
              </w:rPr>
              <w:t>Market's Interpretation</w:t>
            </w:r>
          </w:p>
        </w:tc>
        <w:tc>
          <w:tcPr>
            <w:tcW w:type="dxa" w:w="3600"/>
            <w:shd w:val="clear" w:color="auto" w:fill="DCDCDC"/>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i w:val="0"/>
                <w:sz w:val="20"/>
              </w:rPr>
              <w:t>This Thesis</w:t>
            </w:r>
          </w:p>
        </w:tc>
      </w:tr>
      <w:tr>
        <w:tc>
          <w:tcPr>
            <w:tcW w:type="dxa" w:w="3024"/>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Is the deal going to close?</w:t>
            </w:r>
          </w:p>
        </w:tc>
        <w:tc>
          <w:tcPr>
            <w:tcW w:type="dxa" w:w="331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Yes, ~97% implied by the 1.3% spread</w:t>
            </w:r>
          </w:p>
        </w:tc>
        <w:tc>
          <w:tcPr>
            <w:tcW w:type="dxa" w:w="360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Yes, ~95–96% — slightly lower than pure implied because MAC language is undocumented to us</w:t>
            </w:r>
          </w:p>
        </w:tc>
      </w:tr>
      <w:tr>
        <w:tc>
          <w:tcPr>
            <w:tcW w:type="dxa" w:w="3024"/>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Could a higher bid emerge?</w:t>
            </w:r>
          </w:p>
        </w:tc>
        <w:tc>
          <w:tcPr>
            <w:tcW w:type="dxa" w:w="331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No — spread behaviour says effectively nil</w:t>
            </w:r>
          </w:p>
        </w:tc>
        <w:tc>
          <w:tcPr>
            <w:tcW w:type="dxa" w:w="360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2–4% probability of a $26.50–$28.00 topping bid; higher than the market implies but still low</w:t>
            </w:r>
          </w:p>
        </w:tc>
      </w:tr>
      <w:tr>
        <w:tc>
          <w:tcPr>
            <w:tcW w:type="dxa" w:w="3024"/>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Is antitrust a real risk?</w:t>
            </w:r>
          </w:p>
        </w:tc>
        <w:tc>
          <w:tcPr>
            <w:tcW w:type="dxa" w:w="331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No — tight spread implies clean clearance</w:t>
            </w:r>
          </w:p>
        </w:tc>
        <w:tc>
          <w:tcPr>
            <w:tcW w:type="dxa" w:w="360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Agree — no product overlap, no AIP medtech footprint, HSR is a formality</w:t>
            </w:r>
          </w:p>
        </w:tc>
      </w:tr>
      <w:tr>
        <w:tc>
          <w:tcPr>
            <w:tcW w:type="dxa" w:w="3024"/>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Why did AIP pay 72% over unaffected?</w:t>
            </w:r>
          </w:p>
        </w:tc>
        <w:tc>
          <w:tcPr>
            <w:tcW w:type="dxa" w:w="331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Not much commentary; "strategic premium"</w:t>
            </w:r>
          </w:p>
        </w:tc>
        <w:tc>
          <w:tcPr>
            <w:tcW w:type="dxa" w:w="360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AIP's underwriting prices margin expansion, not current earnings — a 3–5y operational thesis</w:t>
            </w:r>
          </w:p>
        </w:tc>
      </w:tr>
      <w:tr>
        <w:tc>
          <w:tcPr>
            <w:tcW w:type="dxa" w:w="3024"/>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What happens if the deal breaks?</w:t>
            </w:r>
          </w:p>
        </w:tc>
        <w:tc>
          <w:tcPr>
            <w:tcW w:type="dxa" w:w="331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Little market discussion; breaks are rare</w:t>
            </w:r>
          </w:p>
        </w:tc>
        <w:tc>
          <w:tcPr>
            <w:tcW w:type="dxa" w:w="360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Stock reverts to $14–16 range; bear-case drawdown is 35–43% and must be priced</w:t>
            </w:r>
          </w:p>
        </w:tc>
      </w:tr>
      <w:tr>
        <w:tc>
          <w:tcPr>
            <w:tcW w:type="dxa" w:w="3024"/>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Is the arb worth running?</w:t>
            </w:r>
          </w:p>
        </w:tc>
        <w:tc>
          <w:tcPr>
            <w:tcW w:type="dxa" w:w="331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Implicitly yes at 1.3%</w:t>
            </w:r>
          </w:p>
        </w:tc>
        <w:tc>
          <w:tcPr>
            <w:tcW w:type="dxa" w:w="360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Only if financed below 3% annualised and sized modestly; unlevered investors should pass</w:t>
            </w:r>
          </w:p>
        </w:tc>
      </w:tr>
      <w:tr>
        <w:tc>
          <w:tcPr>
            <w:tcW w:type="dxa" w:w="3024"/>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Is this a scanner validation event?</w:t>
            </w:r>
          </w:p>
        </w:tc>
        <w:tc>
          <w:tcPr>
            <w:tcW w:type="dxa" w:w="331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Not discussed</w:t>
            </w:r>
          </w:p>
        </w:tc>
        <w:tc>
          <w:tcPr>
            <w:tcW w:type="dxa" w:w="360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Yes — EDGAR MNA scanner captured a $1.3B definitive deal on day zero; high-value process confirmation</w:t>
            </w:r>
          </w:p>
        </w:tc>
      </w:tr>
    </w:tbl>
    <w:p/>
    <w:p>
      <w:pPr>
        <w:spacing w:after="120" w:before="0" w:line="276" w:lineRule="auto"/>
        <w:jc w:val="both"/>
      </w:pPr>
      <w:r>
        <w:rPr>
          <w:rFonts w:ascii="Arial" w:hAnsi="Arial" w:cs="Arial" w:eastAsia="Arial"/>
          <w:b w:val="0"/>
          <w:i w:val="0"/>
          <w:sz w:val="22"/>
        </w:rPr>
        <w:t>The narrative arbitrage, to the extent it exists, is not on the deal-completion probability itself (the market has that about right) but on the proper valuation of the tail. The bear case is worth approximately $10 per share of downside against $0.32 of gross upside. At 2–3% break probability that is still positive expected value — but the return profile is the inverse of what most asymmetric investors want. We prefer large, low-probability upside; this trade offers small, high-probability upside with low-probability but very punitive downside. That asymmetry argues for capping position size and being patient on widening spreads rather than reaching for size into tight spreads.</w:t>
      </w:r>
    </w:p>
    <w:p>
      <w:pPr>
        <w:keepNext/>
        <w:spacing w:before="200" w:after="120" w:line="276" w:lineRule="auto"/>
      </w:pPr>
      <w:r>
        <w:rPr>
          <w:rFonts w:ascii="Arial" w:hAnsi="Arial" w:cs="Arial" w:eastAsia="Arial"/>
          <w:b/>
          <w:i w:val="0"/>
          <w:sz w:val="26"/>
        </w:rPr>
        <w:t>A.8  Risks — What Would Break the Thesis</w:t>
      </w:r>
    </w:p>
    <w:tbl>
      <w:tblPr>
        <w:tblW w:type="auto" w:w="0"/>
        <w:jc w:val="center"/>
        <w:tblLook w:firstColumn="1" w:firstRow="1" w:lastColumn="0" w:lastRow="0" w:noHBand="0" w:noVBand="1" w:val="04A0"/>
      </w:tblPr>
      <w:tblGrid>
        <w:gridCol w:w="10080"/>
      </w:tblGrid>
      <w:tr>
        <w:tc>
          <w:tcPr>
            <w:tcW w:type="dxa" w:w="10080"/>
            <w:tcBorders>
              <w:top w:val="single" w:sz="12" w:space="0" w:color="888888"/>
              <w:left w:val="single" w:sz="12" w:space="0" w:color="888888"/>
              <w:bottom w:val="single" w:sz="12" w:space="0" w:color="888888"/>
              <w:right w:val="single" w:sz="12" w:space="0" w:color="888888"/>
            </w:tcBorders>
            <w:shd w:val="clear" w:color="auto" w:fill="F7F5F0"/>
          </w:tcPr>
          <w:p>
            <w:pPr>
              <w:spacing w:after="80"/>
            </w:pPr>
            <w:r/>
            <w:r>
              <w:rPr>
                <w:rFonts w:ascii="Arial" w:hAnsi="Arial" w:cs="Arial" w:eastAsia="Arial"/>
                <w:b/>
                <w:i w:val="0"/>
                <w:sz w:val="22"/>
              </w:rPr>
              <w:t>Kill condition 1 — Deal termination via MAC or mutual walk</w:t>
            </w:r>
          </w:p>
          <w:p>
            <w:pPr>
              <w:spacing w:line="288" w:lineRule="auto"/>
            </w:pPr>
            <w:r>
              <w:rPr>
                <w:rFonts w:ascii="Arial" w:hAnsi="Arial" w:cs="Arial" w:eastAsia="Arial"/>
                <w:b w:val="0"/>
                <w:i w:val="0"/>
                <w:sz w:val="20"/>
              </w:rPr>
              <w:t>Any Avanos 8-K disclosing a termination of the merger agreement, a buyer-invoked MAC, or a mutual termination for convenience would cause the stock to collapse toward the unaffected $14.53 reference, with likely trading below that level on flows and stop-losses. Exit action: close the position immediately on any 8-K filed under Item 1.02 (termination of a material definitive agreement) unless and until the subsequent news flow clarifies a redrawn deal.</w:t>
            </w:r>
          </w:p>
        </w:tc>
      </w:tr>
    </w:tbl>
    <w:p/>
    <w:tbl>
      <w:tblPr>
        <w:tblW w:type="auto" w:w="0"/>
        <w:jc w:val="center"/>
        <w:tblLook w:firstColumn="1" w:firstRow="1" w:lastColumn="0" w:lastRow="0" w:noHBand="0" w:noVBand="1" w:val="04A0"/>
      </w:tblPr>
      <w:tblGrid>
        <w:gridCol w:w="10080"/>
      </w:tblGrid>
      <w:tr>
        <w:tc>
          <w:tcPr>
            <w:tcW w:type="dxa" w:w="10080"/>
            <w:tcBorders>
              <w:top w:val="single" w:sz="12" w:space="0" w:color="888888"/>
              <w:left w:val="single" w:sz="12" w:space="0" w:color="888888"/>
              <w:bottom w:val="single" w:sz="12" w:space="0" w:color="888888"/>
              <w:right w:val="single" w:sz="12" w:space="0" w:color="888888"/>
            </w:tcBorders>
            <w:shd w:val="clear" w:color="auto" w:fill="F7F5F0"/>
          </w:tcPr>
          <w:p>
            <w:pPr>
              <w:spacing w:after="80"/>
            </w:pPr>
            <w:r/>
            <w:r>
              <w:rPr>
                <w:rFonts w:ascii="Arial" w:hAnsi="Arial" w:cs="Arial" w:eastAsia="Arial"/>
                <w:b/>
                <w:i w:val="0"/>
                <w:sz w:val="22"/>
              </w:rPr>
              <w:t>Kill condition 2 — HSR second request or substantive antitrust concern</w:t>
            </w:r>
          </w:p>
          <w:p>
            <w:pPr>
              <w:spacing w:line="288" w:lineRule="auto"/>
            </w:pPr>
            <w:r>
              <w:rPr>
                <w:rFonts w:ascii="Arial" w:hAnsi="Arial" w:cs="Arial" w:eastAsia="Arial"/>
                <w:b w:val="0"/>
                <w:i w:val="0"/>
                <w:sz w:val="20"/>
              </w:rPr>
              <w:t>A second request would extend the review materially (20–40 business days minimum), reducing the annualised return even if the deal ultimately closes. More importantly, it would signal that the agencies see something in the file that is not apparent from the public disclosures. Monitor the HSR filing confirmation (typically disclosed within days) and the expiry of the 30-day waiting period. Any second request is a material negative and would widen spreads to 2.0–3.5%.</w:t>
            </w:r>
          </w:p>
        </w:tc>
      </w:tr>
    </w:tbl>
    <w:p/>
    <w:tbl>
      <w:tblPr>
        <w:tblW w:type="auto" w:w="0"/>
        <w:jc w:val="center"/>
        <w:tblLook w:firstColumn="1" w:firstRow="1" w:lastColumn="0" w:lastRow="0" w:noHBand="0" w:noVBand="1" w:val="04A0"/>
      </w:tblPr>
      <w:tblGrid>
        <w:gridCol w:w="10080"/>
      </w:tblGrid>
      <w:tr>
        <w:tc>
          <w:tcPr>
            <w:tcW w:type="dxa" w:w="10080"/>
            <w:tcBorders>
              <w:top w:val="single" w:sz="12" w:space="0" w:color="888888"/>
              <w:left w:val="single" w:sz="12" w:space="0" w:color="888888"/>
              <w:bottom w:val="single" w:sz="12" w:space="0" w:color="888888"/>
              <w:right w:val="single" w:sz="12" w:space="0" w:color="888888"/>
            </w:tcBorders>
            <w:shd w:val="clear" w:color="auto" w:fill="F7F5F0"/>
          </w:tcPr>
          <w:p>
            <w:pPr>
              <w:spacing w:after="80"/>
            </w:pPr>
            <w:r/>
            <w:r>
              <w:rPr>
                <w:rFonts w:ascii="Arial" w:hAnsi="Arial" w:cs="Arial" w:eastAsia="Arial"/>
                <w:b/>
                <w:i w:val="0"/>
                <w:sz w:val="22"/>
              </w:rPr>
              <w:t>Kill condition 3 — Shareholder vote surprise</w:t>
            </w:r>
          </w:p>
          <w:p>
            <w:pPr>
              <w:spacing w:line="288" w:lineRule="auto"/>
            </w:pPr>
            <w:r>
              <w:rPr>
                <w:rFonts w:ascii="Arial" w:hAnsi="Arial" w:cs="Arial" w:eastAsia="Arial"/>
                <w:b w:val="0"/>
                <w:i w:val="0"/>
                <w:sz w:val="20"/>
              </w:rPr>
              <w:t>Proxy advisor recommendations (ISS, Glass Lewis) are due a few weeks before the vote. A recommendation against the transaction — most likely on process grounds if it appears — would raise vote risk and widen spreads 50–100bps. A failed vote is extremely unlikely at this premium but would drop the stock back to $14–16.</w:t>
            </w:r>
          </w:p>
        </w:tc>
      </w:tr>
    </w:tbl>
    <w:p/>
    <w:tbl>
      <w:tblPr>
        <w:tblW w:type="auto" w:w="0"/>
        <w:jc w:val="center"/>
        <w:tblLook w:firstColumn="1" w:firstRow="1" w:lastColumn="0" w:lastRow="0" w:noHBand="0" w:noVBand="1" w:val="04A0"/>
      </w:tblPr>
      <w:tblGrid>
        <w:gridCol w:w="10080"/>
      </w:tblGrid>
      <w:tr>
        <w:tc>
          <w:tcPr>
            <w:tcW w:type="dxa" w:w="10080"/>
            <w:tcBorders>
              <w:top w:val="single" w:sz="12" w:space="0" w:color="888888"/>
              <w:left w:val="single" w:sz="12" w:space="0" w:color="888888"/>
              <w:bottom w:val="single" w:sz="12" w:space="0" w:color="888888"/>
              <w:right w:val="single" w:sz="12" w:space="0" w:color="888888"/>
            </w:tcBorders>
            <w:shd w:val="clear" w:color="auto" w:fill="F7F5F0"/>
          </w:tcPr>
          <w:p>
            <w:pPr>
              <w:spacing w:after="80"/>
            </w:pPr>
            <w:r/>
            <w:r>
              <w:rPr>
                <w:rFonts w:ascii="Arial" w:hAnsi="Arial" w:cs="Arial" w:eastAsia="Arial"/>
                <w:b/>
                <w:i w:val="0"/>
                <w:sz w:val="22"/>
              </w:rPr>
              <w:t>Kill condition 4 — Topping bid with uncertain consideration</w:t>
            </w:r>
          </w:p>
          <w:p>
            <w:pPr>
              <w:spacing w:line="288" w:lineRule="auto"/>
            </w:pPr>
            <w:r>
              <w:rPr>
                <w:rFonts w:ascii="Arial" w:hAnsi="Arial" w:cs="Arial" w:eastAsia="Arial"/>
                <w:b w:val="0"/>
                <w:i w:val="0"/>
                <w:sz w:val="20"/>
              </w:rPr>
              <w:t>A topping bid would be positive in headline terms but inserts uncertainty around the new counterparty, price, and timeline. Stock spikes 5–12% on the news; spreads widen to the new deal price. Re-evaluate conviction at that point — a topping bid at $27 with higher execution risk may not be better risk-adjusted than the $25 AIP deal.</w:t>
            </w:r>
          </w:p>
        </w:tc>
      </w:tr>
    </w:tbl>
    <w:p/>
    <w:p>
      <w:pPr>
        <w:spacing w:after="80" w:before="0" w:line="276" w:lineRule="auto"/>
        <w:jc w:val="left"/>
      </w:pPr>
      <w:r>
        <w:rPr>
          <w:rFonts w:ascii="Arial" w:hAnsi="Arial" w:cs="Arial" w:eastAsia="Arial"/>
          <w:b/>
          <w:i w:val="0"/>
          <w:sz w:val="22"/>
        </w:rPr>
        <w:t>What would change my mind:</w:t>
      </w:r>
    </w:p>
    <w:p>
      <w:pPr>
        <w:pStyle w:val="ListBullet"/>
        <w:spacing w:after="40" w:line="276" w:lineRule="auto"/>
      </w:pPr>
      <w:r>
        <w:rPr>
          <w:rFonts w:ascii="Arial" w:hAnsi="Arial" w:cs="Arial" w:eastAsia="Arial"/>
          <w:b w:val="0"/>
          <w:i w:val="0"/>
          <w:sz w:val="22"/>
        </w:rPr>
        <w:t>HSR second request documented in filings or press — would re-rate break probability higher and force the trade back to a wider spread.</w:t>
      </w:r>
    </w:p>
    <w:p>
      <w:pPr>
        <w:pStyle w:val="ListBullet"/>
        <w:spacing w:after="40" w:line="276" w:lineRule="auto"/>
      </w:pPr>
      <w:r>
        <w:rPr>
          <w:rFonts w:ascii="Arial" w:hAnsi="Arial" w:cs="Arial" w:eastAsia="Arial"/>
          <w:b w:val="0"/>
          <w:i w:val="0"/>
          <w:sz w:val="22"/>
        </w:rPr>
        <w:t>A material AIP-side financing headline (debt markets seizing up around the committed package) — no evidence of such, but worth monitoring.</w:t>
      </w:r>
    </w:p>
    <w:p>
      <w:pPr>
        <w:pStyle w:val="ListBullet"/>
        <w:spacing w:after="40" w:line="276" w:lineRule="auto"/>
      </w:pPr>
      <w:r>
        <w:rPr>
          <w:rFonts w:ascii="Arial" w:hAnsi="Arial" w:cs="Arial" w:eastAsia="Arial"/>
          <w:b w:val="0"/>
          <w:i w:val="0"/>
          <w:sz w:val="22"/>
        </w:rPr>
        <w:t>Any disclosure that the MAC clause contains a discretionary or low-threshold buyer-out for post-signing revenue declines — materially raises tail risk.</w:t>
      </w:r>
    </w:p>
    <w:p>
      <w:pPr>
        <w:pStyle w:val="ListBullet"/>
        <w:spacing w:after="40" w:line="276" w:lineRule="auto"/>
      </w:pPr>
      <w:r>
        <w:rPr>
          <w:rFonts w:ascii="Arial" w:hAnsi="Arial" w:cs="Arial" w:eastAsia="Arial"/>
          <w:b w:val="0"/>
          <w:i w:val="0"/>
          <w:sz w:val="22"/>
        </w:rPr>
        <w:t>A strategic medtech entrant publicly expressing interest — would force a re-think on topping-bid probability and consideration type.</w:t>
      </w:r>
    </w:p>
    <w:p>
      <w:pPr>
        <w:pStyle w:val="ListBullet"/>
        <w:spacing w:after="40" w:line="276" w:lineRule="auto"/>
      </w:pPr>
      <w:r>
        <w:rPr>
          <w:rFonts w:ascii="Arial" w:hAnsi="Arial" w:cs="Arial" w:eastAsia="Arial"/>
          <w:b w:val="0"/>
          <w:i w:val="0"/>
          <w:sz w:val="22"/>
        </w:rPr>
        <w:t>Proxy advisory firms recommending against — would raise vote risk from effectively nil to meaningful, reshaping expected value.</w:t>
      </w:r>
    </w:p>
    <w:p>
      <w:pPr>
        <w:keepNext/>
        <w:spacing w:before="200" w:after="120" w:line="276" w:lineRule="auto"/>
      </w:pPr>
      <w:r>
        <w:rPr>
          <w:rFonts w:ascii="Arial" w:hAnsi="Arial" w:cs="Arial" w:eastAsia="Arial"/>
          <w:b/>
          <w:i w:val="0"/>
          <w:sz w:val="26"/>
        </w:rPr>
        <w:t>A.9  Positioning</w:t>
      </w:r>
    </w:p>
    <w:p>
      <w:pPr>
        <w:spacing w:after="120" w:before="0" w:line="276" w:lineRule="auto"/>
        <w:jc w:val="both"/>
      </w:pPr>
      <w:r>
        <w:rPr>
          <w:rFonts w:ascii="Arial" w:hAnsi="Arial" w:cs="Arial" w:eastAsia="Arial"/>
          <w:b w:val="0"/>
          <w:i w:val="0"/>
          <w:sz w:val="22"/>
        </w:rPr>
        <w:t>Positioning is the hardest question in this thesis because the expected return is only marginally above cash. The framing is not "how aggressively do I express this view" but "should I express it at all and at what size." The answer depends on the financing environment available to the specific investor, the opportunity cost of capital, and the existence of alternative merger-arb positions offering better annualised returns. For most allocators the honest answer is: this is a cash-sleeve position, sized small, used for yield pickup over bills when financing is cheap.</w:t>
      </w:r>
    </w:p>
    <w:p>
      <w:pPr>
        <w:spacing w:after="120" w:before="0" w:line="276" w:lineRule="auto"/>
        <w:jc w:val="both"/>
      </w:pPr>
      <w:r>
        <w:rPr>
          <w:rFonts w:ascii="Arial" w:hAnsi="Arial" w:cs="Arial" w:eastAsia="Arial"/>
          <w:b w:val="0"/>
          <w:i w:val="0"/>
          <w:sz w:val="22"/>
        </w:rPr>
        <w:t>For arb specialists with a running book, AVNS is a routine add at current levels — tight spreads are not disqualifying when the completion probability is genuinely high and the close window is within the arb fund's typical investment horizon. For fundamental investors without a merger-arb mandate, the correct answer is to pass and redeploy the research attention to the next pipeline candidate.</w:t>
      </w:r>
    </w:p>
    <w:p>
      <w:pPr>
        <w:spacing w:after="80" w:before="0" w:line="276" w:lineRule="auto"/>
        <w:jc w:val="left"/>
      </w:pPr>
      <w:r>
        <w:rPr>
          <w:rFonts w:ascii="Arial" w:hAnsi="Arial" w:cs="Arial" w:eastAsia="Arial"/>
          <w:b/>
          <w:i w:val="0"/>
          <w:sz w:val="22"/>
        </w:rPr>
        <w:t>Trade expressions:</w:t>
      </w:r>
    </w:p>
    <w:p>
      <w:pPr>
        <w:pStyle w:val="ListBullet"/>
        <w:spacing w:after="40" w:line="276" w:lineRule="auto"/>
      </w:pPr>
      <w:r>
        <w:rPr>
          <w:rFonts w:ascii="Arial" w:hAnsi="Arial" w:cs="Arial" w:eastAsia="Arial"/>
          <w:b w:val="0"/>
          <w:i w:val="0"/>
          <w:sz w:val="22"/>
        </w:rPr>
        <w:t>Primary: Long equity. Buy AVNS at $24.70 or lower. Size 1–2% of gross unlevered; up to 3% if financing costs are below 2.5% annualised.</w:t>
      </w:r>
    </w:p>
    <w:p>
      <w:pPr>
        <w:pStyle w:val="ListBullet"/>
        <w:spacing w:after="40" w:line="276" w:lineRule="auto"/>
      </w:pPr>
      <w:r>
        <w:rPr>
          <w:rFonts w:ascii="Arial" w:hAnsi="Arial" w:cs="Arial" w:eastAsia="Arial"/>
          <w:b w:val="0"/>
          <w:i w:val="0"/>
          <w:sz w:val="22"/>
        </w:rPr>
        <w:t>Hedged: No natural hedge is available at this spread level. Options premium on AVNS is cheap post-crush but there is nothing meaningful to hedge against; a deal-break is a discontinuous gap that OTM puts would only partially cover.</w:t>
      </w:r>
    </w:p>
    <w:p>
      <w:pPr>
        <w:pStyle w:val="ListBullet"/>
        <w:spacing w:after="40" w:line="276" w:lineRule="auto"/>
      </w:pPr>
      <w:r>
        <w:rPr>
          <w:rFonts w:ascii="Arial" w:hAnsi="Arial" w:cs="Arial" w:eastAsia="Arial"/>
          <w:b w:val="0"/>
          <w:i w:val="0"/>
          <w:sz w:val="22"/>
        </w:rPr>
        <w:t>Tactical add: Set alerts for any spread widening to 2.0%+ on non-fundamental catalysts (strike suits, interim disclosures). Scale into 2.5–3.5% additions on such windows.</w:t>
      </w:r>
    </w:p>
    <w:p>
      <w:pPr>
        <w:pStyle w:val="ListBullet"/>
        <w:spacing w:after="40" w:line="276" w:lineRule="auto"/>
      </w:pPr>
      <w:r>
        <w:rPr>
          <w:rFonts w:ascii="Arial" w:hAnsi="Arial" w:cs="Arial" w:eastAsia="Arial"/>
          <w:b w:val="0"/>
          <w:i w:val="0"/>
          <w:sz w:val="22"/>
        </w:rPr>
        <w:t>No options-only trade is warranted. The residual volatility is not pricing a real probability of a tradable move; deal stocks pin to the consideration and decay IV further over the close window.</w:t>
      </w:r>
    </w:p>
    <w:p>
      <w:pPr>
        <w:spacing w:after="80" w:before="0" w:line="276" w:lineRule="auto"/>
        <w:jc w:val="left"/>
      </w:pPr>
      <w:r>
        <w:rPr>
          <w:rFonts w:ascii="Arial" w:hAnsi="Arial" w:cs="Arial" w:eastAsia="Arial"/>
          <w:b/>
          <w:i w:val="0"/>
          <w:sz w:val="22"/>
        </w:rPr>
        <w:t>What to avoid:</w:t>
      </w:r>
    </w:p>
    <w:p>
      <w:pPr>
        <w:pStyle w:val="ListBullet"/>
        <w:spacing w:after="40" w:line="276" w:lineRule="auto"/>
      </w:pPr>
      <w:r>
        <w:rPr>
          <w:rFonts w:ascii="Arial" w:hAnsi="Arial" w:cs="Arial" w:eastAsia="Arial"/>
          <w:b w:val="0"/>
          <w:i w:val="0"/>
          <w:sz w:val="22"/>
        </w:rPr>
        <w:t>Do not pay above $24.85 at the current risk-free rate environment — expected return net of financing turns negative quickly.</w:t>
      </w:r>
    </w:p>
    <w:p>
      <w:pPr>
        <w:pStyle w:val="ListBullet"/>
        <w:spacing w:after="40" w:line="276" w:lineRule="auto"/>
      </w:pPr>
      <w:r>
        <w:rPr>
          <w:rFonts w:ascii="Arial" w:hAnsi="Arial" w:cs="Arial" w:eastAsia="Arial"/>
          <w:b w:val="0"/>
          <w:i w:val="0"/>
          <w:sz w:val="22"/>
        </w:rPr>
        <w:t>Do not buy pre-close put protection; premium is low but cumulative drag exceeds any deal-break expected loss.</w:t>
      </w:r>
    </w:p>
    <w:p>
      <w:pPr>
        <w:pStyle w:val="ListBullet"/>
        <w:spacing w:after="40" w:line="276" w:lineRule="auto"/>
      </w:pPr>
      <w:r>
        <w:rPr>
          <w:rFonts w:ascii="Arial" w:hAnsi="Arial" w:cs="Arial" w:eastAsia="Arial"/>
          <w:b w:val="0"/>
          <w:i w:val="0"/>
          <w:sz w:val="22"/>
        </w:rPr>
        <w:t>Do not buy call options hoping for a topping bid — the base rate is too low and the position-size math does not clear.</w:t>
      </w:r>
    </w:p>
    <w:p>
      <w:pPr>
        <w:pStyle w:val="ListBullet"/>
        <w:spacing w:after="40" w:line="276" w:lineRule="auto"/>
      </w:pPr>
      <w:r>
        <w:rPr>
          <w:rFonts w:ascii="Arial" w:hAnsi="Arial" w:cs="Arial" w:eastAsia="Arial"/>
          <w:b w:val="0"/>
          <w:i w:val="0"/>
          <w:sz w:val="22"/>
        </w:rPr>
        <w:t>Do not size this as a directional thesis or a core position. It is not that.</w:t>
      </w:r>
    </w:p>
    <w:p>
      <w:pPr>
        <w:spacing w:after="80" w:before="0" w:line="276" w:lineRule="auto"/>
        <w:jc w:val="left"/>
      </w:pPr>
      <w:r>
        <w:rPr>
          <w:rFonts w:ascii="Arial" w:hAnsi="Arial" w:cs="Arial" w:eastAsia="Arial"/>
          <w:b/>
          <w:i w:val="0"/>
          <w:sz w:val="22"/>
        </w:rPr>
        <w:t>Sizing framework:</w:t>
      </w:r>
    </w:p>
    <w:p>
      <w:pPr>
        <w:pStyle w:val="ListBullet"/>
        <w:spacing w:after="40" w:line="276" w:lineRule="auto"/>
      </w:pPr>
      <w:r>
        <w:rPr>
          <w:rFonts w:ascii="Arial" w:hAnsi="Arial" w:cs="Arial" w:eastAsia="Arial"/>
          <w:b w:val="0"/>
          <w:i w:val="0"/>
          <w:sz w:val="22"/>
        </w:rPr>
        <w:t>Target sizing 1–2% of gross for diversified public-equity books.</w:t>
      </w:r>
    </w:p>
    <w:p>
      <w:pPr>
        <w:pStyle w:val="ListBullet"/>
        <w:spacing w:after="40" w:line="276" w:lineRule="auto"/>
      </w:pPr>
      <w:r>
        <w:rPr>
          <w:rFonts w:ascii="Arial" w:hAnsi="Arial" w:cs="Arial" w:eastAsia="Arial"/>
          <w:b w:val="0"/>
          <w:i w:val="0"/>
          <w:sz w:val="22"/>
        </w:rPr>
        <w:t>Upper limit 3–4% for dedicated merger-arb sleeves; higher sizing requires material spread widening first.</w:t>
      </w:r>
    </w:p>
    <w:p>
      <w:pPr>
        <w:pStyle w:val="ListBullet"/>
        <w:spacing w:after="40" w:line="276" w:lineRule="auto"/>
      </w:pPr>
      <w:r>
        <w:rPr>
          <w:rFonts w:ascii="Arial" w:hAnsi="Arial" w:cs="Arial" w:eastAsia="Arial"/>
          <w:b w:val="0"/>
          <w:i w:val="0"/>
          <w:sz w:val="22"/>
        </w:rPr>
        <w:t>Do not concentrate the arb book such that any single deal-break exceeds 0.8% of NAV at the bear-case reference price.</w:t>
      </w:r>
    </w:p>
    <w:p>
      <w:pPr>
        <w:pStyle w:val="ListBullet"/>
        <w:spacing w:after="40" w:line="276" w:lineRule="auto"/>
      </w:pPr>
      <w:r>
        <w:rPr>
          <w:rFonts w:ascii="Arial" w:hAnsi="Arial" w:cs="Arial" w:eastAsia="Arial"/>
          <w:b w:val="0"/>
          <w:i w:val="0"/>
          <w:sz w:val="22"/>
        </w:rPr>
        <w:t>Monitor financing cost weekly; the trade economics are dominated by the borrow / repo spread in the pre-close period.</w:t>
      </w:r>
    </w:p>
    <w:p>
      <w:pPr>
        <w:keepNext/>
        <w:spacing w:before="200" w:after="120" w:line="276" w:lineRule="auto"/>
      </w:pPr>
      <w:r>
        <w:rPr>
          <w:rFonts w:ascii="Arial" w:hAnsi="Arial" w:cs="Arial" w:eastAsia="Arial"/>
          <w:b/>
          <w:i w:val="0"/>
          <w:sz w:val="26"/>
        </w:rPr>
        <w:t>A.10  Catalyst Calendar</w:t>
      </w:r>
    </w:p>
    <w:tbl>
      <w:tblPr>
        <w:tblW w:type="auto" w:w="0"/>
        <w:jc w:val="center"/>
        <w:tblLayout w:type="fixed"/>
        <w:tblLook w:firstColumn="1" w:firstRow="1" w:lastColumn="0" w:lastRow="0" w:noHBand="0" w:noVBand="1" w:val="04A0"/>
      </w:tblPr>
      <w:tblGrid>
        <w:gridCol w:w="3360"/>
        <w:gridCol w:w="3360"/>
        <w:gridCol w:w="3360"/>
      </w:tblGrid>
      <w:tr>
        <w:tc>
          <w:tcPr>
            <w:tcW w:type="dxa" w:w="1872"/>
            <w:shd w:val="clear" w:color="auto" w:fill="DCDCDC"/>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i w:val="0"/>
                <w:sz w:val="20"/>
              </w:rPr>
              <w:t>Date</w:t>
            </w:r>
          </w:p>
        </w:tc>
        <w:tc>
          <w:tcPr>
            <w:tcW w:type="dxa" w:w="3312"/>
            <w:shd w:val="clear" w:color="auto" w:fill="DCDCDC"/>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i w:val="0"/>
                <w:sz w:val="20"/>
              </w:rPr>
              <w:t>Event</w:t>
            </w:r>
          </w:p>
        </w:tc>
        <w:tc>
          <w:tcPr>
            <w:tcW w:type="dxa" w:w="4752"/>
            <w:shd w:val="clear" w:color="auto" w:fill="DCDCDC"/>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i w:val="0"/>
                <w:sz w:val="20"/>
              </w:rPr>
              <w:t>What to Watch</w:t>
            </w:r>
          </w:p>
        </w:tc>
      </w:tr>
      <w:tr>
        <w:tc>
          <w:tcPr>
            <w:tcW w:type="dxa" w:w="187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14 Apr 2026</w:t>
            </w:r>
          </w:p>
        </w:tc>
        <w:tc>
          <w:tcPr>
            <w:tcW w:type="dxa" w:w="331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8-K filing, press release, first trading day</w:t>
            </w:r>
          </w:p>
        </w:tc>
        <w:tc>
          <w:tcPr>
            <w:tcW w:type="dxa" w:w="475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Gap-open price action, volume profile, first 13D/G signals</w:t>
            </w:r>
          </w:p>
        </w:tc>
      </w:tr>
      <w:tr>
        <w:tc>
          <w:tcPr>
            <w:tcW w:type="dxa" w:w="187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By ~24 Apr 2026</w:t>
            </w:r>
          </w:p>
        </w:tc>
        <w:tc>
          <w:tcPr>
            <w:tcW w:type="dxa" w:w="331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HSR filing confirmation</w:t>
            </w:r>
          </w:p>
        </w:tc>
        <w:tc>
          <w:tcPr>
            <w:tcW w:type="dxa" w:w="475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Any language indicating early termination request</w:t>
            </w:r>
          </w:p>
        </w:tc>
      </w:tr>
      <w:tr>
        <w:tc>
          <w:tcPr>
            <w:tcW w:type="dxa" w:w="187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Late Apr / early May 2026</w:t>
            </w:r>
          </w:p>
        </w:tc>
        <w:tc>
          <w:tcPr>
            <w:tcW w:type="dxa" w:w="331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Strike-suit filings begin</w:t>
            </w:r>
          </w:p>
        </w:tc>
        <w:tc>
          <w:tcPr>
            <w:tcW w:type="dxa" w:w="475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Normal; do not act on. Spread may widen temporarily on headlines.</w:t>
            </w:r>
          </w:p>
        </w:tc>
      </w:tr>
      <w:tr>
        <w:tc>
          <w:tcPr>
            <w:tcW w:type="dxa" w:w="187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By ~15 May 2026</w:t>
            </w:r>
          </w:p>
        </w:tc>
        <w:tc>
          <w:tcPr>
            <w:tcW w:type="dxa" w:w="331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HSR 30-day period expires</w:t>
            </w:r>
          </w:p>
        </w:tc>
        <w:tc>
          <w:tcPr>
            <w:tcW w:type="dxa" w:w="475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Absence of second request is the expected clear signal</w:t>
            </w:r>
          </w:p>
        </w:tc>
      </w:tr>
      <w:tr>
        <w:tc>
          <w:tcPr>
            <w:tcW w:type="dxa" w:w="187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Mid-to-late May 2026</w:t>
            </w:r>
          </w:p>
        </w:tc>
        <w:tc>
          <w:tcPr>
            <w:tcW w:type="dxa" w:w="331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Preliminary proxy (PRE 14A) filing</w:t>
            </w:r>
          </w:p>
        </w:tc>
        <w:tc>
          <w:tcPr>
            <w:tcW w:type="dxa" w:w="475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Merger agreement exhibit detail including MAC language</w:t>
            </w:r>
          </w:p>
        </w:tc>
      </w:tr>
      <w:tr>
        <w:tc>
          <w:tcPr>
            <w:tcW w:type="dxa" w:w="187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Mid-to-late Jun 2026</w:t>
            </w:r>
          </w:p>
        </w:tc>
        <w:tc>
          <w:tcPr>
            <w:tcW w:type="dxa" w:w="331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Definitive proxy (DEF 14A) filing</w:t>
            </w:r>
          </w:p>
        </w:tc>
        <w:tc>
          <w:tcPr>
            <w:tcW w:type="dxa" w:w="475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Record date, vote date, ISS/Glass Lewis window opens</w:t>
            </w:r>
          </w:p>
        </w:tc>
      </w:tr>
      <w:tr>
        <w:tc>
          <w:tcPr>
            <w:tcW w:type="dxa" w:w="187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Late Jul / early Aug 2026</w:t>
            </w:r>
          </w:p>
        </w:tc>
        <w:tc>
          <w:tcPr>
            <w:tcW w:type="dxa" w:w="331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Special shareholder meeting / vote</w:t>
            </w:r>
          </w:p>
        </w:tc>
        <w:tc>
          <w:tcPr>
            <w:tcW w:type="dxa" w:w="475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Vote tally; any material margin compresses spread to zero</w:t>
            </w:r>
          </w:p>
        </w:tc>
      </w:tr>
      <w:tr>
        <w:tc>
          <w:tcPr>
            <w:tcW w:type="dxa" w:w="187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Aug / Sep 2026</w:t>
            </w:r>
          </w:p>
        </w:tc>
        <w:tc>
          <w:tcPr>
            <w:tcW w:type="dxa" w:w="331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Closing</w:t>
            </w:r>
          </w:p>
        </w:tc>
        <w:tc>
          <w:tcPr>
            <w:tcW w:type="dxa" w:w="475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Cash delivery; position monetises. Verify pay date and any delisting notice.</w:t>
            </w:r>
          </w:p>
        </w:tc>
      </w:tr>
    </w:tbl>
    <w:p/>
    <w:p>
      <w:pPr>
        <w:keepNext/>
        <w:spacing w:before="200" w:after="120" w:line="276" w:lineRule="auto"/>
      </w:pPr>
      <w:r>
        <w:rPr>
          <w:rFonts w:ascii="Arial" w:hAnsi="Arial" w:cs="Arial" w:eastAsia="Arial"/>
          <w:b/>
          <w:i w:val="0"/>
          <w:sz w:val="26"/>
        </w:rPr>
        <w:t>A.11  Verdict</w:t>
      </w:r>
    </w:p>
    <w:tbl>
      <w:tblPr>
        <w:tblW w:type="auto" w:w="0"/>
        <w:jc w:val="center"/>
        <w:tblLook w:firstColumn="1" w:firstRow="1" w:lastColumn="0" w:lastRow="0" w:noHBand="0" w:noVBand="1" w:val="04A0"/>
      </w:tblPr>
      <w:tblGrid>
        <w:gridCol w:w="10080"/>
      </w:tblGrid>
      <w:tr>
        <w:tc>
          <w:tcPr>
            <w:tcW w:type="dxa" w:w="10080"/>
            <w:tcBorders>
              <w:top w:val="single" w:sz="12" w:space="0" w:color="888888"/>
              <w:left w:val="single" w:sz="12" w:space="0" w:color="888888"/>
              <w:bottom w:val="single" w:sz="12" w:space="0" w:color="888888"/>
              <w:right w:val="single" w:sz="12" w:space="0" w:color="888888"/>
            </w:tcBorders>
            <w:shd w:val="clear" w:color="auto" w:fill="F7F5F0"/>
          </w:tcPr>
          <w:p>
            <w:pPr>
              <w:spacing w:after="80"/>
            </w:pPr>
            <w:r/>
            <w:r>
              <w:rPr>
                <w:rFonts w:ascii="Arial" w:hAnsi="Arial" w:cs="Arial" w:eastAsia="Arial"/>
                <w:b/>
                <w:i w:val="0"/>
                <w:sz w:val="22"/>
              </w:rPr>
              <w:t>Hold with opportunistic add. Score 28.5 / 42.5. Cash-sleeve sizing only.</w:t>
            </w:r>
          </w:p>
          <w:p>
            <w:pPr>
              <w:spacing w:line="288" w:lineRule="auto"/>
            </w:pPr>
            <w:r>
              <w:rPr>
                <w:rFonts w:ascii="Arial" w:hAnsi="Arial" w:cs="Arial" w:eastAsia="Arial"/>
                <w:b w:val="0"/>
                <w:i w:val="0"/>
                <w:sz w:val="20"/>
              </w:rPr>
              <w:t>This is a clean, high-probability cash merger arbitrage with a fairly-priced 1.3% gross spread. The market's ~97% implied completion probability is approximately right; our view is marginally more conservative at ~95–96%. Expected annualised return is ~3%, which only clears hurdle rates for investors with cheap financing or an active merger-arb mandate. For fundamental investors the correct action is to pass. The discovery value of this candidate is primarily operational — it validates the EDGAR MNA scanner caught a real $1.3B definitive deal on day zero — not a source of alpha edge.</w:t>
            </w:r>
          </w:p>
        </w:tc>
      </w:tr>
    </w:tbl>
    <w:p/>
    <w:p>
      <w:pPr>
        <w:spacing w:after="80" w:before="0" w:line="276" w:lineRule="auto"/>
        <w:jc w:val="left"/>
      </w:pPr>
      <w:r>
        <w:rPr>
          <w:rFonts w:ascii="Arial" w:hAnsi="Arial" w:cs="Arial" w:eastAsia="Arial"/>
          <w:b/>
          <w:i w:val="0"/>
          <w:sz w:val="22"/>
        </w:rPr>
        <w:t>What this thesis does NOT claim:</w:t>
      </w:r>
    </w:p>
    <w:p>
      <w:pPr>
        <w:pStyle w:val="ListBullet"/>
        <w:spacing w:after="40" w:line="276" w:lineRule="auto"/>
      </w:pPr>
      <w:r>
        <w:rPr>
          <w:rFonts w:ascii="Arial" w:hAnsi="Arial" w:cs="Arial" w:eastAsia="Arial"/>
          <w:b w:val="0"/>
          <w:i w:val="0"/>
          <w:sz w:val="22"/>
        </w:rPr>
        <w:t>This is not a claim that AVNS has mispriced fundamental value to capture.</w:t>
      </w:r>
    </w:p>
    <w:p>
      <w:pPr>
        <w:pStyle w:val="ListBullet"/>
        <w:spacing w:after="40" w:line="276" w:lineRule="auto"/>
      </w:pPr>
      <w:r>
        <w:rPr>
          <w:rFonts w:ascii="Arial" w:hAnsi="Arial" w:cs="Arial" w:eastAsia="Arial"/>
          <w:b w:val="0"/>
          <w:i w:val="0"/>
          <w:sz w:val="22"/>
        </w:rPr>
        <w:t>This is not a claim that a topping bid is likely; the base rate at 72% premiums is low.</w:t>
      </w:r>
    </w:p>
    <w:p>
      <w:pPr>
        <w:pStyle w:val="ListBullet"/>
        <w:spacing w:after="40" w:line="276" w:lineRule="auto"/>
      </w:pPr>
      <w:r>
        <w:rPr>
          <w:rFonts w:ascii="Arial" w:hAnsi="Arial" w:cs="Arial" w:eastAsia="Arial"/>
          <w:b w:val="0"/>
          <w:i w:val="0"/>
          <w:sz w:val="22"/>
        </w:rPr>
        <w:t>This is not a claim that the deal cannot break — only that the probability is ~2–5% and the absolute exposure must be sized accordingly.</w:t>
      </w:r>
    </w:p>
    <w:p>
      <w:pPr>
        <w:pStyle w:val="ListBullet"/>
        <w:spacing w:after="40" w:line="276" w:lineRule="auto"/>
      </w:pPr>
      <w:r>
        <w:rPr>
          <w:rFonts w:ascii="Arial" w:hAnsi="Arial" w:cs="Arial" w:eastAsia="Arial"/>
          <w:b w:val="0"/>
          <w:i w:val="0"/>
          <w:sz w:val="22"/>
        </w:rPr>
        <w:t>This is not a recommendation to use options, leverage, or concentrated sizing.</w:t>
      </w:r>
    </w:p>
    <w:p>
      <w:pPr>
        <w:pStyle w:val="ListBullet"/>
        <w:spacing w:after="40" w:line="276" w:lineRule="auto"/>
      </w:pPr>
      <w:r>
        <w:rPr>
          <w:rFonts w:ascii="Arial" w:hAnsi="Arial" w:cs="Arial" w:eastAsia="Arial"/>
          <w:b w:val="0"/>
          <w:i w:val="0"/>
          <w:sz w:val="22"/>
        </w:rPr>
        <w:t>This is not a claim that the return profile is attractive on a stand-alone basis for unlevered capital.</w:t>
      </w:r>
    </w:p>
    <w:p>
      <w:pPr>
        <w:spacing w:after="80" w:before="0" w:line="276" w:lineRule="auto"/>
        <w:jc w:val="left"/>
      </w:pPr>
      <w:r>
        <w:rPr>
          <w:rFonts w:ascii="Arial" w:hAnsi="Arial" w:cs="Arial" w:eastAsia="Arial"/>
          <w:b/>
          <w:i w:val="0"/>
          <w:sz w:val="22"/>
        </w:rPr>
        <w:t>What this thesis DOES claim:</w:t>
      </w:r>
    </w:p>
    <w:p>
      <w:pPr>
        <w:pStyle w:val="ListBullet"/>
        <w:spacing w:after="40" w:line="276" w:lineRule="auto"/>
      </w:pPr>
      <w:r>
        <w:rPr>
          <w:rFonts w:ascii="Arial" w:hAnsi="Arial" w:cs="Arial" w:eastAsia="Arial"/>
          <w:b w:val="0"/>
          <w:i w:val="0"/>
          <w:sz w:val="22"/>
        </w:rPr>
        <w:t>The 72.1% premium is real, documented, and consistent with a negotiated deal rather than an opportunistic raid.</w:t>
      </w:r>
    </w:p>
    <w:p>
      <w:pPr>
        <w:pStyle w:val="ListBullet"/>
        <w:spacing w:after="40" w:line="276" w:lineRule="auto"/>
      </w:pPr>
      <w:r>
        <w:rPr>
          <w:rFonts w:ascii="Arial" w:hAnsi="Arial" w:cs="Arial" w:eastAsia="Arial"/>
          <w:b w:val="0"/>
          <w:i w:val="0"/>
          <w:sz w:val="22"/>
        </w:rPr>
        <w:t>The antitrust and shareholder-vote risk factors are low enough to be treated as base-rate tail events.</w:t>
      </w:r>
    </w:p>
    <w:p>
      <w:pPr>
        <w:pStyle w:val="ListBullet"/>
        <w:spacing w:after="40" w:line="276" w:lineRule="auto"/>
      </w:pPr>
      <w:r>
        <w:rPr>
          <w:rFonts w:ascii="Arial" w:hAnsi="Arial" w:cs="Arial" w:eastAsia="Arial"/>
          <w:b w:val="0"/>
          <w:i w:val="0"/>
          <w:sz w:val="22"/>
        </w:rPr>
        <w:t>The MAC language is the single undocumented risk and deserves review in the definitive proxy before any sizing increase.</w:t>
      </w:r>
    </w:p>
    <w:p>
      <w:pPr>
        <w:pStyle w:val="ListBullet"/>
        <w:spacing w:after="40" w:line="276" w:lineRule="auto"/>
      </w:pPr>
      <w:r>
        <w:rPr>
          <w:rFonts w:ascii="Arial" w:hAnsi="Arial" w:cs="Arial" w:eastAsia="Arial"/>
          <w:b w:val="0"/>
          <w:i w:val="0"/>
          <w:sz w:val="22"/>
        </w:rPr>
        <w:t>A tactical add to 2.5–3.5% of gross is defensible on any non-fundamental spread widening above 2.0%.</w:t>
      </w:r>
    </w:p>
    <w:p>
      <w:pPr>
        <w:pStyle w:val="ListBullet"/>
        <w:spacing w:after="40" w:line="276" w:lineRule="auto"/>
      </w:pPr>
      <w:r>
        <w:rPr>
          <w:rFonts w:ascii="Arial" w:hAnsi="Arial" w:cs="Arial" w:eastAsia="Arial"/>
          <w:b w:val="0"/>
          <w:i w:val="0"/>
          <w:sz w:val="22"/>
        </w:rPr>
        <w:t>The deal should close in the Aug–Sep 2026 window absent a material surprise; the calendar above is the operational benchmark.</w:t>
      </w:r>
    </w:p>
    <w:p>
      <w:pPr>
        <w:spacing w:after="120" w:before="0" w:line="276" w:lineRule="auto"/>
        <w:jc w:val="left"/>
      </w:pPr>
      <w:r>
        <w:rPr>
          <w:rFonts w:ascii="Arial" w:hAnsi="Arial" w:cs="Arial" w:eastAsia="Arial"/>
          <w:b w:val="0"/>
          <w:i/>
          <w:sz w:val="20"/>
        </w:rPr>
        <w:t>Calibration note: the 7-dimension composite score is a weighted framework tool, not a probability estimate. The specific probabilities used throughout this note are the author's point estimates based on base rates for comparable transactions, not outputs of the scoring model.</w:t>
      </w:r>
    </w:p>
    <w:p>
      <w:pPr>
        <w:keepNext/>
        <w:spacing w:before="200" w:after="120" w:line="276" w:lineRule="auto"/>
      </w:pPr>
      <w:r>
        <w:rPr>
          <w:rFonts w:ascii="Arial" w:hAnsi="Arial" w:cs="Arial" w:eastAsia="Arial"/>
          <w:b/>
          <w:i w:val="0"/>
          <w:sz w:val="26"/>
        </w:rPr>
        <w:t>A.12  Sources &amp; Verification</w:t>
      </w:r>
    </w:p>
    <w:p>
      <w:pPr>
        <w:spacing w:after="120" w:before="0" w:line="276" w:lineRule="auto"/>
        <w:jc w:val="left"/>
      </w:pPr>
      <w:r>
        <w:rPr>
          <w:rFonts w:ascii="Arial" w:hAnsi="Arial" w:cs="Arial" w:eastAsia="Arial"/>
          <w:b w:val="0"/>
          <w:i/>
          <w:sz w:val="22"/>
        </w:rPr>
        <w:t>Every factual claim was re-validated against primary or reputable secondary sources on 14 April 2026.</w:t>
      </w:r>
    </w:p>
    <w:p>
      <w:pPr>
        <w:keepNext/>
        <w:spacing w:before="200" w:after="120" w:line="276" w:lineRule="auto"/>
      </w:pPr>
      <w:r>
        <w:rPr>
          <w:rFonts w:ascii="Arial" w:hAnsi="Arial" w:cs="Arial" w:eastAsia="Arial"/>
          <w:b/>
          <w:i w:val="0"/>
          <w:sz w:val="22"/>
        </w:rPr>
        <w:t>Deal Primary Documents</w:t>
      </w:r>
    </w:p>
    <w:p>
      <w:pPr>
        <w:pStyle w:val="ListBullet"/>
        <w:spacing w:after="40" w:line="276" w:lineRule="auto"/>
      </w:pPr>
      <w:r>
        <w:rPr>
          <w:rFonts w:ascii="Arial" w:hAnsi="Arial" w:cs="Arial" w:eastAsia="Arial"/>
          <w:b w:val="0"/>
          <w:i w:val="0"/>
          <w:sz w:val="22"/>
        </w:rPr>
        <w:t>Avanos Medical 8-K, filed 14 April 2026, SEC EDGAR accession 0001606498-26-000046 — signed merger agreement and press release. https://www.sec.gov/Archives/edgar/data/1606498/000160649826000046/</w:t>
      </w:r>
    </w:p>
    <w:p>
      <w:pPr>
        <w:pStyle w:val="ListBullet"/>
        <w:spacing w:after="40" w:line="276" w:lineRule="auto"/>
      </w:pPr>
      <w:r>
        <w:rPr>
          <w:rFonts w:ascii="Arial" w:hAnsi="Arial" w:cs="Arial" w:eastAsia="Arial"/>
          <w:b w:val="0"/>
          <w:i w:val="0"/>
          <w:sz w:val="22"/>
        </w:rPr>
        <w:t>Press Release (Ex-99.1 to 8-K) — Avanos Medical, Inc. Agrees to be Acquired by American Industrial Partners, 14 April 2026. https://www.sec.gov/Archives/edgar/data/1606498/000160649826000046/avnsform8k_04132026xex991.htm</w:t>
      </w:r>
    </w:p>
    <w:p>
      <w:pPr>
        <w:pStyle w:val="ListBullet"/>
        <w:spacing w:after="40" w:line="276" w:lineRule="auto"/>
      </w:pPr>
      <w:r>
        <w:rPr>
          <w:rFonts w:ascii="Arial" w:hAnsi="Arial" w:cs="Arial" w:eastAsia="Arial"/>
          <w:b w:val="0"/>
          <w:i w:val="0"/>
          <w:sz w:val="22"/>
        </w:rPr>
        <w:t>PR Newswire — Avanos Medical, Inc. Agrees to be Acquired by American Industrial Partners for Approximately $1.272 Billion, 14 April 2026. https://www.prnewswire.com/news-releases/avanos-medical-inc-agrees-to-be-acquired-by-american-industrial-partners-for-approximately-1-272-billion-302741322.html</w:t>
      </w:r>
    </w:p>
    <w:p>
      <w:pPr>
        <w:keepNext/>
        <w:spacing w:before="200" w:after="120" w:line="276" w:lineRule="auto"/>
      </w:pPr>
      <w:r>
        <w:rPr>
          <w:rFonts w:ascii="Arial" w:hAnsi="Arial" w:cs="Arial" w:eastAsia="Arial"/>
          <w:b/>
          <w:i w:val="0"/>
          <w:sz w:val="22"/>
        </w:rPr>
        <w:t>Company Financial Data</w:t>
      </w:r>
    </w:p>
    <w:p>
      <w:pPr>
        <w:pStyle w:val="ListBullet"/>
        <w:spacing w:after="40" w:line="276" w:lineRule="auto"/>
      </w:pPr>
      <w:r>
        <w:rPr>
          <w:rFonts w:ascii="Arial" w:hAnsi="Arial" w:cs="Arial" w:eastAsia="Arial"/>
          <w:b w:val="0"/>
          <w:i w:val="0"/>
          <w:sz w:val="22"/>
        </w:rPr>
        <w:t>Avanos Medical Q4 and Full Year 2025 Results Press Release, 25 February 2026 (PR Newswire). https://www.prnewswire.com/news-releases/avanos-medical-inc-announces-fourth-quarter-and-full-year-2025-results-302695558.html</w:t>
      </w:r>
    </w:p>
    <w:p>
      <w:pPr>
        <w:pStyle w:val="ListBullet"/>
        <w:spacing w:after="40" w:line="276" w:lineRule="auto"/>
      </w:pPr>
      <w:r>
        <w:rPr>
          <w:rFonts w:ascii="Arial" w:hAnsi="Arial" w:cs="Arial" w:eastAsia="Arial"/>
          <w:b w:val="0"/>
          <w:i w:val="0"/>
          <w:sz w:val="22"/>
        </w:rPr>
        <w:t>Avanos Medical Investor Relations — 10-K and investor deck archive. https://avanos.investorroom.com/financial-information</w:t>
      </w:r>
    </w:p>
    <w:p>
      <w:pPr>
        <w:keepNext/>
        <w:spacing w:before="200" w:after="120" w:line="276" w:lineRule="auto"/>
      </w:pPr>
      <w:r>
        <w:rPr>
          <w:rFonts w:ascii="Arial" w:hAnsi="Arial" w:cs="Arial" w:eastAsia="Arial"/>
          <w:b/>
          <w:i w:val="0"/>
          <w:sz w:val="22"/>
        </w:rPr>
        <w:t>Acquirer</w:t>
      </w:r>
    </w:p>
    <w:p>
      <w:pPr>
        <w:pStyle w:val="ListBullet"/>
        <w:spacing w:after="40" w:line="276" w:lineRule="auto"/>
      </w:pPr>
      <w:r>
        <w:rPr>
          <w:rFonts w:ascii="Arial" w:hAnsi="Arial" w:cs="Arial" w:eastAsia="Arial"/>
          <w:b w:val="0"/>
          <w:i w:val="0"/>
          <w:sz w:val="22"/>
        </w:rPr>
        <w:t>American Industrial Partners — Firm overview and investment strategy. https://americanindustrial.com/investment-strategy/</w:t>
      </w:r>
    </w:p>
    <w:p>
      <w:pPr>
        <w:keepNext/>
        <w:spacing w:before="200" w:after="120" w:line="276" w:lineRule="auto"/>
      </w:pPr>
      <w:r>
        <w:rPr>
          <w:rFonts w:ascii="Arial" w:hAnsi="Arial" w:cs="Arial" w:eastAsia="Arial"/>
          <w:b/>
          <w:i w:val="0"/>
          <w:sz w:val="22"/>
        </w:rPr>
        <w:t>Sector / Comparables</w:t>
      </w:r>
    </w:p>
    <w:p>
      <w:pPr>
        <w:pStyle w:val="ListBullet"/>
        <w:spacing w:after="40" w:line="276" w:lineRule="auto"/>
      </w:pPr>
      <w:r>
        <w:rPr>
          <w:rFonts w:ascii="Arial" w:hAnsi="Arial" w:cs="Arial" w:eastAsia="Arial"/>
          <w:b w:val="0"/>
          <w:i w:val="0"/>
          <w:sz w:val="22"/>
        </w:rPr>
        <w:t>PwC — Medtech M&amp;A 2026 Outlook. https://www.pwc.com/us/en/industries/health-industries/library/medtech-deals-outlook.html</w:t>
      </w:r>
    </w:p>
    <w:p>
      <w:pPr>
        <w:pStyle w:val="ListBullet"/>
        <w:spacing w:after="40" w:line="276" w:lineRule="auto"/>
      </w:pPr>
      <w:r>
        <w:rPr>
          <w:rFonts w:ascii="Arial" w:hAnsi="Arial" w:cs="Arial" w:eastAsia="Arial"/>
          <w:b w:val="0"/>
          <w:i w:val="0"/>
          <w:sz w:val="22"/>
        </w:rPr>
        <w:t>MassDevice — Medtech biggest deals of 2025. https://www.massdevice.com/medtech-biggest-deals-of-2025/</w:t>
      </w:r>
    </w:p>
    <w:p>
      <w:pPr>
        <w:keepNext/>
        <w:spacing w:before="200" w:after="120" w:line="276" w:lineRule="auto"/>
      </w:pPr>
      <w:r>
        <w:rPr>
          <w:rFonts w:ascii="Arial" w:hAnsi="Arial" w:cs="Arial" w:eastAsia="Arial"/>
          <w:b/>
          <w:i w:val="0"/>
          <w:sz w:val="22"/>
        </w:rPr>
        <w:t>Regulatory Framework</w:t>
      </w:r>
    </w:p>
    <w:p>
      <w:pPr>
        <w:pStyle w:val="ListBullet"/>
        <w:spacing w:after="40" w:line="276" w:lineRule="auto"/>
      </w:pPr>
      <w:r>
        <w:rPr>
          <w:rFonts w:ascii="Arial" w:hAnsi="Arial" w:cs="Arial" w:eastAsia="Arial"/>
          <w:b w:val="0"/>
          <w:i w:val="0"/>
          <w:sz w:val="22"/>
        </w:rPr>
        <w:t>FTC — Hart-Scott-Rodino Antitrust Improvements Act guidance. https://www.ftc.gov/terms/hart-scott-rodino-act-hsr</w:t>
      </w:r>
    </w:p>
    <w:p>
      <w:pPr>
        <w:keepNext/>
        <w:spacing w:before="200" w:after="120" w:line="276" w:lineRule="auto"/>
      </w:pPr>
      <w:r>
        <w:rPr>
          <w:rFonts w:ascii="Arial" w:hAnsi="Arial" w:cs="Arial" w:eastAsia="Arial"/>
          <w:b/>
          <w:i w:val="0"/>
          <w:sz w:val="22"/>
        </w:rPr>
        <w:t>Market / Sentiment</w:t>
      </w:r>
    </w:p>
    <w:p>
      <w:pPr>
        <w:pStyle w:val="ListBullet"/>
        <w:spacing w:after="40" w:line="276" w:lineRule="auto"/>
      </w:pPr>
      <w:r>
        <w:rPr>
          <w:rFonts w:ascii="Arial" w:hAnsi="Arial" w:cs="Arial" w:eastAsia="Arial"/>
          <w:b w:val="0"/>
          <w:i w:val="0"/>
          <w:sz w:val="22"/>
        </w:rPr>
        <w:t>The Markets Daily — AVNS short-interest update, 4 March 2026. https://www.themarketsdaily.com/2026/03/04/avanos-medical-inc-nyseavns-short-interest-update.html</w:t>
      </w:r>
    </w:p>
    <w:p>
      <w:pPr>
        <w:pStyle w:val="ListBullet"/>
        <w:spacing w:after="40" w:line="276" w:lineRule="auto"/>
      </w:pPr>
      <w:r>
        <w:rPr>
          <w:rFonts w:ascii="Arial" w:hAnsi="Arial" w:cs="Arial" w:eastAsia="Arial"/>
          <w:b w:val="0"/>
          <w:i w:val="0"/>
          <w:sz w:val="22"/>
        </w:rPr>
        <w:t>Benzinga — Avanos to Go Private in $1.27 Billion All-Cash Buyout, 14 April 2026. https://www.benzinga.com/m-a/26/04/51801720/avanos-to-go-private-in-1-27-billion-all-cash-buyout</w:t>
      </w:r>
    </w:p>
    <w:p>
      <w:pPr>
        <w:pStyle w:val="ListBullet"/>
        <w:spacing w:after="40" w:line="276" w:lineRule="auto"/>
      </w:pPr>
      <w:r>
        <w:rPr>
          <w:rFonts w:ascii="Arial" w:hAnsi="Arial" w:cs="Arial" w:eastAsia="Arial"/>
          <w:b w:val="0"/>
          <w:i w:val="0"/>
          <w:sz w:val="22"/>
        </w:rPr>
        <w:t>GuruFocus — AVNS stock surges on $1.27B acquisition deal, 14 April 2026. https://www.gurufocus.com/news/8791632/avanos-avns-stock-surges-67-on-127-billion-acquisition-deal</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s="Arial" w:eastAsia="Arial"/>
        <w:b w:val="0"/>
        <w:i w:val="0"/>
        <w:sz w:val="16"/>
      </w:rPr>
      <w:t xml:space="preserve">AVNS Investment Thesis — 14 April 2026 — Investment Discovery System     </w:t>
    </w:r>
    <w:r>
      <w:rPr>
        <w:rFonts w:ascii="Arial" w:hAnsi="Arial" w:cs="Arial" w:eastAsia="Arial"/>
        <w:b w:val="0"/>
        <w:i w:val="0"/>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