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Cuscal Limited (CCL.XASX)</w:t>
      </w:r>
    </w:p>
    <w:p>
      <w:r>
        <w:rPr>
          <w:i/>
          <w:sz w:val="18"/>
        </w:rPr>
        <w:t>Deep Dive — Equity Placement · Generated 2026-04-15 · Source tool: non_us</w:t>
      </w:r>
    </w:p>
    <w:p>
      <w:pPr>
        <w:pStyle w:val="Heading1"/>
      </w:pPr>
      <w:r>
        <w:t>Hypothesis</w:t>
      </w:r>
    </w:p>
    <w:p>
      <w:r>
        <w:t>Cuscal Limited (CCL.XASX) flagged for a equity placement on 2026-04-14 ($575M USD mcap, scanner score 30.5). Direction defaults to short; institutional placements can be either a dilution drag or a credibility signal depending on the buyer and use of proceeds. Deep-dive must verify the discount, the lock-up structure and the strategic rationale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2026-04-14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2026-04-14</w:t>
            </w:r>
          </w:p>
        </w:tc>
        <w:tc>
          <w:tcPr>
            <w:tcW w:type="dxa" w:w="3312"/>
          </w:tcPr>
          <w:p>
            <w:r>
              <w:t>Primary catalyst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BBG01QRFQGP7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BBG000BTKL40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575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ASX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AU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30.5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n/a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short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capital_structure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2026-04-14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2026-04-14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Cuscal Limited (CCL.XASX) — Completed institutional placement (equity issuance)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On 2026-04-14 Cuscal Limited — an ASX-listed Australian payments and banking-services provider (processes card payments and direct-entry payments for credit unions, fintechs, and neo-banks; BIN-sponsor for many non-bank cards) — released a price-sensitive ASX announcement titled "Cuscal successfully completes Institutional Placement" under the ISSUED CAPITAL category (documentKey `2924-03078874-2A1666525`, 93KB PDF). Scanner classifies signal_type=equity_placement, thesis_direction=short, signal_strength=4. Score 30.5 places this at immediate-route. Institutional placements at a sub-$600M mcap AU financial are near-universally **raise-and-dilute events** driven by either (a) a capital-adequacy top-up, (b) an acquisition funding, or (c) a strategic-shareholder exit. The default short direction reflects the typical placement-discount overhang and float-overhang dynamic in the 1–3 months after lock-up expiry.</w:t>
      </w:r>
    </w:p>
    <w:p/>
    <w:p>
      <w:pPr>
        <w:pStyle w:val="Heading2"/>
      </w:pPr>
      <w:r>
        <w:t>Source signal</w:t>
      </w:r>
    </w:p>
    <w:p/>
    <w:p>
      <w:pPr>
        <w:pStyle w:val="ListBullet"/>
      </w:pPr>
      <w:r>
        <w:t>**Signal** — ASX announcement `2924-03078874-2A1666525` — 2026-04-14 — ASX/markitdigital — headline "Cuscal successfully completes Institutional Placement"; isPriceSensitive=true; PDF 93KB</w:t>
      </w:r>
    </w:p>
    <w:p>
      <w:pPr>
        <w:pStyle w:val="ListBullet"/>
      </w:pPr>
      <w:r>
        <w:t>**Note**: markitdigital does not expose the PDF URL; deep-dive must pull from https://www.asx.com.au/markets/company/CCL</w:t>
      </w:r>
    </w:p>
    <w:p/>
    <w:p>
      <w:pPr>
        <w:pStyle w:val="Heading2"/>
      </w:pPr>
      <w:r>
        <w:t>Translation notes</w:t>
      </w:r>
    </w:p>
    <w:p/>
    <w:p>
      <w:r>
        <w:t>English source — translation_confidence = n/a.</w:t>
      </w:r>
    </w:p>
    <w:p/>
    <w:p>
      <w:pPr>
        <w:pStyle w:val="Heading2"/>
      </w:pPr>
      <w:r>
        <w:t>Company context (to be completed by deep-dive)</w:t>
      </w:r>
    </w:p>
    <w:p/>
    <w:p>
      <w:pPr>
        <w:pStyle w:val="ListBullet"/>
      </w:pPr>
      <w:r>
        <w:t>Market cap: $575M USD (AUD ~$805M at 0.7138). Small-cap Australian financial.</w:t>
      </w:r>
    </w:p>
    <w:p>
      <w:pPr>
        <w:pStyle w:val="ListBullet"/>
      </w:pPr>
      <w:r>
        <w:t>Sector: Diversified Financials / Payments &amp; Banking Services (GICS: Financial Services).</w:t>
      </w:r>
    </w:p>
    <w:p>
      <w:pPr>
        <w:pStyle w:val="ListBullet"/>
      </w:pPr>
      <w:r>
        <w:t>Business: BIN-sponsor, card-issuing processor, direct-entry processor. Client base includes mutual banks, credit unions, fintechs (86400 legacy, neo-banks). IPO'd on ASX in late 2023.</w:t>
      </w:r>
    </w:p>
    <w:p>
      <w:pPr>
        <w:pStyle w:val="ListBullet"/>
      </w:pPr>
      <w:r>
        <w:t>30/90-day price: TODO. `CCL.AX` via yfinance.</w:t>
      </w:r>
    </w:p>
    <w:p>
      <w:pPr>
        <w:pStyle w:val="ListBullet"/>
      </w:pPr>
      <w:r>
        <w:t>Historical placement context: TODO — check whether CCL has done placements since IPO; first post-IPO raise typically reveals capital strategy</w:t>
      </w:r>
    </w:p>
    <w:p>
      <w:pPr>
        <w:pStyle w:val="ListBullet"/>
      </w:pPr>
      <w:r>
        <w:t>Recent news: TODO — check AFR, Capital Brief for M&amp;A rumors (Cuscal is a frequently-rumored neo-bank platform consolidator).</w:t>
      </w:r>
    </w:p>
    <w:p/>
    <w:p>
      <w:pPr>
        <w:pStyle w:val="Heading2"/>
      </w:pPr>
      <w:r>
        <w:t>Thesis statement (to be completed by deep-dive)</w:t>
      </w:r>
    </w:p>
    <w:p/>
    <w:p>
      <w:r>
        <w:t>**Pending.** Direction pre-tagged `short` based on equity-placement overhang pattern.</w:t>
      </w:r>
    </w:p>
    <w:p/>
    <w:p>
      <w:r>
        <w:t>Deep-dive must:</w:t>
      </w:r>
    </w:p>
    <w:p>
      <w:pPr>
        <w:pStyle w:val="ListBullet"/>
      </w:pPr>
      <w:r>
        <w:t>Pull the placement PDF from ASX directly to extract:</w:t>
      </w:r>
    </w:p>
    <w:p>
      <w:r>
        <w:t xml:space="preserve">  - Placement size (AUD dollars and shares issued)</w:t>
      </w:r>
    </w:p>
    <w:p>
      <w:r>
        <w:t xml:space="preserve">  - Placement price vs. last close (discount %)</w:t>
      </w:r>
    </w:p>
    <w:p>
      <w:r>
        <w:t xml:space="preserve">  - Use of proceeds (acquisition / capital buffer / balance-sheet flexibility / shareholder sell-down)</w:t>
      </w:r>
    </w:p>
    <w:p>
      <w:r>
        <w:t xml:space="preserve">  - Whether this is accompanied by a SPP (Share Purchase Plan) — retail follow-on</w:t>
      </w:r>
    </w:p>
    <w:p>
      <w:r>
        <w:t xml:space="preserve">  - Underwriter / bookrunner (Barrenjoey, Macquarie, Morgan Stanley AU typically)</w:t>
      </w:r>
    </w:p>
    <w:p>
      <w:r>
        <w:t xml:space="preserve">  - Settlement date and lock-up terms</w:t>
      </w:r>
    </w:p>
    <w:p>
      <w:pPr>
        <w:pStyle w:val="ListBullet"/>
      </w:pPr>
      <w:r>
        <w:t>Determine if the raise is dilutive (new shares) or a vendor sell-down (no new shares, cleaner float)</w:t>
      </w:r>
    </w:p>
    <w:p>
      <w:pPr>
        <w:pStyle w:val="ListBullet"/>
      </w:pPr>
      <w:r>
        <w:t>Size the placement as % of pre-issuance shares outstanding — &gt;10% is materially dilutive</w:t>
      </w:r>
    </w:p>
    <w:p>
      <w:pPr>
        <w:pStyle w:val="ListBullet"/>
      </w:pPr>
      <w:r>
        <w:t>Check whether a trading halt preceded the placement (standard — halt Mon, placement Mon-Tue evening, re-open Wed)</w:t>
      </w:r>
    </w:p>
    <w:p/>
    <w:p>
      <w:pPr>
        <w:pStyle w:val="Heading2"/>
      </w:pPr>
      <w:r>
        <w:t>Steelman of the opposite view</w:t>
      </w:r>
    </w:p>
    <w:p/>
    <w:p>
      <w:r>
        <w:t>"Successfully completes" is management language but in practice signals strong institutional demand — **a well-bid placement at a tight discount (&lt;5%) with use-of-proceeds tied to an accretive acquisition is typically net positive for the stock** within 6 months. If deep-dive finds:</w:t>
      </w:r>
    </w:p>
    <w:p>
      <w:pPr>
        <w:pStyle w:val="ListBullet"/>
      </w:pPr>
      <w:r>
        <w:t>Placement priced at &lt;3% discount to last close (tight)</w:t>
      </w:r>
    </w:p>
    <w:p>
      <w:pPr>
        <w:pStyle w:val="ListBullet"/>
      </w:pPr>
      <w:r>
        <w:t>Proceeds funding a near-term EPS-accretive acquisition</w:t>
      </w:r>
    </w:p>
    <w:p>
      <w:pPr>
        <w:pStyle w:val="ListBullet"/>
      </w:pPr>
      <w:r>
        <w:t>No vendor sell-down — only primary issuance</w:t>
      </w:r>
    </w:p>
    <w:p>
      <w:pPr>
        <w:pStyle w:val="ListBullet"/>
      </w:pPr>
      <w:r>
        <w:t>Top-tier underwriter signals strong BB interest</w:t>
      </w:r>
    </w:p>
    <w:p>
      <w:r>
        <w:t>...then the stock can rally on the release. Secondary supply overhang typically clears within 30–60 days for well-received placements.</w:t>
      </w:r>
    </w:p>
    <w:p/>
    <w:p>
      <w:r>
        <w:t>Additionally: if Cuscal is using proceeds for an acquisition of a fintech platform (frequently rumored for CCL), the re-rating could be positive.</w:t>
      </w:r>
    </w:p>
    <w:p/>
    <w:p>
      <w:pPr>
        <w:pStyle w:val="Heading2"/>
      </w:pPr>
      <w:r>
        <w:t>Web research layer (deep-dive TODO)</w:t>
      </w:r>
    </w:p>
    <w:p/>
    <w:p>
      <w:pPr>
        <w:pStyle w:val="ListBullet"/>
      </w:pPr>
      <w:r>
        <w:t>Pull placement PDF from https://www.asx.com.au/markets/company/CCL (look for Trading Halt and subsequent Placement announcement pair)</w:t>
      </w:r>
    </w:p>
    <w:p>
      <w:pPr>
        <w:pStyle w:val="ListBullet"/>
      </w:pPr>
      <w:r>
        <w:t>Search AFR Street Talk, Capital Brief for leaked use-of-proceeds</w:t>
      </w:r>
    </w:p>
    <w:p>
      <w:pPr>
        <w:pStyle w:val="ListBullet"/>
      </w:pPr>
      <w:r>
        <w:t>Check CCL ASX filings in the 30 days before for: trading halt, SPP terms sheet, or M&amp;A rumour</w:t>
      </w:r>
    </w:p>
    <w:p>
      <w:pPr>
        <w:pStyle w:val="ListBullet"/>
      </w:pPr>
      <w:r>
        <w:t>Look at CCL's major holders (2021 IPO vendors — Mastercard was a pre-IPO shareholder)</w:t>
      </w:r>
    </w:p>
    <w:p>
      <w:pPr>
        <w:pStyle w:val="ListBullet"/>
      </w:pPr>
      <w:r>
        <w:t>Short interest: ASIC short-position report for CCL in the 30 days before the raise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if** placement discount to last close &lt; 5% (tight pricing = strong demand, risks squeezing shorts)</w:t>
      </w:r>
    </w:p>
    <w:p>
      <w:pPr>
        <w:pStyle w:val="ListBullet"/>
      </w:pPr>
      <w:r>
        <w:t>**Kill if** proceeds are for an acquisition announced same day with clear EPS-accretion math</w:t>
      </w:r>
    </w:p>
    <w:p>
      <w:pPr>
        <w:pStyle w:val="ListBullet"/>
      </w:pPr>
      <w:r>
        <w:t>**Kill if** placement size &lt; 5% of shares outstanding (non-material dilution)</w:t>
      </w:r>
    </w:p>
    <w:p>
      <w:pPr>
        <w:pStyle w:val="ListBullet"/>
      </w:pPr>
      <w:r>
        <w:t>**Kill if** placement is 100% secondary (vendor sell-down) with the company receiving no cash (improves free float, arguably bullish)</w:t>
      </w:r>
    </w:p>
    <w:p>
      <w:pPr>
        <w:pStyle w:val="ListBullet"/>
      </w:pPr>
      <w:r>
        <w:t>**Kill if** 20-day ADV is dominated by the placement vendor (manipulable)</w:t>
      </w:r>
    </w:p>
    <w:p/>
    <w:p>
      <w:pPr>
        <w:pStyle w:val="Heading2"/>
      </w:pPr>
      <w:r>
        <w:t>Catalyst map</w:t>
      </w:r>
    </w:p>
    <w:p/>
    <w:p>
      <w:pPr>
        <w:pStyle w:val="ListBullet"/>
      </w:pPr>
      <w:r>
        <w:t>**Primary catalyst**: settlement and initial trading of new shares (typically T+2 post-placement)</w:t>
      </w:r>
    </w:p>
    <w:p>
      <w:pPr>
        <w:pStyle w:val="ListBullet"/>
      </w:pPr>
      <w:r>
        <w:t>**Secondary catalyst**: SPP (if any) pricing and completion — usually 3–4 weeks post-placement</w:t>
      </w:r>
    </w:p>
    <w:p>
      <w:pPr>
        <w:pStyle w:val="ListBullet"/>
      </w:pPr>
      <w:r>
        <w:t>**Tertiary catalyst**: next earnings release if proceeds earmarked for acquisition</w:t>
      </w:r>
    </w:p>
    <w:p>
      <w:pPr>
        <w:pStyle w:val="ListBullet"/>
      </w:pPr>
      <w:r>
        <w:t>**Window**: 0–60 days for placement overhang clearance</w:t>
      </w:r>
    </w:p>
    <w:p/>
    <w:p>
      <w:pPr>
        <w:pStyle w:val="Heading2"/>
      </w:pPr>
      <w:r>
        <w:t>Position sizing</w:t>
      </w:r>
    </w:p>
    <w:p/>
    <w:p>
      <w:r>
        <w:t>Placeholder — await deep-dive. CCL liquidity is modest for a sub-$600M AU stock; 20-day ADV check required. Target 0.5–1.0% net short on conviction.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Signal hash: `f0404a00d831cc855bc8d738ebb8ffd7ab15b931`</w:t>
      </w:r>
    </w:p>
    <w:p>
      <w:pPr>
        <w:pStyle w:val="ListBullet"/>
      </w:pPr>
      <w:r>
        <w:t>ASX documentKey: `2924-03078874-2A1666525`</w:t>
      </w:r>
    </w:p>
    <w:p>
      <w:pPr>
        <w:pStyle w:val="ListBullet"/>
      </w:pPr>
      <w:r>
        <w:t>Scanner: `asx` / Phase 3</w:t>
      </w:r>
    </w:p>
    <w:p>
      <w:pPr>
        <w:pStyle w:val="ListBullet"/>
      </w:pPr>
      <w:r>
        <w:t>Scan date: 2026-04-15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