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tenseQuote"/>
      </w:pPr>
      <w:r>
        <w:t>Non-US Discovery System · Deep-Dive · NOT INVESTMENT ADVICE · For human review before action.</w:t>
      </w:r>
    </w:p>
    <w:p>
      <w:pPr>
        <w:pStyle w:val="Heading1"/>
      </w:pPr>
      <w:r>
        <w:rPr>
          <w:color w:val="1E2A44"/>
        </w:rPr>
        <w:t>Intertek Group — ITRK.XLON</w:t>
      </w:r>
    </w:p>
    <w:p>
      <w:r>
        <w:rPr>
          <w:b w:val="0"/>
          <w:sz w:val="20"/>
        </w:rPr>
        <w:t>EQT Possible Offer (Rule 2.4) · 2026-04-16</w:t>
      </w:r>
    </w:p>
    <w:p>
      <w:pPr>
        <w:pStyle w:val="Heading2"/>
      </w:pPr>
      <w:r>
        <w:rPr>
          <w:color w:val="1E2A44"/>
        </w:rP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Ticker</w:t>
            </w:r>
          </w:p>
        </w:tc>
        <w:tc>
          <w:tcPr>
            <w:tcW w:type="dxa" w:w="4320"/>
          </w:tcPr>
          <w:p>
            <w:r>
              <w:t>ITRK.XLON (LSE Main Market, FTSE 100)</w:t>
            </w:r>
          </w:p>
        </w:tc>
      </w:tr>
      <w:tr>
        <w:tc>
          <w:tcPr>
            <w:tcW w:type="dxa" w:w="4320"/>
          </w:tcPr>
          <w:p>
            <w:r>
              <w:t>ISIN</w:t>
            </w:r>
          </w:p>
        </w:tc>
        <w:tc>
          <w:tcPr>
            <w:tcW w:type="dxa" w:w="4320"/>
          </w:tcPr>
          <w:p>
            <w:r>
              <w:t>GB0031638363</w:t>
            </w:r>
          </w:p>
        </w:tc>
      </w:tr>
      <w:tr>
        <w:tc>
          <w:tcPr>
            <w:tcW w:type="dxa" w:w="4320"/>
          </w:tcPr>
          <w:p>
            <w:r>
              <w:t>Market cap</w:t>
            </w:r>
          </w:p>
        </w:tc>
        <w:tc>
          <w:tcPr>
            <w:tcW w:type="dxa" w:w="4320"/>
          </w:tcPr>
          <w:p>
            <w:r>
              <w:t>GBP 6,631m / USD 8,422m</w:t>
            </w:r>
          </w:p>
        </w:tc>
      </w:tr>
      <w:tr>
        <w:tc>
          <w:tcPr>
            <w:tcW w:type="dxa" w:w="4320"/>
          </w:tcPr>
          <w:p>
            <w:r>
              <w:t>Signal date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Signal type</w:t>
            </w:r>
          </w:p>
        </w:tc>
        <w:tc>
          <w:tcPr>
            <w:tcW w:type="dxa" w:w="4320"/>
          </w:tcPr>
          <w:p>
            <w:r>
              <w:t>takeover_possible_offer (Rule 2.4)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LONG (target of possible PE take-private)</w:t>
            </w:r>
          </w:p>
        </w:tc>
      </w:tr>
      <w:tr>
        <w:tc>
          <w:tcPr>
            <w:tcW w:type="dxa" w:w="4320"/>
          </w:tcPr>
          <w:p>
            <w:r>
              <w:t>Score</w:t>
            </w:r>
          </w:p>
        </w:tc>
        <w:tc>
          <w:tcPr>
            <w:tcW w:type="dxa" w:w="4320"/>
          </w:tcPr>
          <w:p>
            <w:r>
              <w:t>28.0 / 42.5</w:t>
            </w:r>
          </w:p>
        </w:tc>
      </w:tr>
      <w:tr>
        <w:tc>
          <w:tcPr>
            <w:tcW w:type="dxa" w:w="4320"/>
          </w:tcPr>
          <w:p>
            <w:r>
              <w:t>Potential bidder</w:t>
            </w:r>
          </w:p>
        </w:tc>
        <w:tc>
          <w:tcPr>
            <w:tcW w:type="dxa" w:w="4320"/>
          </w:tcPr>
          <w:p>
            <w:r>
              <w:t>EQT (Swedish PE firm)</w:t>
            </w:r>
          </w:p>
        </w:tc>
      </w:tr>
      <w:tr>
        <w:tc>
          <w:tcPr>
            <w:tcW w:type="dxa" w:w="4320"/>
          </w:tcPr>
          <w:p>
            <w:r>
              <w:t>Undisturbed price</w:t>
            </w:r>
          </w:p>
        </w:tc>
        <w:tc>
          <w:tcPr>
            <w:tcW w:type="dxa" w:w="4320"/>
          </w:tcPr>
          <w:p>
            <w:r>
              <w:t>~3,679p (close 2026-04-08)</w:t>
            </w:r>
          </w:p>
        </w:tc>
      </w:tr>
      <w:tr>
        <w:tc>
          <w:tcPr>
            <w:tcW w:type="dxa" w:w="4320"/>
          </w:tcPr>
          <w:p>
            <w:r>
              <w:t>Current price</w:t>
            </w:r>
          </w:p>
        </w:tc>
        <w:tc>
          <w:tcPr>
            <w:tcW w:type="dxa" w:w="4320"/>
          </w:tcPr>
          <w:p>
            <w:r>
              <w:t>~4,292p (+12.4%)</w:t>
            </w:r>
          </w:p>
        </w:tc>
      </w:tr>
      <w:tr>
        <w:tc>
          <w:tcPr>
            <w:tcW w:type="dxa" w:w="4320"/>
          </w:tcPr>
          <w:p>
            <w:r>
              <w:t>PUSU deadline</w:t>
            </w:r>
          </w:p>
        </w:tc>
        <w:tc>
          <w:tcPr>
            <w:tcW w:type="dxa" w:w="4320"/>
          </w:tcPr>
          <w:p>
            <w:r>
              <w:t>2026-05-14</w:t>
            </w:r>
          </w:p>
        </w:tc>
      </w:tr>
    </w:tbl>
    <w:p>
      <w:pPr>
        <w:pStyle w:val="Heading2"/>
      </w:pPr>
      <w:r>
        <w:rPr>
          <w:color w:val="1E2A44"/>
        </w:rPr>
        <w:t>TL;DR</w:t>
      </w:r>
    </w:p>
    <w:p>
      <w:r>
        <w:rPr>
          <w:b w:val="0"/>
          <w:sz w:val="20"/>
        </w:rPr>
        <w:t>On 16 Apr 2026, Intertek Group (FTSE 100, mcap £6.6B) disclosed two Rule 2.4 announcements confirming EQT as a potential bidder. EQT made an indicative proposal which the board REJECTED on April 13 (three days after receipt on April 10), simultaneously announcing a strategic review to potentially split into two businesses (Testing &amp; Assurance and Energy &amp; Infrastructure). Shares jumped ~13% to 4,292p despite rejection. Market expects either revised bid or strategic-review value crystallisation. PUSU deadline: May 14, 2026. No offer price disclosed. Analyst consensus PTs: 4,300-6,750p (avg ~5,500p). Historical Rule 2.4→2.7 conversion rate ~55%. Conviction: WATCH with satellite sizing (1-3%).</w:t>
      </w:r>
    </w:p>
    <w:p>
      <w:pPr>
        <w:pStyle w:val="Heading2"/>
      </w:pPr>
      <w:r>
        <w:rPr>
          <w:color w:val="1E2A44"/>
        </w:rPr>
        <w:t>Company Context</w:t>
      </w:r>
    </w:p>
    <w:p>
      <w:r>
        <w:rPr>
          <w:b/>
          <w:sz w:val="20"/>
        </w:rPr>
        <w:t>Intertek Group: Global TIC (testing, inspection, certification) provider. FTSE 100. Peers: SGS, Bureau Veritas, Eurofins. Trades at ~20x FCF historically. UK-domiciled, GBP-denominated.</w:t>
      </w:r>
    </w:p>
    <w:p>
      <w:r>
        <w:rPr>
          <w:b w:val="0"/>
          <w:sz w:val="20"/>
        </w:rPr>
        <w:t>EQT: One of Europe's largest PE firms. EQT X fund focused on take-privates. Track record includes Nord Anglia Education (60% premium, 2008; value grew to $14.5B by 2025). 30-year track record: 2.7x realized gross multiple.</w:t>
      </w:r>
    </w:p>
    <w:p>
      <w:r>
        <w:rPr>
          <w:b w:val="0"/>
          <w:sz w:val="20"/>
        </w:rPr>
        <w:t>Strategic context: EQT understood to have a 'clear thesis' for separating the business. Intertek's simultaneous strategic review suggests prior dialogue more extensive than disclosed. TIC industry has seen ongoing consolidation discussions.</w:t>
      </w:r>
    </w:p>
    <w:p>
      <w:pPr>
        <w:pStyle w:val="Heading2"/>
      </w:pPr>
      <w:r>
        <w:rPr>
          <w:color w:val="1E2A44"/>
        </w:rPr>
        <w:t>Release Contents</w:t>
      </w:r>
    </w:p>
    <w:p>
      <w:r>
        <w:rPr>
          <w:b/>
          <w:sz w:val="20"/>
        </w:rPr>
        <w:t>Signal 1 (11:37 UTC): Intertek's initial 'Statement re possible offer' — Rule 2.4 disclosure.</w:t>
      </w:r>
    </w:p>
    <w:p>
      <w:r>
        <w:rPr>
          <w:b w:val="0"/>
          <w:sz w:val="20"/>
        </w:rPr>
        <w:t>Signal 2 (13:39 UTC): 'Response to possible offer announcement by EQT' — naming EQT as potential offeror.</w:t>
      </w:r>
    </w:p>
    <w:p>
      <w:r>
        <w:rPr>
          <w:b w:val="0"/>
          <w:sz w:val="20"/>
        </w:rPr>
        <w:t>Board received indicative proposal April 10, rejected April 13. Simultaneously announced strategic review for potential separation into two businesses. No offer price publicly disclosed.</w:t>
      </w:r>
    </w:p>
    <w:p>
      <w:pPr>
        <w:pStyle w:val="Heading2"/>
      </w:pPr>
      <w:r>
        <w:rPr>
          <w:color w:val="1E2A44"/>
        </w:rPr>
        <w:t>Thesis Statement</w:t>
      </w:r>
    </w:p>
    <w:p>
      <w:r>
        <w:rPr>
          <w:b w:val="0"/>
          <w:sz w:val="20"/>
        </w:rPr>
        <w:t>Intertek is a high-quality FTSE 100 TIC business approached by EQT, a credible PE buyer. Board rejection plus strategic review creates multi-path value crystallisation: (a) EQT returns with higher bid before May 14 PUSU deadline, (b) strategic review unlocks sum-of-parts premium, (c) EQT walks and stock trades back to ~3,679p undisturbed. ~55% conversion rate means meaningful walk-away risk. At 4,292p, market has priced ~16% of potential upside; firm offer at ~5,500p consensus = ~28% further upside. Sizing 1-3% satellite reflects elevated completion uncertainty vs Rule 2.7.</w:t>
      </w:r>
    </w:p>
    <w:p>
      <w:pPr>
        <w:pStyle w:val="Heading2"/>
      </w:pPr>
      <w:r>
        <w:rPr>
          <w:color w:val="1E2A44"/>
        </w:rPr>
        <w:t>Catalyst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Date/Window</w:t>
            </w:r>
          </w:p>
        </w:tc>
        <w:tc>
          <w:tcPr>
            <w:tcW w:type="dxa" w:w="2160"/>
          </w:tcPr>
          <w:p>
            <w:r>
              <w:t>Entry trigger</w:t>
            </w:r>
          </w:p>
        </w:tc>
        <w:tc>
          <w:tcPr>
            <w:tcW w:type="dxa" w:w="2160"/>
          </w:tcPr>
          <w:p>
            <w:r>
              <w:t>Exit trigger</w:t>
            </w:r>
          </w:p>
        </w:tc>
      </w:tr>
      <w:tr>
        <w:tc>
          <w:tcPr>
            <w:tcW w:type="dxa" w:w="2160"/>
          </w:tcPr>
          <w:p>
            <w:r>
              <w:t>EQT Rule 2.4</w:t>
            </w:r>
          </w:p>
        </w:tc>
        <w:tc>
          <w:tcPr>
            <w:tcW w:type="dxa" w:w="2160"/>
          </w:tcPr>
          <w:p>
            <w:r>
              <w:t>2026-04-16 (done)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Intertek board response</w:t>
            </w:r>
          </w:p>
        </w:tc>
        <w:tc>
          <w:tcPr>
            <w:tcW w:type="dxa" w:w="2160"/>
          </w:tcPr>
          <w:p>
            <w:r>
              <w:t>2026-04-16 (done)</w:t>
            </w:r>
          </w:p>
        </w:tc>
        <w:tc>
          <w:tcPr>
            <w:tcW w:type="dxa" w:w="2160"/>
          </w:tcPr>
          <w:p>
            <w:r>
              <w:t>Entry on reopen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PUSU deadline</w:t>
            </w:r>
          </w:p>
        </w:tc>
        <w:tc>
          <w:tcPr>
            <w:tcW w:type="dxa" w:w="2160"/>
          </w:tcPr>
          <w:p>
            <w:r>
              <w:t>2026-05-14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Kill if lapse</w:t>
            </w:r>
          </w:p>
        </w:tc>
      </w:tr>
      <w:tr>
        <w:tc>
          <w:tcPr>
            <w:tcW w:type="dxa" w:w="2160"/>
          </w:tcPr>
          <w:p>
            <w:r>
              <w:t>PUSU extension</w:t>
            </w:r>
          </w:p>
        </w:tc>
        <w:tc>
          <w:tcPr>
            <w:tcW w:type="dxa" w:w="2160"/>
          </w:tcPr>
          <w:p>
            <w:r>
              <w:t>If granted, +28d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Rule 2.7 firm offer</w:t>
            </w:r>
          </w:p>
        </w:tc>
        <w:tc>
          <w:tcPr>
            <w:tcW w:type="dxa" w:w="2160"/>
          </w:tcPr>
          <w:p>
            <w:r>
              <w:t>T+28 to T+56</w:t>
            </w:r>
          </w:p>
        </w:tc>
        <w:tc>
          <w:tcPr>
            <w:tcW w:type="dxa" w:w="2160"/>
          </w:tcPr>
          <w:p>
            <w:r>
              <w:t>Re-underwrite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Strategic review outcome</w:t>
            </w:r>
          </w:p>
        </w:tc>
        <w:tc>
          <w:tcPr>
            <w:tcW w:type="dxa" w:w="2160"/>
          </w:tcPr>
          <w:p>
            <w:r>
              <w:t>H2 2026 est.</w:t>
            </w:r>
          </w:p>
        </w:tc>
        <w:tc>
          <w:tcPr>
            <w:tcW w:type="dxa" w:w="2160"/>
          </w:tcPr>
          <w:p>
            <w:r>
              <w:t>Separation premium</w:t>
            </w:r>
          </w:p>
        </w:tc>
        <w:tc>
          <w:tcPr>
            <w:tcW w:type="dxa" w:w="2160"/>
          </w:tcPr>
          <w:p>
            <w:r>
              <w:t>Standalone floor</w:t>
            </w:r>
          </w:p>
        </w:tc>
      </w:tr>
      <w:tr>
        <w:tc>
          <w:tcPr>
            <w:tcW w:type="dxa" w:w="2160"/>
          </w:tcPr>
          <w:p>
            <w:r>
              <w:t>Scheme / shareholder vote</w:t>
            </w:r>
          </w:p>
        </w:tc>
        <w:tc>
          <w:tcPr>
            <w:tcW w:type="dxa" w:w="2160"/>
          </w:tcPr>
          <w:p>
            <w:r>
              <w:t>T+90 to T+120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2"/>
      </w:pPr>
      <w:r>
        <w:rPr>
          <w:color w:val="1E2A44"/>
        </w:rPr>
        <w:t>Steelman of the Opposite View</w:t>
      </w:r>
    </w:p>
    <w:p>
      <w:r>
        <w:rPr>
          <w:b w:val="0"/>
          <w:sz w:val="20"/>
        </w:rPr>
        <w:t>• Rule 2.4 walk-away (~45% base rate): ITRK drifts to ~3,679p — ~14% downside from current.</w:t>
        <w:br/>
        <w:t>• Valuation ceiling: PE may be priced out at 30%+ premium. ~20x FCF already rich.</w:t>
        <w:br/>
        <w:t>• Financing risk: ~£6.6B EV is a very large PE deal. Debt markets may not support.</w:t>
        <w:br/>
        <w:t>• Board rejection is genuine: strategic review is preferred path, not negotiation tactic.</w:t>
        <w:br/>
        <w:t>• Regulatory: CMA, EU competition, potentially US HSR. Secondary risk but must be mapped.</w:t>
      </w:r>
    </w:p>
    <w:p>
      <w:pPr>
        <w:pStyle w:val="Heading2"/>
      </w:pPr>
      <w:r>
        <w:rPr>
          <w:color w:val="1E2A44"/>
        </w:rPr>
        <w:t>Kill Conditions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Kill 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Observable</w:t>
            </w:r>
          </w:p>
        </w:tc>
      </w:tr>
      <w:tr>
        <w:tc>
          <w:tcPr>
            <w:tcW w:type="dxa" w:w="2880"/>
          </w:tcPr>
          <w:p>
            <w:r>
              <w:t>K1: EQT Rule 2.8 lapse</w:t>
            </w:r>
          </w:p>
        </w:tc>
        <w:tc>
          <w:tcPr>
            <w:tcW w:type="dxa" w:w="2880"/>
          </w:tcPr>
          <w:p>
            <w:r>
              <w:t>Confirms will not proceed</w:t>
            </w:r>
          </w:p>
        </w:tc>
        <w:tc>
          <w:tcPr>
            <w:tcW w:type="dxa" w:w="2880"/>
          </w:tcPr>
          <w:p>
            <w:r>
              <w:t>RNS by 2026-05-14</w:t>
            </w:r>
          </w:p>
        </w:tc>
      </w:tr>
      <w:tr>
        <w:tc>
          <w:tcPr>
            <w:tcW w:type="dxa" w:w="2880"/>
          </w:tcPr>
          <w:p>
            <w:r>
              <w:t>K2: Board terminates discussions</w:t>
            </w:r>
          </w:p>
        </w:tc>
        <w:tc>
          <w:tcPr>
            <w:tcW w:type="dxa" w:w="2880"/>
          </w:tcPr>
          <w:p>
            <w:r>
              <w:t>No agreed terms</w:t>
            </w:r>
          </w:p>
        </w:tc>
        <w:tc>
          <w:tcPr>
            <w:tcW w:type="dxa" w:w="2880"/>
          </w:tcPr>
          <w:p>
            <w:r>
              <w:t>RNS</w:t>
            </w:r>
          </w:p>
        </w:tc>
      </w:tr>
      <w:tr>
        <w:tc>
          <w:tcPr>
            <w:tcW w:type="dxa" w:w="2880"/>
          </w:tcPr>
          <w:p>
            <w:r>
              <w:t>K3: Price indication too low</w:t>
            </w:r>
          </w:p>
        </w:tc>
        <w:tc>
          <w:tcPr>
            <w:tcW w:type="dxa" w:w="2880"/>
          </w:tcPr>
          <w:p>
            <w:r>
              <w:t>&lt;15% premium to undisturbed</w:t>
            </w:r>
          </w:p>
        </w:tc>
        <w:tc>
          <w:tcPr>
            <w:tcW w:type="dxa" w:w="2880"/>
          </w:tcPr>
          <w:p>
            <w:r>
              <w:t>RNS / press</w:t>
            </w:r>
          </w:p>
        </w:tc>
      </w:tr>
      <w:tr>
        <w:tc>
          <w:tcPr>
            <w:tcW w:type="dxa" w:w="2880"/>
          </w:tcPr>
          <w:p>
            <w:r>
              <w:t>K4: Financing seizure</w:t>
            </w:r>
          </w:p>
        </w:tc>
        <w:tc>
          <w:tcPr>
            <w:tcW w:type="dxa" w:w="2880"/>
          </w:tcPr>
          <w:p>
            <w:r>
              <w:t>Debt market closes for large-cap PE</w:t>
            </w:r>
          </w:p>
        </w:tc>
        <w:tc>
          <w:tcPr>
            <w:tcW w:type="dxa" w:w="2880"/>
          </w:tcPr>
          <w:p>
            <w:r>
              <w:t>Market conditions</w:t>
            </w:r>
          </w:p>
        </w:tc>
      </w:tr>
      <w:tr>
        <w:tc>
          <w:tcPr>
            <w:tcW w:type="dxa" w:w="2880"/>
          </w:tcPr>
          <w:p>
            <w:r>
              <w:t>K5: Competing bidder</w:t>
            </w:r>
          </w:p>
        </w:tc>
        <w:tc>
          <w:tcPr>
            <w:tcW w:type="dxa" w:w="2880"/>
          </w:tcPr>
          <w:p>
            <w:r>
              <w:t>Interloper at higher terms</w:t>
            </w:r>
          </w:p>
        </w:tc>
        <w:tc>
          <w:tcPr>
            <w:tcW w:type="dxa" w:w="2880"/>
          </w:tcPr>
          <w:p>
            <w:r>
              <w:t>RNS (may be upside)</w:t>
            </w:r>
          </w:p>
        </w:tc>
      </w:tr>
    </w:tbl>
    <w:p>
      <w:pPr>
        <w:pStyle w:val="Heading2"/>
      </w:pPr>
      <w:r>
        <w:rPr>
          <w:color w:val="1E2A44"/>
        </w:rPr>
        <w:t>Peer Comparables</w:t>
      </w:r>
    </w:p>
    <w:p>
      <w:r>
        <w:rPr>
          <w:b w:val="0"/>
          <w:sz w:val="20"/>
        </w:rPr>
        <w:t>• EQT/Dechra (2023): UK take-private at 44% premium after initial board resistance. ~6 months to close.</w:t>
        <w:br/>
        <w:t>• Apax/Evelyn Partners (2024): UK mid-cap PE at 30% premium. Board engaged after initial rejection.</w:t>
        <w:br/>
        <w:t>• TIC industry: SGS attempted BV merger in 2022 — collapsed on valuation.</w:t>
        <w:br/>
        <w:t>• EQT/Nord Anglia (2008): 60% premium take-private; value grew to $14.5B by 2025.</w:t>
      </w:r>
    </w:p>
    <w:p>
      <w:pPr>
        <w:pStyle w:val="Heading2"/>
      </w:pPr>
      <w:r>
        <w:rPr>
          <w:color w:val="1E2A44"/>
        </w:rPr>
        <w:t>Position Sizing</w:t>
      </w:r>
    </w:p>
    <w:p>
      <w:r>
        <w:rPr>
          <w:b w:val="0"/>
          <w:sz w:val="20"/>
        </w:rPr>
        <w:t>Satellite (1-3%). Rule 2.4 conversion rate ~55% vs ~90% for Rule 2.7. Size smaller than firm-offer arb. ITRK liquidity is excellent (FTSE 100). Downside to undisturbed: ~14%. Upside to consensus PT: ~28%. Risk-reward ~2:1 at satellite sizing, with coin-flip conversion probability.</w:t>
      </w:r>
    </w:p>
    <w:p>
      <w:pPr>
        <w:pStyle w:val="Heading2"/>
      </w:pPr>
      <w:r>
        <w:rPr>
          <w:color w:val="1E2A44"/>
        </w:rPr>
        <w:t>Sources</w:t>
      </w:r>
    </w:p>
    <w:p>
      <w:r>
        <w:rPr>
          <w:b w:val="0"/>
          <w:sz w:val="20"/>
        </w:rPr>
        <w:t>• Investegate: Statement re possible offer (RNS, 2026-04-16 11:37 UTC)</w:t>
        <w:br/>
        <w:t>• Investegate: Response to possible offer by EQT (RNS, 2026-04-16 13:39 UTC)</w:t>
        <w:br/>
        <w:t>• Investing.com, Stocksguide, Bloomberg coverage</w:t>
        <w:br/>
        <w:t>• signal_ids: d0175731827b3fbeca24c49039a1425d, 52c36d90dd51433b1d2caffde1fa6564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