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2A44"/>
        </w:rPr>
        <w:t>Predictive Discovery Limited — PDI.XASX</w:t>
      </w:r>
    </w:p>
    <w:p>
      <w:r>
        <w:rPr>
          <w:i/>
          <w:color w:val="666666"/>
          <w:sz w:val="18"/>
        </w:rPr>
        <w:t>Merger implementation (Robex Resources scheme of arrangement) · deep-dive · 2026-04-16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Ticker</w:t>
            </w:r>
          </w:p>
        </w:tc>
        <w:tc>
          <w:tcPr>
            <w:tcW w:type="dxa" w:w="4320"/>
          </w:tcPr>
          <w:p>
            <w:r>
              <w:t>PDI.XASX (ASX)</w:t>
            </w:r>
          </w:p>
        </w:tc>
      </w:tr>
      <w:tr>
        <w:tc>
          <w:tcPr>
            <w:tcW w:type="dxa" w:w="4320"/>
          </w:tcPr>
          <w:p>
            <w:r>
              <w:t>Counterparty</w:t>
            </w:r>
          </w:p>
        </w:tc>
        <w:tc>
          <w:tcPr>
            <w:tcW w:type="dxa" w:w="4320"/>
          </w:tcPr>
          <w:p>
            <w:r>
              <w:t>Robex Resources Inc. (TSX-V: RBX)</w:t>
            </w:r>
          </w:p>
        </w:tc>
      </w:tr>
      <w:tr>
        <w:tc>
          <w:tcPr>
            <w:tcW w:type="dxa" w:w="4320"/>
          </w:tcPr>
          <w:p>
            <w:r>
              <w:t>Issuer FIGI</w:t>
            </w:r>
          </w:p>
        </w:tc>
        <w:tc>
          <w:tcPr>
            <w:tcW w:type="dxa" w:w="4320"/>
          </w:tcPr>
          <w:p>
            <w:r>
              <w:t>BBG0017X3YM5</w:t>
            </w:r>
          </w:p>
        </w:tc>
      </w:tr>
      <w:tr>
        <w:tc>
          <w:tcPr>
            <w:tcW w:type="dxa" w:w="4320"/>
          </w:tcPr>
          <w:p>
            <w:r>
              <w:t>Market cap</w:t>
            </w:r>
          </w:p>
        </w:tc>
        <w:tc>
          <w:tcPr>
            <w:tcW w:type="dxa" w:w="4320"/>
          </w:tcPr>
          <w:p>
            <w:r>
              <w:t>USD ~1,782m (AUD ~2,700m at 0.66 AUDUSD)</w:t>
            </w:r>
          </w:p>
        </w:tc>
      </w:tr>
      <w:tr>
        <w:tc>
          <w:tcPr>
            <w:tcW w:type="dxa" w:w="4320"/>
          </w:tcPr>
          <w:p>
            <w:r>
              <w:t>Signal date</w:t>
            </w:r>
          </w:p>
        </w:tc>
        <w:tc>
          <w:tcPr>
            <w:tcW w:type="dxa" w:w="4320"/>
          </w:tcPr>
          <w:p>
            <w:r>
              <w:t>2026-04-15 (ASX announcement 2924-03079443-6A1320718)</w:t>
            </w:r>
          </w:p>
        </w:tc>
      </w:tr>
      <w:tr>
        <w:tc>
          <w:tcPr>
            <w:tcW w:type="dxa" w:w="4320"/>
          </w:tcPr>
          <w:p>
            <w:r>
              <w:t>Signal type</w:t>
            </w:r>
          </w:p>
        </w:tc>
        <w:tc>
          <w:tcPr>
            <w:tcW w:type="dxa" w:w="4320"/>
          </w:tcPr>
          <w:p>
            <w:r>
              <w:t>merger_agreement (scheme of arrangement)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LONG merger-arb (buy PDI + sell RBX ratio-adjusted) — OR — no-trade procedural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28.0 (immediate route)</w:t>
            </w:r>
          </w:p>
        </w:tc>
      </w:tr>
      <w:tr>
        <w:tc>
          <w:tcPr>
            <w:tcW w:type="dxa" w:w="4320"/>
          </w:tcPr>
          <w:p>
            <w:r>
              <w:t>Deep-dive date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</w:tbl>
    <w:p/>
    <w:p>
      <w:pPr>
        <w:pStyle w:val="Heading2"/>
      </w:pPr>
      <w:r>
        <w:t>Thesis (TL;DR)</w:t>
      </w:r>
    </w:p>
    <w:p>
      <w:r>
        <w:t>Predictive Discovery (PDI.XASX) and Robex Resources (RBX.TSXV) are completing a merger-of-equals announced October 5, 2025, via a Quebec statutory plan of arrangement. As of April 8, 2026, ALL conditions precedent have been satisfied — including Guinea Mining Ministry in-principle approval, Robex shareholder approval (Dec 30, 2025), and PDI conditional TSX listing approval. The transaction is now UNCONDITIONAL with an effective/implementation date of approximately April 15, 2026 and an outside date of April 30, 2026. Exchange ratio: 7.862 PDI shares per Robex share/CDI. Post-close, Robex CDIs will be removed from ASX quotation; PDI continues on ASX and commences trading on TSX under ticker 'PDI'. Combined entity targets 400,000+ oz annual gold production by 2029, anchored by Bankan (Guinea, ~5 Moz resource) and Kiniero (Guinea, Robex producing mine). At PDI A$0.855 and RBX C$6.66 with AUDCAD ~0.90, the implied Robex-equivalent via PDI is ~A$6.72 vs RBX spot A$6.66 (adjusted), leaving a negligible ~0.9% arb spread — consistent with a deal in final implementation. PRIMARY FINDING: This is a late-stage procedural update, not a new economic event. The merger is functionally done. Tradeable alpha is minimal unless gold spot moves create a temporary dislocation between the two legs.</w:t>
      </w:r>
    </w:p>
    <w:p>
      <w:pPr>
        <w:pStyle w:val="Heading2"/>
      </w:pPr>
      <w:r>
        <w:t>Company Context</w:t>
      </w:r>
    </w:p>
    <w:p>
      <w:r>
        <w:t>Predictive Discovery Limited is an Australia-listed gold exploration/development company. Primary asset: Bankan Gold Project in the Siguiri Basin, Guinea, with ~5 Moz indicated+inferred gold resource and DFS-estimated production of ~250,000 oz/year over a 12-year mine life.</w:t>
      </w:r>
    </w:p>
    <w:p>
      <w:r>
        <w:t>Robex Resources Inc. is a Quebec-domiciled gold producer listed on TSX-V (RBX) with CDIs on ASX. Operating the Nampala mine in Mali and developing the Kiniero project in Guinea. Market cap ~C$500m.</w:t>
      </w:r>
    </w:p>
    <w:p>
      <w:r>
        <w:t>Combined entity: targets 400,000+ oz annual production by 2029, creating a significant West African gold platform. The merger de-risks Bankan financing by leveraging Robex's Kiniero cash flows.</w:t>
      </w:r>
    </w:p>
    <w:p>
      <w:r>
        <w:t>Arrangement Agreement dated October 5, 2025, subsequently amended. Implementation via Quebec Business Corporations Act statutory plan of arrangement.</w:t>
      </w:r>
    </w:p>
    <w:p>
      <w:r>
        <w:t>Key holders: PDI has a mix of Australian retail, mining-specialist funds (Van Eck, Sprott, Franklin). Robex has Canadian institutional and Quebec-based holders. Register composition may shift post-close.</w:t>
      </w:r>
    </w:p>
    <w:p>
      <w:pPr>
        <w:pStyle w:val="Heading2"/>
      </w:pPr>
      <w:r>
        <w:t>What the Release Actually Contains</w:t>
      </w:r>
    </w:p>
    <w:p>
      <w:r>
        <w:t>The April 15 ASX announcement (document 2924-03079443-6A1320718) titled 'PDI &amp; Robex Merger Update' confirms the transaction is proceeding to implementation. isPriceSensitive=false on the ASX filing, which is unusual for scheme-of-arrangement updates but consistent with the deal being already unconditional.</w:t>
      </w:r>
    </w:p>
    <w:p>
      <w:r>
        <w:t>Prior April 8 announcement confirmed ALL conditions precedent satisfied: Guinea Minister of Mines in-principle approval (with customary tax/admin conditions in ordinary course), Robex shareholder approval (Dec 30, 2025), and PDI conditional TSX listing approval.</w:t>
      </w:r>
    </w:p>
    <w:p>
      <w:r>
        <w:t>Exchange ratio: 7.862 PDI shares per Robex share or CDI. No cash component. Pure share-for-share.</w:t>
      </w:r>
    </w:p>
    <w:p>
      <w:r>
        <w:t>Outside date: extended to April 30, 2026, providing a 2-week buffer from the ~April 15 effective date.</w:t>
      </w:r>
    </w:p>
    <w:p>
      <w:r>
        <w:t>Post-implementation: Robex CDIs removed from ASX quotation. PDI continues on ASX; TSX listing under 'PDI' expected to commence shortly after implementation.</w:t>
      </w:r>
    </w:p>
    <w:p>
      <w:r>
        <w:t>Implementation timetable published April 9 (GlobeNewswire) details the procedural steps remaining.</w:t>
      </w:r>
    </w:p>
    <w:p>
      <w:pPr>
        <w:pStyle w:val="Heading2"/>
      </w:pPr>
      <w:r>
        <w:t>Thesis Statement</w:t>
      </w:r>
    </w:p>
    <w:p>
      <w:r>
        <w:t>This is a LATE-STAGE MERGER IMPLEMENTATION with effectively zero conditionality risk. The merger is unconditional and the effective date has already arrived (~April 15). From a merger-arb perspective, the opportunity set is extremely narrow: the PDI/RBX cross-ratio at current prices implies &lt;1% spread, and execution friction (cross-currency AUD/CAD, thin Robex TSX-V liquidity, settlement timing) likely exceeds the gross spread.</w:t>
      </w:r>
    </w:p>
    <w:p>
      <w:r>
        <w:t>The thesis recommendation is DO NOTHING from a merger-arb standpoint — the deal is done. The interesting forward question is whether the combined PDI entity is a compelling standalone gold-producer investment: ~5+ Moz resource, path to 400 koz/year production, dual ASX+TSX listing broadening the buyer base, Kiniero cash flows funding Bankan development capex. Gold at ~$3,200/oz (April 2026) provides a strong macro tailwind. However, that is a fundamental gold-equity thesis, not an event-driven merger-arb thesis, and falls outside the scope of this discovery system.</w:t>
      </w:r>
    </w:p>
    <w:p>
      <w:r>
        <w:t>Scanner classification: The signal was correctly routed as 'immediate' (score 28.0) — the scanner pattern-matched 'merger' in the title. However, the signal's alpha content is near-zero because the April 15 announcement is a procedural update on an already-unconditional deal, not a new binding agreement or amendment to economic terms. This is consistent with Kill Condition #1.</w:t>
      </w:r>
    </w:p>
    <w:p>
      <w:pPr>
        <w:pStyle w:val="Heading2"/>
      </w:pPr>
      <w:r>
        <w:t>Catalyst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 / Window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Entry 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Exit / resolution</w:t>
            </w:r>
          </w:p>
        </w:tc>
      </w:tr>
      <w:tr>
        <w:tc>
          <w:tcPr>
            <w:tcW w:type="dxa" w:w="2160"/>
          </w:tcPr>
          <w:p>
            <w:r>
              <w:t>Merger effective date</w:t>
            </w:r>
          </w:p>
        </w:tc>
        <w:tc>
          <w:tcPr>
            <w:tcW w:type="dxa" w:w="2160"/>
          </w:tcPr>
          <w:p>
            <w:r>
              <w:t>~2026-04-15</w:t>
            </w:r>
          </w:p>
        </w:tc>
        <w:tc>
          <w:tcPr>
            <w:tcW w:type="dxa" w:w="2160"/>
          </w:tcPr>
          <w:p>
            <w:r>
              <w:t>N/A (already arrived)</w:t>
            </w:r>
          </w:p>
        </w:tc>
        <w:tc>
          <w:tcPr>
            <w:tcW w:type="dxa" w:w="2160"/>
          </w:tcPr>
          <w:p>
            <w:r>
              <w:t>Shares exchanged; arb closes</w:t>
            </w:r>
          </w:p>
        </w:tc>
      </w:tr>
      <w:tr>
        <w:tc>
          <w:tcPr>
            <w:tcW w:type="dxa" w:w="2160"/>
          </w:tcPr>
          <w:p>
            <w:r>
              <w:t>Robex CDI removal from ASX</w:t>
            </w:r>
          </w:p>
        </w:tc>
        <w:tc>
          <w:tcPr>
            <w:tcW w:type="dxa" w:w="2160"/>
          </w:tcPr>
          <w:p>
            <w:r>
              <w:t>Post-implementation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 more ASX arb leg</w:t>
            </w:r>
          </w:p>
        </w:tc>
      </w:tr>
      <w:tr>
        <w:tc>
          <w:tcPr>
            <w:tcW w:type="dxa" w:w="2160"/>
          </w:tcPr>
          <w:p>
            <w:r>
              <w:t>PDI TSX listing commencement</w:t>
            </w:r>
          </w:p>
        </w:tc>
        <w:tc>
          <w:tcPr>
            <w:tcW w:type="dxa" w:w="2160"/>
          </w:tcPr>
          <w:p>
            <w:r>
              <w:t>Post-implementation</w:t>
            </w:r>
          </w:p>
        </w:tc>
        <w:tc>
          <w:tcPr>
            <w:tcW w:type="dxa" w:w="2160"/>
          </w:tcPr>
          <w:p>
            <w:r>
              <w:t>Dual-listing broadens buyer base</w:t>
            </w:r>
          </w:p>
        </w:tc>
        <w:tc>
          <w:tcPr>
            <w:tcW w:type="dxa" w:w="2160"/>
          </w:tcPr>
          <w:p>
            <w:r>
              <w:t>Monitor for listing-day flow</w:t>
            </w:r>
          </w:p>
        </w:tc>
      </w:tr>
      <w:tr>
        <w:tc>
          <w:tcPr>
            <w:tcW w:type="dxa" w:w="2160"/>
          </w:tcPr>
          <w:p>
            <w:r>
              <w:t>Outside date</w:t>
            </w:r>
          </w:p>
        </w:tc>
        <w:tc>
          <w:tcPr>
            <w:tcW w:type="dxa" w:w="2160"/>
          </w:tcPr>
          <w:p>
            <w:r>
              <w:t>2026-04-30</w:t>
            </w:r>
          </w:p>
        </w:tc>
        <w:tc>
          <w:tcPr>
            <w:tcW w:type="dxa" w:w="2160"/>
          </w:tcPr>
          <w:p>
            <w:r>
              <w:t>Backstop — if implementation delayed</w:t>
            </w:r>
          </w:p>
        </w:tc>
        <w:tc>
          <w:tcPr>
            <w:tcW w:type="dxa" w:w="2160"/>
          </w:tcPr>
          <w:p>
            <w:r>
              <w:t>Deal terminates if breached</w:t>
            </w:r>
          </w:p>
        </w:tc>
      </w:tr>
      <w:tr>
        <w:tc>
          <w:tcPr>
            <w:tcW w:type="dxa" w:w="2160"/>
          </w:tcPr>
          <w:p>
            <w:r>
              <w:t>Guinea Mining Ministry final clearance</w:t>
            </w:r>
          </w:p>
        </w:tc>
        <w:tc>
          <w:tcPr>
            <w:tcW w:type="dxa" w:w="2160"/>
          </w:tcPr>
          <w:p>
            <w:r>
              <w:t>In ordinary course</w:t>
            </w:r>
          </w:p>
        </w:tc>
        <w:tc>
          <w:tcPr>
            <w:tcW w:type="dxa" w:w="2160"/>
          </w:tcPr>
          <w:p>
            <w:r>
              <w:t>Customary conditions progressing</w:t>
            </w:r>
          </w:p>
        </w:tc>
        <w:tc>
          <w:tcPr>
            <w:tcW w:type="dxa" w:w="2160"/>
          </w:tcPr>
          <w:p>
            <w:r>
              <w:t>Delay risk (low)</w:t>
            </w:r>
          </w:p>
        </w:tc>
      </w:tr>
      <w:tr>
        <w:tc>
          <w:tcPr>
            <w:tcW w:type="dxa" w:w="2160"/>
          </w:tcPr>
          <w:p>
            <w:r>
              <w:t>Post-merger resource update / DFS refresh</w:t>
            </w:r>
          </w:p>
        </w:tc>
        <w:tc>
          <w:tcPr>
            <w:tcW w:type="dxa" w:w="2160"/>
          </w:tcPr>
          <w:p>
            <w:r>
              <w:t>H2 2026 expected</w:t>
            </w:r>
          </w:p>
        </w:tc>
        <w:tc>
          <w:tcPr>
            <w:tcW w:type="dxa" w:w="2160"/>
          </w:tcPr>
          <w:p>
            <w:r>
              <w:t>Combined resource statement</w:t>
            </w:r>
          </w:p>
        </w:tc>
        <w:tc>
          <w:tcPr>
            <w:tcW w:type="dxa" w:w="2160"/>
          </w:tcPr>
          <w:p>
            <w:r>
              <w:t>Fundamental re-rating catalyst</w:t>
            </w:r>
          </w:p>
        </w:tc>
      </w:tr>
      <w:tr>
        <w:tc>
          <w:tcPr>
            <w:tcW w:type="dxa" w:w="2160"/>
          </w:tcPr>
          <w:p>
            <w:r>
              <w:t>Gold spot moves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  <w:tc>
          <w:tcPr>
            <w:tcW w:type="dxa" w:w="2160"/>
          </w:tcPr>
          <w:p>
            <w:r>
              <w:t>&gt;$3,400 supports premium</w:t>
            </w:r>
          </w:p>
        </w:tc>
        <w:tc>
          <w:tcPr>
            <w:tcW w:type="dxa" w:w="2160"/>
          </w:tcPr>
          <w:p>
            <w:r>
              <w:t>&lt;$2,800 pressures equity valuation</w:t>
            </w:r>
          </w:p>
        </w:tc>
      </w:tr>
    </w:tbl>
    <w:p>
      <w:pPr>
        <w:pStyle w:val="Heading2"/>
      </w:pPr>
      <w:r>
        <w:t>Steelman of the Opposite View</w:t>
      </w:r>
    </w:p>
    <w:p>
      <w:r>
        <w:t>• Procedural = no trade: The April 15 announcement is a pure implementation update. isPriceSensitive=false confirms the ASX itself does not consider this to contain new price-material information. Scanner false-positive on the \bmerger\b pattern.</w:t>
      </w:r>
    </w:p>
    <w:p>
      <w:r>
        <w:t>• Arb spread is already closed: With &lt;1% implied spread and cross-currency execution friction, there is no positive-expectancy merger-arb trade here. The market has fully priced the deal completion.</w:t>
      </w:r>
    </w:p>
    <w:p>
      <w:r>
        <w:t>• Gold tape dominance: Any short-term P&amp;L on either leg will be dominated by gold spot moves (PDI has ~0.8-1.0 beta to gold). The arb is not insulated from underlying.</w:t>
      </w:r>
    </w:p>
    <w:p>
      <w:r>
        <w:t>• Post-close forced selling: Australian index-linked funds may be forced sellers of Robex CDIs being removed from ASX quotation. TSX-listing flow dynamics are uncertain — could create negative drift on the combined PDI entity in the first 2-4 weeks post-implementation.</w:t>
      </w:r>
    </w:p>
    <w:p>
      <w:r>
        <w:t>• Guinea country risk persists: Mining-code reforms, state-participation demands (2022-2024), and geopolitical risk in the Siguiri basin are ongoing. The in-principle approval comes with customary tax/admin conditions that are stated to be in 'ordinary course' but have not yet been finalized.</w:t>
      </w:r>
    </w:p>
    <w:p>
      <w:pPr>
        <w:pStyle w:val="Heading2"/>
      </w:pPr>
      <w:r>
        <w:t>Kill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Kill 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Numeric / factual 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observable</w:t>
            </w:r>
          </w:p>
        </w:tc>
      </w:tr>
      <w:tr>
        <w:tc>
          <w:tcPr>
            <w:tcW w:type="dxa" w:w="2880"/>
          </w:tcPr>
          <w:p>
            <w:r>
              <w:t>K1: Procedural update only</w:t>
            </w:r>
          </w:p>
        </w:tc>
        <w:tc>
          <w:tcPr>
            <w:tcW w:type="dxa" w:w="2880"/>
          </w:tcPr>
          <w:p>
            <w:r>
              <w:t>isPriceSensitive=false; no new economic terms</w:t>
            </w:r>
          </w:p>
        </w:tc>
        <w:tc>
          <w:tcPr>
            <w:tcW w:type="dxa" w:w="2880"/>
          </w:tcPr>
          <w:p>
            <w:r>
              <w:t>ASX announcement — TRIGGERED</w:t>
            </w:r>
          </w:p>
        </w:tc>
      </w:tr>
      <w:tr>
        <w:tc>
          <w:tcPr>
            <w:tcW w:type="dxa" w:w="2880"/>
          </w:tcPr>
          <w:p>
            <w:r>
              <w:t>K2: Arb spread &lt; 3% annualized</w:t>
            </w:r>
          </w:p>
        </w:tc>
        <w:tc>
          <w:tcPr>
            <w:tcW w:type="dxa" w:w="2880"/>
          </w:tcPr>
          <w:p>
            <w:r>
              <w:t>Current spread ~0.9% nominal, ~10% annualized if 1-month close, but net of friction ~0%</w:t>
            </w:r>
          </w:p>
        </w:tc>
        <w:tc>
          <w:tcPr>
            <w:tcW w:type="dxa" w:w="2880"/>
          </w:tcPr>
          <w:p>
            <w:r>
              <w:t>PDI.AX / RBX.V cross-pricing</w:t>
            </w:r>
          </w:p>
        </w:tc>
      </w:tr>
      <w:tr>
        <w:tc>
          <w:tcPr>
            <w:tcW w:type="dxa" w:w="2880"/>
          </w:tcPr>
          <w:p>
            <w:r>
              <w:t>K3: Regulatory knockback</w:t>
            </w:r>
          </w:p>
        </w:tc>
        <w:tc>
          <w:tcPr>
            <w:tcW w:type="dxa" w:w="2880"/>
          </w:tcPr>
          <w:p>
            <w:r>
              <w:t>Guinea condition not cleared by outside date 2026-04-30</w:t>
            </w:r>
          </w:p>
        </w:tc>
        <w:tc>
          <w:tcPr>
            <w:tcW w:type="dxa" w:w="2880"/>
          </w:tcPr>
          <w:p>
            <w:r>
              <w:t>PDI ASX announcements</w:t>
            </w:r>
          </w:p>
        </w:tc>
      </w:tr>
      <w:tr>
        <w:tc>
          <w:tcPr>
            <w:tcW w:type="dxa" w:w="2880"/>
          </w:tcPr>
          <w:p>
            <w:r>
              <w:t>K4: Gold spot crash &gt;8%</w:t>
            </w:r>
          </w:p>
        </w:tc>
        <w:tc>
          <w:tcPr>
            <w:tcW w:type="dxa" w:w="2880"/>
          </w:tcPr>
          <w:p>
            <w:r>
              <w:t>Gold below ~$2,950/oz from current ~$3,200</w:t>
            </w:r>
          </w:p>
        </w:tc>
        <w:tc>
          <w:tcPr>
            <w:tcW w:type="dxa" w:w="2880"/>
          </w:tcPr>
          <w:p>
            <w:r>
              <w:t>COMEX spot / LBMA fix</w:t>
            </w:r>
          </w:p>
        </w:tc>
      </w:tr>
      <w:tr>
        <w:tc>
          <w:tcPr>
            <w:tcW w:type="dxa" w:w="2880"/>
          </w:tcPr>
          <w:p>
            <w:r>
              <w:t>K5: Implementation fails by outside date</w:t>
            </w:r>
          </w:p>
        </w:tc>
        <w:tc>
          <w:tcPr>
            <w:tcW w:type="dxa" w:w="2880"/>
          </w:tcPr>
          <w:p>
            <w:r>
              <w:t>Deal terminates if not effective by April 30</w:t>
            </w:r>
          </w:p>
        </w:tc>
        <w:tc>
          <w:tcPr>
            <w:tcW w:type="dxa" w:w="2880"/>
          </w:tcPr>
          <w:p>
            <w:r>
              <w:t>PDI ASX + Robex SEDAR+</w:t>
            </w:r>
          </w:p>
        </w:tc>
      </w:tr>
      <w:tr>
        <w:tc>
          <w:tcPr>
            <w:tcW w:type="dxa" w:w="2880"/>
          </w:tcPr>
          <w:p>
            <w:r>
              <w:t>K6: Robex board withdrawal</w:t>
            </w:r>
          </w:p>
        </w:tc>
        <w:tc>
          <w:tcPr>
            <w:tcW w:type="dxa" w:w="2880"/>
          </w:tcPr>
          <w:p>
            <w:r>
              <w:t>Highly unlikely at this stage — deal is unconditional</w:t>
            </w:r>
          </w:p>
        </w:tc>
        <w:tc>
          <w:tcPr>
            <w:tcW w:type="dxa" w:w="2880"/>
          </w:tcPr>
          <w:p>
            <w:r>
              <w:t>SEDAR+ filings</w:t>
            </w:r>
          </w:p>
        </w:tc>
      </w:tr>
    </w:tbl>
    <w:p>
      <w:pPr>
        <w:pStyle w:val="Heading2"/>
      </w:pPr>
      <w:r>
        <w:t>Peer Comparables</w:t>
      </w:r>
    </w:p>
    <w:p>
      <w:r>
        <w:t>• De Grey Mining (DEG.ASX): Northern Star acquired for A$5.0B in 2024-2025. Gold developer-to-producer merger comp.</w:t>
      </w:r>
    </w:p>
    <w:p>
      <w:r>
        <w:t>• Tietto Minerals (TIE.ASX): Zhaojin Mining acquisition via scheme in 2024 (A$0.58/share). Africa-gold scheme precedent.</w:t>
      </w:r>
    </w:p>
    <w:p>
      <w:r>
        <w:t>• West African Resources (WAF.ASX): Comparable Guinea/Mali gold operator. Market cap ~A$2.8B. Peer for post-merger PDI valuation.</w:t>
      </w:r>
    </w:p>
    <w:p>
      <w:r>
        <w:t>• Endeavour Mining (EDV.LSE/TSX): Large West African gold producer (~1.4 Moz/yr). Structural comp for combined PDI aspiration.</w:t>
      </w:r>
    </w:p>
    <w:p>
      <w:pPr>
        <w:pStyle w:val="Heading2"/>
      </w:pPr>
      <w:r>
        <w:t>Position Sizing Guidance</w:t>
      </w:r>
    </w:p>
    <w:p>
      <w:r>
        <w:t>NO POSITION RECOMMENDED. The merger is unconditional and implementation is imminent. Arb spread is negligible after execution costs. For investors interested in the combined entity as a fundamental gold-equity position, that is a separate thesis outside this event-driven system's scope. If gold creates a temporary dislocation between PDI and Robex-implied value (&gt;3% spread), a satellite arb (1-2% portfolio) could be constructed using PDI.AX long + RBX.V short (ratio-adjusted at 7.862:1), hedged for AUDCAD via forward contract. PDI ADV is ~A$5-10m; Robex ADV on TSX-V is thinner (~C$3-5m). Both legs need careful VWAP execution. Options expression impractical on both sides.</w:t>
      </w:r>
    </w:p>
    <w:p>
      <w:pPr>
        <w:pStyle w:val="Heading2"/>
      </w:pPr>
      <w:r>
        <w:t>Sources &amp; Traceability</w:t>
      </w:r>
    </w:p>
    <w:p>
      <w:pPr>
        <w:pStyle w:val="ListBullet"/>
      </w:pPr>
      <w:r>
        <w:t>• ASX announcement 2924-03079443-6A1320718 — 'PDI &amp; Robex Merger Update' — 2026-04-15</w:t>
      </w:r>
    </w:p>
    <w:p>
      <w:pPr>
        <w:pStyle w:val="ListBullet"/>
      </w:pPr>
      <w:r>
        <w:t>• GlobeNewswire 2026-04-08: 'PDI &amp; Robex Merger Proceeding to Implementation'</w:t>
      </w:r>
    </w:p>
    <w:p>
      <w:pPr>
        <w:pStyle w:val="ListBullet"/>
      </w:pPr>
      <w:r>
        <w:t>• GlobeNewswire 2026-04-09: 'Merger Implementation Timetable'</w:t>
      </w:r>
    </w:p>
    <w:p>
      <w:pPr>
        <w:pStyle w:val="ListBullet"/>
      </w:pPr>
      <w:r>
        <w:t>• GlobeNewswire 2025-10-05: 'Predictive Discovery &amp; Robex Announce Merger of Equals'</w:t>
      </w:r>
    </w:p>
    <w:p>
      <w:pPr>
        <w:pStyle w:val="ListBullet"/>
      </w:pPr>
      <w:r>
        <w:t>• GlobeNewswire 2025-12-30: 'Robex Shareholders Approve PDI Merger'</w:t>
      </w:r>
    </w:p>
    <w:p>
      <w:pPr>
        <w:pStyle w:val="ListBullet"/>
      </w:pPr>
      <w:r>
        <w:t>• TipRanks 2026-04-08: conditions cleared analysis</w:t>
      </w:r>
    </w:p>
    <w:p>
      <w:pPr>
        <w:pStyle w:val="ListBullet"/>
      </w:pPr>
      <w:r>
        <w:t>• Mining.com 2025-10: '$1.5B Guinea gold deal announcement'</w:t>
      </w:r>
    </w:p>
    <w:p>
      <w:pPr>
        <w:pStyle w:val="ListBullet"/>
      </w:pPr>
      <w:r>
        <w:t>• Ecofin Agency 2026-03: '$1.5 billion gold merger finalization timeline'</w:t>
      </w:r>
    </w:p>
    <w:p>
      <w:pPr>
        <w:pStyle w:val="ListBullet"/>
      </w:pPr>
      <w:r>
        <w:t>• PDI.AX price: A$0.855 (2026-04-07 close, search date closest available)</w:t>
      </w:r>
    </w:p>
    <w:p>
      <w:pPr>
        <w:pStyle w:val="ListBullet"/>
      </w:pPr>
      <w:r>
        <w:t>• RBX.V price: C$6.66 (2026-04-08 close, search date closest available)</w:t>
      </w:r>
    </w:p>
    <w:p>
      <w:pPr>
        <w:pStyle w:val="ListBullet"/>
      </w:pPr>
      <w:r>
        <w:t>• Scanner signal_id: 0439e1303980b984c488d19b31a5229a; scan_date: 2026-04-16; asx scanner</w:t>
      </w:r>
    </w:p>
    <w:p>
      <w:pPr>
        <w:pStyle w:val="ListBullet"/>
      </w:pPr>
      <w:r>
        <w:t>• OpenFIGI: PDI mic=XASX → figi=BBG0017X3YN4, issuer_figi=BBG0017X3YM5</w:t>
      </w:r>
    </w:p>
    <w:p/>
    <w:p>
      <w:r>
        <w:rPr>
          <w:i/>
          <w:color w:val="888888"/>
          <w:sz w:val="16"/>
        </w:rPr>
        <w:t>NOT INVESTMENT ADVICE. For human review before action. Generated by Non-US Discovery System deep-dive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