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PERMANENT TSB GROUP HOLDINGS PLC (PTSB.XLON)</w:t>
      </w:r>
    </w:p>
    <w:p>
      <w:r>
        <w:rPr>
          <w:i/>
          <w:sz w:val="18"/>
        </w:rPr>
        <w:t>Deep Dive — Takeover Firm Offer · Generated 2026-04-15 · Source tool: non_us</w:t>
      </w:r>
    </w:p>
    <w:p>
      <w:pPr>
        <w:pStyle w:val="Heading1"/>
      </w:pPr>
      <w:r>
        <w:t>Hypothesis</w:t>
      </w:r>
    </w:p>
    <w:p>
      <w:r>
        <w:t>PERMANENT TSB GROUP HOLDINGS PLC (PTSB.XLON) was flagged on 2026-04-14 via TDnet for a takeover firm offer signal (scanner score 33.0, translation confidence n/a, $1764.2M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IE00BWB8X525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BBG000DJ30N4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BBG000DJ1YL4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1764.2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LSE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GB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33.0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n/a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Permanent TSB Group Holdings (PTSB.XLON) — BAWAG Recommended Cash Offer</w:t>
      </w:r>
    </w:p>
    <w:p/>
    <w:p>
      <w:r>
        <w:rPr>
          <w:i/>
        </w:rPr>
        <w:t>**STATUS: pending_deep_dive.** This is an operational-skill stub. The deep-dives skill should flesh out every section below on its next run. Do not act on this stub alone.</w:t>
      </w:r>
    </w:p>
    <w:p/>
    <w:p>
      <w:pPr>
        <w:pStyle w:val="Heading2"/>
      </w:pPr>
      <w:r>
        <w:t>TL;DR (3 sentences max)</w:t>
      </w:r>
    </w:p>
    <w:p/>
    <w:p>
      <w:r>
        <w:t>On 14 Apr 2026 BAWAG announced a recommended cash offer for Permanent TSB Group Holdings, triggering a Rule 2.7 firm-offer RNS. The scanner classifies this as a takeover_firm_offer with score 33 (dimensions: signal_strength 5, catalyst_clarity 5, catalyst_timeline 5; capped by info_asymmetry 2 because LSE takeovers are widely watched). This candidate is a stub pending human-in-the-loop deep-dive work — thesis, steelman, and kill conditions have not yet been researched.</w:t>
      </w:r>
    </w:p>
    <w:p/>
    <w:p>
      <w:pPr>
        <w:pStyle w:val="Heading2"/>
      </w:pPr>
      <w:r>
        <w:t>Source signal(s)</w:t>
      </w:r>
    </w:p>
    <w:p/>
    <w:p>
      <w:pPr>
        <w:pStyle w:val="ListBullet"/>
      </w:pPr>
      <w:r>
        <w:t>**Signal 1** — https://www.investegate.co.uk/announcement/rns/permanent-tsb-group-holdings-cdi---ptsb/recommended-cash-offer-for-permanent-tsb/9519415 — 2026-04-14 11:05 UTC — RNS Rule 2.7 — [verified] BAWAG is making a recommended cash offer for PTSB; [inferred] headline is authoritative regulatory filing.</w:t>
      </w:r>
    </w:p>
    <w:p>
      <w:pPr>
        <w:pStyle w:val="ListBullet"/>
      </w:pPr>
      <w:r>
        <w:t>**Signal 2** (merged sibling) — https://www.investegate.co.uk/announcement/rns/permanent-tsb-group-holdings-cdi---ptsb/bawag-recommended-offer-for-ptsb-/9519514 — 2026-04-14 11:50 UTC — RNS — same event, offeror-side filing.</w:t>
      </w:r>
    </w:p>
    <w:p/>
    <w:p>
      <w:r>
        <w:t>Both signals merged into single candidate per dedup rule (same issuer_figi + same signal_type + same source_date).</w:t>
      </w:r>
    </w:p>
    <w:p/>
    <w:p>
      <w:pPr>
        <w:pStyle w:val="Heading2"/>
      </w:pPr>
      <w:r>
        <w:t>Translation notes</w:t>
      </w:r>
    </w:p>
    <w:p/>
    <w:p>
      <w:r>
        <w:t>n/a — English-language source.</w:t>
      </w:r>
    </w:p>
    <w:p/>
    <w:p>
      <w:pPr>
        <w:pStyle w:val="Heading2"/>
      </w:pPr>
      <w:r>
        <w:t>Company context (to be completed by deep-dive)</w:t>
      </w:r>
    </w:p>
    <w:p/>
    <w:p>
      <w:pPr>
        <w:pStyle w:val="ListBullet"/>
      </w:pPr>
      <w:r>
        <w:t>Market cap (USD): $1,764.2mm; GBP: £1,389.13mm</w:t>
      </w:r>
    </w:p>
    <w:p>
      <w:pPr>
        <w:pStyle w:val="ListBullet"/>
      </w:pPr>
      <w:r>
        <w:t>ISIN: IE00BWB8X525 — Irish ISIN; issuer is Irish-domiciled trading via CDI on LSE.</w:t>
      </w:r>
    </w:p>
    <w:p>
      <w:pPr>
        <w:pStyle w:val="ListBullet"/>
      </w:pPr>
      <w:r>
        <w:t>Sector code: 301010 (per LSE classification)</w:t>
      </w:r>
    </w:p>
    <w:p>
      <w:pPr>
        <w:pStyle w:val="ListBullet"/>
      </w:pPr>
      <w:r>
        <w:t>Market tier: MAINMARKET</w:t>
      </w:r>
    </w:p>
    <w:p>
      <w:pPr>
        <w:pStyle w:val="ListBullet"/>
      </w:pPr>
      <w:r>
        <w:t>Trading status: N (normal) as of scanner run.</w:t>
      </w:r>
    </w:p>
    <w:p>
      <w:pPr>
        <w:pStyle w:val="ListBullet"/>
      </w:pPr>
      <w:r>
        <w:t>Recent price action: TODO — deep-dive fetch 30/90-day.</w:t>
      </w:r>
    </w:p>
    <w:p>
      <w:pPr>
        <w:pStyle w:val="ListBullet"/>
      </w:pPr>
      <w:r>
        <w:t>Cross-listings: TODO — verify Dublin/Euronext listing; CDI status suggests underlying shares trade on Euronext Dublin.</w:t>
      </w:r>
    </w:p>
    <w:p>
      <w:pPr>
        <w:pStyle w:val="ListBullet"/>
      </w:pPr>
      <w:r>
        <w:t>Institutional ownership: TODO.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Scanner rubric pre-assigns `thesis_direction: long` for Rule-2.7-firm-offer classification (target equity tends to converge toward offer price once scheme of arrangement / court sanction path is set). Deep-dive must verify:</w:t>
      </w:r>
    </w:p>
    <w:p>
      <w:pPr>
        <w:pStyle w:val="ListBullet"/>
      </w:pPr>
      <w:r>
        <w:t>Offer terms (price per share, cash vs mixed consideration)</w:t>
      </w:r>
    </w:p>
    <w:p>
      <w:pPr>
        <w:pStyle w:val="ListBullet"/>
      </w:pPr>
      <w:r>
        <w:t>Premium to undisturbed price</w:t>
      </w:r>
    </w:p>
    <w:p>
      <w:pPr>
        <w:pStyle w:val="ListBullet"/>
      </w:pPr>
      <w:r>
        <w:t>Acceptance condition threshold and irrevocables percentage</w:t>
      </w:r>
    </w:p>
    <w:p>
      <w:pPr>
        <w:pStyle w:val="ListBullet"/>
      </w:pPr>
      <w:r>
        <w:t>Regulatory approvals required (CBI / ECB for a bank target, Irish Takeover Panel, EU merger control)</w:t>
      </w:r>
    </w:p>
    <w:p>
      <w:pPr>
        <w:pStyle w:val="ListBullet"/>
      </w:pPr>
      <w:r>
        <w:t>Break fee and material-adverse-change carve-outs</w:t>
      </w:r>
    </w:p>
    <w:p/>
    <w:p>
      <w:pPr>
        <w:pStyle w:val="Heading2"/>
      </w:pPr>
      <w:r>
        <w:t>Steelman of the opposite view</w:t>
      </w:r>
    </w:p>
    <w:p/>
    <w:p>
      <w:r>
        <w:t>**Pending deep-dive.** Possible angles to research:</w:t>
      </w:r>
    </w:p>
    <w:p>
      <w:pPr>
        <w:pStyle w:val="ListBullet"/>
      </w:pPr>
      <w:r>
        <w:t>Competing bidder emerges and the BAWAG offer is jumped (positive for PTSB, but risky if acceptance threshold fails)</w:t>
      </w:r>
    </w:p>
    <w:p>
      <w:pPr>
        <w:pStyle w:val="ListBullet"/>
      </w:pPr>
      <w:r>
        <w:t>Regulatory block — Irish state's residual stake in PTSB may give political veto</w:t>
      </w:r>
    </w:p>
    <w:p>
      <w:pPr>
        <w:pStyle w:val="ListBullet"/>
      </w:pPr>
      <w:r>
        <w:t>Deal breaks on financing / conditions — PTSB falls back to undisturbed range</w:t>
      </w:r>
    </w:p>
    <w:p/>
    <w:p>
      <w:pPr>
        <w:pStyle w:val="Heading2"/>
      </w:pPr>
      <w:r>
        <w:t>Web research layer (mandatory — pending)</w:t>
      </w:r>
    </w:p>
    <w:p/>
    <w:p>
      <w:r>
        <w:t>**Required before promoting from pending_deep_dive → active:**</w:t>
      </w:r>
    </w:p>
    <w:p>
      <w:pPr>
        <w:pStyle w:val="ListBullet"/>
      </w:pPr>
      <w:r>
        <w:t>Irish press coverage of BAWAG / PTSB deal history (was there prior approach?)</w:t>
      </w:r>
    </w:p>
    <w:p>
      <w:pPr>
        <w:pStyle w:val="ListBullet"/>
      </w:pPr>
      <w:r>
        <w:t>Analyst price targets pre- vs post-announcement</w:t>
      </w:r>
    </w:p>
    <w:p>
      <w:pPr>
        <w:pStyle w:val="ListBullet"/>
      </w:pPr>
      <w:r>
        <w:t>Irish state (via Minister for Finance) ownership / voting stake and stated position</w:t>
      </w:r>
    </w:p>
    <w:p>
      <w:pPr>
        <w:pStyle w:val="ListBullet"/>
      </w:pPr>
      <w:r>
        <w:t>BAWAG strategic rationale: is this a one-off or part of Irish market consolidation?</w:t>
      </w:r>
    </w:p>
    <w:p>
      <w:pPr>
        <w:pStyle w:val="ListBullet"/>
      </w:pPr>
      <w:r>
        <w:t>CBI / ECB preliminary indications on a non-Irish EU bank buying an Irish bank</w:t>
      </w:r>
    </w:p>
    <w:p/>
    <w:p>
      <w:pPr>
        <w:pStyle w:val="Heading2"/>
      </w:pPr>
      <w:r>
        <w:t>Kill conditions (explicit — to be refined)</w:t>
      </w:r>
    </w:p>
    <w:p/>
    <w:p>
      <w:pPr>
        <w:pStyle w:val="ListBullet"/>
      </w:pPr>
      <w:r>
        <w:t>**Kill 1:** Offer is withdrawn. Observable in LSE RNS as Rule 2.8 lapse announcement.</w:t>
      </w:r>
    </w:p>
    <w:p>
      <w:pPr>
        <w:pStyle w:val="ListBullet"/>
      </w:pPr>
      <w:r>
        <w:t>**Kill 2:** Irish state publicly vetoes or sets conditions BAWAG cannot meet. Observable in Department of Finance press release.</w:t>
      </w:r>
    </w:p>
    <w:p>
      <w:pPr>
        <w:pStyle w:val="ListBullet"/>
      </w:pPr>
      <w:r>
        <w:t>**Kill 3:** Competing higher offer emerges, making BAWAG's terms uncompetitive. Observable in RNS.</w:t>
      </w:r>
    </w:p>
    <w:p>
      <w:pPr>
        <w:pStyle w:val="ListBullet"/>
      </w:pPr>
      <w:r>
        <w:t>**Kill 4:** Regulatory block by CBI/ECB/EU. Observable in formal refusal publication.</w:t>
      </w:r>
    </w:p>
    <w:p>
      <w:pPr>
        <w:pStyle w:val="ListBullet"/>
      </w:pPr>
      <w:r>
        <w:t>**(refine with specific price thresholds during deep-dive)**</w:t>
      </w:r>
    </w:p>
    <w:p/>
    <w:p>
      <w:pPr>
        <w:pStyle w:val="Heading2"/>
      </w:pPr>
      <w:r>
        <w:t>Catalyst map (skeleton — deep-dive to fill dates)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Scheme document publication | T+28 days typical under Irish Takeover Rules | N/A | N/A |</w:t>
      </w:r>
    </w:p>
    <w:p>
      <w:r>
        <w:t>| Shareholder meeting / scheme approval | T+60 to T+90 | - | - |</w:t>
      </w:r>
    </w:p>
    <w:p>
      <w:r>
        <w:t>| Court sanction hearing | T+90 to T+120 | - | - |</w:t>
      </w:r>
    </w:p>
    <w:p>
      <w:r>
        <w:t>| Effective date | T+100 to T+130 | - | - |</w:t>
      </w:r>
    </w:p>
    <w:p/>
    <w:p>
      <w:pPr>
        <w:pStyle w:val="Heading2"/>
      </w:pPr>
      <w:r>
        <w:t>Position sizing note</w:t>
      </w:r>
    </w:p>
    <w:p/>
    <w:p>
      <w:r>
        <w:t>Satellite (2–5%). Arbitrage-style spread plays are liquidity-sensitive; check average daily volume in CDI form before sizing. Bank-sector deals have elongated regulatory tails — position to hold to close, not to pre-close exit.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https://www.investegate.co.uk/announcement/rns/permanent-tsb-group-holdings-cdi---ptsb/recommended-cash-offer-for-permanent-tsb/9519415 — retrieved 2026-04-14 14:52 UTC via lse_rns scanner (pipeline_runner run)</w:t>
      </w:r>
    </w:p>
    <w:p>
      <w:pPr>
        <w:pStyle w:val="ListBullet"/>
      </w:pPr>
      <w:r>
        <w:t>https://www.investegate.co.uk/announcement/rns/permanent-tsb-group-holdings-cdi---ptsb/bawag-recommended-offer-for-ptsb-/9519514 — retrieved 2026-04-14 14:52 UTC (merged sibling)</w:t>
      </w:r>
    </w:p>
    <w:p>
      <w:pPr>
        <w:pStyle w:val="ListBullet"/>
      </w:pPr>
      <w:r>
        <w:t>OpenFIGI resolution: ticker=PTSB mic=XLON → figi=BBG000DJ30N4 issuer_figi=BBG000DJ1YL4 (cached 2026-04-14)</w:t>
      </w:r>
    </w:p>
    <w:p>
      <w:pPr>
        <w:pStyle w:val="ListBullet"/>
      </w:pPr>
      <w:r>
        <w:t>LSE alldata: ISIN IE00BWB8X525, SEDOL BVGGZK3, market_cap £1,389.13mm (retrieved 2026-04-14 14:34 UTC)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