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2A44"/>
          <w:sz w:val="32"/>
        </w:rPr>
        <w:t>SEM — Select Medical Holdings</w:t>
      </w:r>
    </w:p>
    <w:p>
      <w:r>
        <w:rPr>
          <w:i/>
          <w:color w:val="4A4A4A"/>
          <w:sz w:val="19"/>
        </w:rPr>
        <w:t>WCAS XIV + Ortenzio family take-private at $16.50 cash — Watchlist merger-arb</w:t>
      </w:r>
    </w:p>
    <w:p>
      <w:r>
        <w:rPr>
          <w:sz w:val="18"/>
        </w:rPr>
        <w:t>Source tool: investment_tool  |  Status: watchlist  |  Conviction: low  |  Generated: 2026-04-16</w:t>
      </w:r>
    </w:p>
    <w:p>
      <w:r>
        <w:rPr>
          <w:b/>
          <w:color w:val="1E2A44"/>
          <w:sz w:val="24"/>
        </w:rPr>
        <w:t>Executive Summary</w:t>
      </w:r>
    </w:p>
    <w:p>
      <w:pPr>
        <w:spacing w:after="80"/>
      </w:pPr>
      <w:r>
        <w:t>Select Medical Holdings (NYSE: SEM) disclosed a signed definitive agreement on 2026-04-15 via PREM14A (accession 0001104659-26-043505) and SC 13E-3 (accession 0001104659-26-043531) for an all-cash take-private at $16.50 per share. Counterparty is Welsh, Carson, Anderson &amp; Stowe XIV, L.P. (WCAS) in partnership with the Ortenzio founding family via rollover equity. Merger Agreement dated March 2, 2026; Outside Date December 1, 2026. At the current $16.38 reference price the gross spread is $0.12 (0.73%) — approximately 1.1% annualized over the ~7.5-month horizon, below risk-free. This is classified WATCHLIST: the setup is not compelling at current pricing, but the thesis re-activates as an active candidate on any spread-widening trigger (HSR second request, shareholder litigation bump, funding disruption, MAC).</w:t>
      </w:r>
    </w:p>
    <w:p>
      <w:r>
        <w:rPr>
          <w:b/>
          <w:color w:val="1E2A44"/>
          <w:sz w:val="24"/>
        </w:rPr>
        <w:t>Hypothesis</w:t>
      </w:r>
    </w:p>
    <w:p>
      <w:pPr>
        <w:spacing w:after="80"/>
      </w:pPr>
      <w:r>
        <w:t>SEM is a signed PE take-private at $16.50/sh cash with ~0.73% gross spread — too tight at current pricing for an active arb position. Deal certainty is relatively high (WCAS XIV is a top-quartile PE sponsor and the Ortenzio family's rollover eliminates insider-alignment risk), but the 7.5-month tail to Dec 1, 2026 Outside Date yields sub-risk-free annualized returns. Watchlist stance: re-engage only if spread widens to 3%+ via HSR pushback, shareholder litigation, or a financing hiccup.</w:t>
      </w:r>
    </w:p>
    <w:p>
      <w:r>
        <w:rPr>
          <w:b/>
          <w:color w:val="1E2A44"/>
          <w:sz w:val="24"/>
        </w:rPr>
        <w:t>Deal Terms (verified from PREM14A and SC 13E-3)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Target</w:t>
            </w:r>
          </w:p>
        </w:tc>
        <w:tc>
          <w:tcPr>
            <w:tcW w:type="dxa" w:w="4968"/>
          </w:tcPr>
          <w:p>
            <w:r>
              <w:t>Select Medical Holdings Corporation (NYSE: SEM, CIK 0001320414)</w:t>
            </w:r>
          </w:p>
        </w:tc>
      </w:tr>
      <w:tr>
        <w:tc>
          <w:tcPr>
            <w:tcW w:type="dxa" w:w="4968"/>
          </w:tcPr>
          <w:p>
            <w:r>
              <w:t>Buyer consortium</w:t>
            </w:r>
          </w:p>
        </w:tc>
        <w:tc>
          <w:tcPr>
            <w:tcW w:type="dxa" w:w="4968"/>
          </w:tcPr>
          <w:p>
            <w:r>
              <w:t>Welsh, Carson, Anderson &amp; Stowe XIV, L.P. + Ortenzio family (rollover)</w:t>
            </w:r>
          </w:p>
        </w:tc>
      </w:tr>
      <w:tr>
        <w:tc>
          <w:tcPr>
            <w:tcW w:type="dxa" w:w="4968"/>
          </w:tcPr>
          <w:p>
            <w:r>
              <w:t>Consideration</w:t>
            </w:r>
          </w:p>
        </w:tc>
        <w:tc>
          <w:tcPr>
            <w:tcW w:type="dxa" w:w="4968"/>
          </w:tcPr>
          <w:p>
            <w:r>
              <w:t>$16.50 per share, all-cash, no interest (DGCL appraisal preserved for dissenters)</w:t>
            </w:r>
          </w:p>
        </w:tc>
      </w:tr>
      <w:tr>
        <w:tc>
          <w:tcPr>
            <w:tcW w:type="dxa" w:w="4968"/>
          </w:tcPr>
          <w:p>
            <w:r>
              <w:t>Unaffected price</w:t>
            </w:r>
          </w:p>
        </w:tc>
        <w:tc>
          <w:tcPr>
            <w:tcW w:type="dxa" w:w="4968"/>
          </w:tcPr>
          <w:p>
            <w:r>
              <w:t>$14.01 (pre-announcement reference per PREM14A)</w:t>
            </w:r>
          </w:p>
        </w:tc>
      </w:tr>
      <w:tr>
        <w:tc>
          <w:tcPr>
            <w:tcW w:type="dxa" w:w="4968"/>
          </w:tcPr>
          <w:p>
            <w:r>
              <w:t>Headline premium</w:t>
            </w:r>
          </w:p>
        </w:tc>
        <w:tc>
          <w:tcPr>
            <w:tcW w:type="dxa" w:w="4968"/>
          </w:tcPr>
          <w:p>
            <w:r>
              <w:t>~18% vs unaffected; ~25% vs 90-day VWAP</w:t>
            </w:r>
          </w:p>
        </w:tc>
      </w:tr>
      <w:tr>
        <w:tc>
          <w:tcPr>
            <w:tcW w:type="dxa" w:w="4968"/>
          </w:tcPr>
          <w:p>
            <w:r>
              <w:t>Merger Agreement date</w:t>
            </w:r>
          </w:p>
        </w:tc>
        <w:tc>
          <w:tcPr>
            <w:tcW w:type="dxa" w:w="4968"/>
          </w:tcPr>
          <w:p>
            <w:r>
              <w:t>March 2, 2026</w:t>
            </w:r>
          </w:p>
        </w:tc>
      </w:tr>
      <w:tr>
        <w:tc>
          <w:tcPr>
            <w:tcW w:type="dxa" w:w="4968"/>
          </w:tcPr>
          <w:p>
            <w:r>
              <w:t>Merger structure</w:t>
            </w:r>
          </w:p>
        </w:tc>
        <w:tc>
          <w:tcPr>
            <w:tcW w:type="dxa" w:w="4968"/>
          </w:tcPr>
          <w:p>
            <w:r>
              <w:t>Reverse triangular — Stallion MergerSub merges into SEM; SEM survives as wholly-owned sub of Stallion Intermediate (new private holdco)</w:t>
            </w:r>
          </w:p>
        </w:tc>
      </w:tr>
      <w:tr>
        <w:tc>
          <w:tcPr>
            <w:tcW w:type="dxa" w:w="4968"/>
          </w:tcPr>
          <w:p>
            <w:r>
              <w:t>Termination fee (target → parent)</w:t>
            </w:r>
          </w:p>
        </w:tc>
        <w:tc>
          <w:tcPr>
            <w:tcW w:type="dxa" w:w="4968"/>
          </w:tcPr>
          <w:p>
            <w:r>
              <w:t>$66.504M (~3.3% of deal value)</w:t>
            </w:r>
          </w:p>
        </w:tc>
      </w:tr>
      <w:tr>
        <w:tc>
          <w:tcPr>
            <w:tcW w:type="dxa" w:w="4968"/>
          </w:tcPr>
          <w:p>
            <w:r>
              <w:t>Reverse termination fee (parent → target)</w:t>
            </w:r>
          </w:p>
        </w:tc>
        <w:tc>
          <w:tcPr>
            <w:tcW w:type="dxa" w:w="4968"/>
          </w:tcPr>
          <w:p>
            <w:r>
              <w:t>$133.010M (~6.5% of deal value)</w:t>
            </w:r>
          </w:p>
        </w:tc>
      </w:tr>
      <w:tr>
        <w:tc>
          <w:tcPr>
            <w:tcW w:type="dxa" w:w="4968"/>
          </w:tcPr>
          <w:p>
            <w:r>
              <w:t>Go-shop</w:t>
            </w:r>
          </w:p>
        </w:tc>
        <w:tc>
          <w:tcPr>
            <w:tcW w:type="dxa" w:w="4968"/>
          </w:tcPr>
          <w:p>
            <w:r>
              <w:t>None (0 instances of 'go-shop' in PREM14A)</w:t>
            </w:r>
          </w:p>
        </w:tc>
      </w:tr>
      <w:tr>
        <w:tc>
          <w:tcPr>
            <w:tcW w:type="dxa" w:w="4968"/>
          </w:tcPr>
          <w:p>
            <w:r>
              <w:t>Outside Date</w:t>
            </w:r>
          </w:p>
        </w:tc>
        <w:tc>
          <w:tcPr>
            <w:tcW w:type="dxa" w:w="4968"/>
          </w:tcPr>
          <w:p>
            <w:r>
              <w:t>December 1, 2026 (~7.5 months from 2026-04-16)</w:t>
            </w:r>
          </w:p>
        </w:tc>
      </w:tr>
      <w:tr>
        <w:tc>
          <w:tcPr>
            <w:tcW w:type="dxa" w:w="4968"/>
          </w:tcPr>
          <w:p>
            <w:r>
              <w:t>Special Committee</w:t>
            </w:r>
          </w:p>
        </w:tc>
        <w:tc>
          <w:tcPr>
            <w:tcW w:type="dxa" w:w="4968"/>
          </w:tcPr>
          <w:p>
            <w:r>
              <w:t>Yes — 658 PREM14A references confirming active fairness process</w:t>
            </w:r>
          </w:p>
        </w:tc>
      </w:tr>
      <w:tr>
        <w:tc>
          <w:tcPr>
            <w:tcW w:type="dxa" w:w="4968"/>
          </w:tcPr>
          <w:p>
            <w:r>
              <w:t>Regulatory</w:t>
            </w:r>
          </w:p>
        </w:tc>
        <w:tc>
          <w:tcPr>
            <w:tcW w:type="dxa" w:w="4968"/>
          </w:tcPr>
          <w:p>
            <w:r>
              <w:t>HSR filing required; standard antitrust; no material foreign investment gates</w:t>
            </w:r>
          </w:p>
        </w:tc>
      </w:tr>
      <w:tr>
        <w:tc>
          <w:tcPr>
            <w:tcW w:type="dxa" w:w="4968"/>
          </w:tcPr>
          <w:p>
            <w:r>
              <w:t>Appraisal rights</w:t>
            </w:r>
          </w:p>
        </w:tc>
        <w:tc>
          <w:tcPr>
            <w:tcW w:type="dxa" w:w="4968"/>
          </w:tcPr>
          <w:p>
            <w:r>
              <w:t>DGCL §262 available for dissenting shareholders</w:t>
            </w:r>
          </w:p>
        </w:tc>
      </w:tr>
    </w:tbl>
    <w:p>
      <w:r>
        <w:rPr>
          <w:b/>
          <w:color w:val="1E2A44"/>
          <w:sz w:val="24"/>
        </w:rPr>
        <w:t>Arbitrage Economics</w:t>
      </w:r>
    </w:p>
    <w:p>
      <w:pPr>
        <w:spacing w:after="80"/>
      </w:pPr>
      <w:r>
        <w:t>At $16.38 reference (2026-04-16), the gross spread to $16.50 consideration is $0.12, i.e. 0.73%. If the deal closes at the Outside Date (2026-12-01, ~229 calendar days), the annualized return is 0.73% × (365/229) ≈ 1.16%. The implied IRR is below the 3-month T-bill (~4%+ as of April 2026) and materially below any sensible hurdle for merger-arb capital, which typically targets 8-12% annualized on deals with comparable risk profiles. The spread is tight for three structural reasons: (i) WCAS XIV is a well-regarded PE sponsor with ample dry powder and a clean financing track record; (ii) the Ortenzio family rollover aligns insider interests with closing; (iii) there is no competing bidder, no go-shop, and no adverse analyst commentary to anchor downside. Market has priced the deal as ~95-98% certain to close on timeline.</w:t>
      </w:r>
    </w:p>
    <w:p>
      <w:pPr>
        <w:spacing w:after="80"/>
      </w:pPr>
      <w:r>
        <w:t>Break scenarios: if the deal fails (MAC, HSR block, funding failure, unexpected litigation), SEM is reasonably assumed to revert to or below the $14.01 unaffected price, implying roughly -14.5% downside from $16.38. The asymmetry at current pricing is therefore ~0.7% upside vs ~14.5% downside — a 1-to-21 payoff ratio that requires ~95%+ close probability to produce positive expected value. This is not attractive absent a catalyst that widens the spread.</w:t>
      </w:r>
    </w:p>
    <w:p>
      <w:r>
        <w:rPr>
          <w:b/>
          <w:color w:val="1E2A44"/>
          <w:sz w:val="24"/>
        </w:rPr>
        <w:t>7-Dimension Score (22.5 — Watchlist)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t>Dimension</w:t>
            </w:r>
          </w:p>
        </w:tc>
        <w:tc>
          <w:tcPr>
            <w:tcW w:type="dxa" w:w="1987"/>
          </w:tcPr>
          <w:p>
            <w:r>
              <w:t>Score</w:t>
            </w:r>
          </w:p>
        </w:tc>
        <w:tc>
          <w:tcPr>
            <w:tcW w:type="dxa" w:w="1987"/>
          </w:tcPr>
          <w:p>
            <w:r>
              <w:t>Weight</w:t>
            </w:r>
          </w:p>
        </w:tc>
        <w:tc>
          <w:tcPr>
            <w:tcW w:type="dxa" w:w="1987"/>
          </w:tcPr>
          <w:p>
            <w:r>
              <w:t>Weighted</w:t>
            </w:r>
          </w:p>
        </w:tc>
        <w:tc>
          <w:tcPr>
            <w:tcW w:type="dxa" w:w="1987"/>
          </w:tcPr>
          <w:p>
            <w:r>
              <w:t>Rationale</w:t>
            </w:r>
          </w:p>
        </w:tc>
      </w:tr>
      <w:tr>
        <w:tc>
          <w:tcPr>
            <w:tcW w:type="dxa" w:w="1987"/>
          </w:tcPr>
          <w:p>
            <w:r>
              <w:t>Signal Strength</w:t>
            </w:r>
          </w:p>
        </w:tc>
        <w:tc>
          <w:tcPr>
            <w:tcW w:type="dxa" w:w="1987"/>
          </w:tcPr>
          <w:p>
            <w:r>
              <w:t>5</w:t>
            </w:r>
          </w:p>
        </w:tc>
        <w:tc>
          <w:tcPr>
            <w:tcW w:type="dxa" w:w="1987"/>
          </w:tcPr>
          <w:p>
            <w:r>
              <w:t>×2</w:t>
            </w:r>
          </w:p>
        </w:tc>
        <w:tc>
          <w:tcPr>
            <w:tcW w:type="dxa" w:w="1987"/>
          </w:tcPr>
          <w:p>
            <w:r>
              <w:t>10</w:t>
            </w:r>
          </w:p>
        </w:tc>
        <w:tc>
          <w:tcPr>
            <w:tcW w:type="dxa" w:w="1987"/>
          </w:tcPr>
          <w:p>
            <w:r>
              <w:t>Signal is the event — signed definitive agreement + PREM14A + SC 13E-3</w:t>
            </w:r>
          </w:p>
        </w:tc>
      </w:tr>
      <w:tr>
        <w:tc>
          <w:tcPr>
            <w:tcW w:type="dxa" w:w="1987"/>
          </w:tcPr>
          <w:p>
            <w:r>
              <w:t>Catalyst Clarity</w:t>
            </w:r>
          </w:p>
        </w:tc>
        <w:tc>
          <w:tcPr>
            <w:tcW w:type="dxa" w:w="1987"/>
          </w:tcPr>
          <w:p>
            <w:r>
              <w:t>4</w:t>
            </w:r>
          </w:p>
        </w:tc>
        <w:tc>
          <w:tcPr>
            <w:tcW w:type="dxa" w:w="1987"/>
          </w:tcPr>
          <w:p>
            <w:r>
              <w:t>×1</w:t>
            </w:r>
          </w:p>
        </w:tc>
        <w:tc>
          <w:tcPr>
            <w:tcW w:type="dxa" w:w="1987"/>
          </w:tcPr>
          <w:p>
            <w:r>
              <w:t>4</w:t>
            </w:r>
          </w:p>
        </w:tc>
        <w:tc>
          <w:tcPr>
            <w:tcW w:type="dxa" w:w="1987"/>
          </w:tcPr>
          <w:p>
            <w:r>
              <w:t>Outside Date Dec 1, 2026; clear close path; small timing uncertainty</w:t>
            </w:r>
          </w:p>
        </w:tc>
      </w:tr>
      <w:tr>
        <w:tc>
          <w:tcPr>
            <w:tcW w:type="dxa" w:w="1987"/>
          </w:tcPr>
          <w:p>
            <w:r>
              <w:t>Info Asymmetry</w:t>
            </w:r>
          </w:p>
        </w:tc>
        <w:tc>
          <w:tcPr>
            <w:tcW w:type="dxa" w:w="1987"/>
          </w:tcPr>
          <w:p>
            <w:r>
              <w:t>1</w:t>
            </w:r>
          </w:p>
        </w:tc>
        <w:tc>
          <w:tcPr>
            <w:tcW w:type="dxa" w:w="1987"/>
          </w:tcPr>
          <w:p>
            <w:r>
              <w:t>×1.5</w:t>
            </w:r>
          </w:p>
        </w:tc>
        <w:tc>
          <w:tcPr>
            <w:tcW w:type="dxa" w:w="1987"/>
          </w:tcPr>
          <w:p>
            <w:r>
              <w:t>1.5</w:t>
            </w:r>
          </w:p>
        </w:tc>
        <w:tc>
          <w:tcPr>
            <w:tcW w:type="dxa" w:w="1987"/>
          </w:tcPr>
          <w:p>
            <w:r>
              <w:t>Public deal, saturation coverage, WCAS is a major PE firm</w:t>
            </w:r>
          </w:p>
        </w:tc>
      </w:tr>
      <w:tr>
        <w:tc>
          <w:tcPr>
            <w:tcW w:type="dxa" w:w="1987"/>
          </w:tcPr>
          <w:p>
            <w:r>
              <w:t>Risk/Reward</w:t>
            </w:r>
          </w:p>
        </w:tc>
        <w:tc>
          <w:tcPr>
            <w:tcW w:type="dxa" w:w="1987"/>
          </w:tcPr>
          <w:p>
            <w:r>
              <w:t>1</w:t>
            </w:r>
          </w:p>
        </w:tc>
        <w:tc>
          <w:tcPr>
            <w:tcW w:type="dxa" w:w="1987"/>
          </w:tcPr>
          <w:p>
            <w:r>
              <w:t>×1</w:t>
            </w:r>
          </w:p>
        </w:tc>
        <w:tc>
          <w:tcPr>
            <w:tcW w:type="dxa" w:w="1987"/>
          </w:tcPr>
          <w:p>
            <w:r>
              <w:t>1</w:t>
            </w:r>
          </w:p>
        </w:tc>
        <w:tc>
          <w:tcPr>
            <w:tcW w:type="dxa" w:w="1987"/>
          </w:tcPr>
          <w:p>
            <w:r>
              <w:t>0.73% gross vs 7.5mo ≈ 1.1% annualized — below risk-free</w:t>
            </w:r>
          </w:p>
        </w:tc>
      </w:tr>
      <w:tr>
        <w:tc>
          <w:tcPr>
            <w:tcW w:type="dxa" w:w="1987"/>
          </w:tcPr>
          <w:p>
            <w:r>
              <w:t>Edge Decay</w:t>
            </w:r>
          </w:p>
        </w:tc>
        <w:tc>
          <w:tcPr>
            <w:tcW w:type="dxa" w:w="1987"/>
          </w:tcPr>
          <w:p>
            <w:r>
              <w:t>1</w:t>
            </w:r>
          </w:p>
        </w:tc>
        <w:tc>
          <w:tcPr>
            <w:tcW w:type="dxa" w:w="1987"/>
          </w:tcPr>
          <w:p>
            <w:r>
              <w:t>×1</w:t>
            </w:r>
          </w:p>
        </w:tc>
        <w:tc>
          <w:tcPr>
            <w:tcW w:type="dxa" w:w="1987"/>
          </w:tcPr>
          <w:p>
            <w:r>
              <w:t>1</w:t>
            </w:r>
          </w:p>
        </w:tc>
        <w:tc>
          <w:tcPr>
            <w:tcW w:type="dxa" w:w="1987"/>
          </w:tcPr>
          <w:p>
            <w:r>
              <w:t>Fully diffused post-announcement</w:t>
            </w:r>
          </w:p>
        </w:tc>
      </w:tr>
      <w:tr>
        <w:tc>
          <w:tcPr>
            <w:tcW w:type="dxa" w:w="1987"/>
          </w:tcPr>
          <w:p>
            <w:r>
              <w:t>Liquidity</w:t>
            </w:r>
          </w:p>
        </w:tc>
        <w:tc>
          <w:tcPr>
            <w:tcW w:type="dxa" w:w="1987"/>
          </w:tcPr>
          <w:p>
            <w:r>
              <w:t>4</w:t>
            </w:r>
          </w:p>
        </w:tc>
        <w:tc>
          <w:tcPr>
            <w:tcW w:type="dxa" w:w="1987"/>
          </w:tcPr>
          <w:p>
            <w:r>
              <w:t>×1</w:t>
            </w:r>
          </w:p>
        </w:tc>
        <w:tc>
          <w:tcPr>
            <w:tcW w:type="dxa" w:w="1987"/>
          </w:tcPr>
          <w:p>
            <w:r>
              <w:t>4</w:t>
            </w:r>
          </w:p>
        </w:tc>
        <w:tc>
          <w:tcPr>
            <w:tcW w:type="dxa" w:w="1987"/>
          </w:tcPr>
          <w:p>
            <w:r>
              <w:t>$2.03B mcap, reasonable ADV</w:t>
            </w:r>
          </w:p>
        </w:tc>
      </w:tr>
      <w:tr>
        <w:tc>
          <w:tcPr>
            <w:tcW w:type="dxa" w:w="1987"/>
          </w:tcPr>
          <w:p>
            <w:r>
              <w:t>Catalyst Timeline</w:t>
            </w:r>
          </w:p>
        </w:tc>
        <w:tc>
          <w:tcPr>
            <w:tcW w:type="dxa" w:w="1987"/>
          </w:tcPr>
          <w:p>
            <w:r>
              <w:t>1</w:t>
            </w:r>
          </w:p>
        </w:tc>
        <w:tc>
          <w:tcPr>
            <w:tcW w:type="dxa" w:w="1987"/>
          </w:tcPr>
          <w:p>
            <w:r>
              <w:t>×1</w:t>
            </w:r>
          </w:p>
        </w:tc>
        <w:tc>
          <w:tcPr>
            <w:tcW w:type="dxa" w:w="1987"/>
          </w:tcPr>
          <w:p>
            <w:r>
              <w:t>1</w:t>
            </w:r>
          </w:p>
        </w:tc>
        <w:tc>
          <w:tcPr>
            <w:tcW w:type="dxa" w:w="1987"/>
          </w:tcPr>
          <w:p>
            <w:r>
              <w:t>~7.5 months with unfavorable spread</w:t>
            </w:r>
          </w:p>
        </w:tc>
      </w:tr>
      <w:tr>
        <w:tc>
          <w:tcPr>
            <w:tcW w:type="dxa" w:w="1987"/>
          </w:tcPr>
          <w:p>
            <w:r>
              <w:t>Base Total</w:t>
            </w:r>
          </w:p>
        </w:tc>
        <w:tc>
          <w:tcPr>
            <w:tcW w:type="dxa" w:w="1987"/>
          </w:tcPr>
          <w:p>
            <w:r/>
          </w:p>
        </w:tc>
        <w:tc>
          <w:tcPr>
            <w:tcW w:type="dxa" w:w="1987"/>
          </w:tcPr>
          <w:p>
            <w:r/>
          </w:p>
        </w:tc>
        <w:tc>
          <w:tcPr>
            <w:tcW w:type="dxa" w:w="1987"/>
          </w:tcPr>
          <w:p>
            <w:r>
              <w:t>22.5</w:t>
            </w:r>
          </w:p>
        </w:tc>
        <w:tc>
          <w:tcPr>
            <w:tcW w:type="dxa" w:w="1987"/>
          </w:tcPr>
          <w:p>
            <w:r>
              <w:t>Below 28 active threshold — WATCHLIST</w:t>
            </w:r>
          </w:p>
        </w:tc>
      </w:tr>
    </w:tbl>
    <w:p>
      <w:r>
        <w:rPr>
          <w:b/>
          <w:color w:val="1E2A44"/>
          <w:sz w:val="24"/>
        </w:rPr>
        <w:t>Why Watchlist — Not Dead</w:t>
      </w:r>
    </w:p>
    <w:p>
      <w:pPr>
        <w:spacing w:after="80"/>
      </w:pPr>
      <w:r>
        <w:t>Watchlist tier exists specifically for deals that are sub-compelling at current pricing but could become active on a triggering event. The thesis flips meaningful on spread-widening catalysts — any of the following re-opens a legitimate merger-arb opportunity at improved risk/reward:</w:t>
      </w:r>
    </w:p>
    <w:p>
      <w:pPr>
        <w:pStyle w:val="ListBullet"/>
        <w:spacing w:after="40"/>
      </w:pPr>
      <w:r>
        <w:t>HSR second request from FTC/DOJ: SEM operates 1,900+ outpatient rehab clinics and 100+ critical illness recovery hospitals; antitrust concentration is not obvious but also not zero. A second request typically widens spreads to 3-6% and extends the timeline 3-6 months.</w:t>
      </w:r>
    </w:p>
    <w:p>
      <w:pPr>
        <w:pStyle w:val="ListBullet"/>
        <w:spacing w:after="40"/>
      </w:pPr>
      <w:r>
        <w:t>Shareholder litigation with settlement bump: the Special Committee has 658 PREM14A references and affiliated Rollover Holders — this is exactly the fact pattern that attracts DGCL §220 books-and-records demands and breach-of-fiduciary suits. Historical bump rate on similar PE take-private litigation: 2-5% consideration increase.</w:t>
      </w:r>
    </w:p>
    <w:p>
      <w:pPr>
        <w:pStyle w:val="ListBullet"/>
        <w:spacing w:after="40"/>
      </w:pPr>
      <w:r>
        <w:t>WCAS financing disruption: WCAS XIV is a $4.3B fund (2023 vintage); unlikely but not impossible to experience LP capital call friction if credit markets tighten materially pre-close.</w:t>
      </w:r>
    </w:p>
    <w:p>
      <w:pPr>
        <w:pStyle w:val="ListBullet"/>
        <w:spacing w:after="40"/>
      </w:pPr>
      <w:r>
        <w:t>Material Adverse Change: SEM's hospital rehabilitation revenue is Medicare/Medicaid-sensitive; a CMS rate cut or reimbursement rule change could trigger MAC negotiation.</w:t>
      </w:r>
    </w:p>
    <w:p>
      <w:pPr>
        <w:pStyle w:val="ListBullet"/>
        <w:spacing w:after="40"/>
      </w:pPr>
      <w:r>
        <w:t>Topping bid: low probability (no strategic in the rehab hospital space with both balance sheet and commercial rationale), but possible from Encompass Health or another financial sponsor if the rollover-equity structure can be matched.</w:t>
      </w:r>
    </w:p>
    <w:p>
      <w:r>
        <w:rPr>
          <w:b/>
          <w:color w:val="1E2A44"/>
          <w:sz w:val="24"/>
        </w:rPr>
        <w:t>Kill / Exit Conditions</w:t>
      </w:r>
    </w:p>
    <w:p>
      <w:pPr>
        <w:pStyle w:val="ListBullet"/>
        <w:spacing w:after="40"/>
      </w:pPr>
      <w:r>
        <w:t>K-SEM-1 (hard): Deal closes at $16.50 — spread resolves to zero; no residual upside</w:t>
      </w:r>
    </w:p>
    <w:p>
      <w:pPr>
        <w:pStyle w:val="ListBullet"/>
        <w:spacing w:after="40"/>
      </w:pPr>
      <w:r>
        <w:t>K-SEM-2 (hard): Deal breaks (MAC, HSR block, funding failure) → stock reverts to ~$14.01 or below = -14.5% downside</w:t>
      </w:r>
    </w:p>
    <w:p>
      <w:pPr>
        <w:pStyle w:val="ListBullet"/>
        <w:spacing w:after="40"/>
      </w:pPr>
      <w:r>
        <w:t>K-SEM-3 (soft / promote): Spread widens &gt;3% → promote from watchlist to active</w:t>
      </w:r>
    </w:p>
    <w:p>
      <w:pPr>
        <w:pStyle w:val="ListBullet"/>
        <w:spacing w:after="40"/>
      </w:pPr>
      <w:r>
        <w:t>K-SEM-4 (soft / promote): HSR second request issued → promote</w:t>
      </w:r>
    </w:p>
    <w:p>
      <w:pPr>
        <w:pStyle w:val="ListBullet"/>
        <w:spacing w:after="40"/>
      </w:pPr>
      <w:r>
        <w:t>K-SEM-5 (soft / promote): Shareholder litigation with disclosed settlement talks → promote</w:t>
      </w:r>
    </w:p>
    <w:p>
      <w:pPr>
        <w:pStyle w:val="ListBullet"/>
        <w:spacing w:after="40"/>
      </w:pPr>
      <w:r>
        <w:t>K-SEM-6 (hard): Topping bid or new buyer announced → reassess immediately</w:t>
      </w:r>
    </w:p>
    <w:p>
      <w:r>
        <w:rPr>
          <w:b/>
          <w:color w:val="1E2A44"/>
          <w:sz w:val="24"/>
        </w:rPr>
        <w:t>Monitoring Cadence (Weekly Watchlist)</w:t>
      </w:r>
    </w:p>
    <w:p>
      <w:pPr>
        <w:pStyle w:val="ListBullet"/>
        <w:spacing w:after="40"/>
      </w:pPr>
      <w:r>
        <w:t>Spread check: SEM price vs $16.50; alert on spread &gt;1.5% (i.e., price &lt;$16.25)</w:t>
      </w:r>
    </w:p>
    <w:p>
      <w:pPr>
        <w:pStyle w:val="ListBullet"/>
        <w:spacing w:after="40"/>
      </w:pPr>
      <w:r>
        <w:t>HSR status: FTC/DOJ Early Termination notices, second-request notifications</w:t>
      </w:r>
    </w:p>
    <w:p>
      <w:pPr>
        <w:pStyle w:val="ListBullet"/>
        <w:spacing w:after="40"/>
      </w:pPr>
      <w:r>
        <w:t>Delaware Chancery + NY state court dockets for any breach-of-fiduciary or §220 filings against SEM / WCAS / Ortenzios</w:t>
      </w:r>
    </w:p>
    <w:p>
      <w:pPr>
        <w:pStyle w:val="ListBullet"/>
        <w:spacing w:after="40"/>
      </w:pPr>
      <w:r>
        <w:t>DEF 14A (definitive proxy) filing — typically 20-45 days after PREM14A (expected ~early-to-mid May 2026)</w:t>
      </w:r>
    </w:p>
    <w:p>
      <w:pPr>
        <w:pStyle w:val="ListBullet"/>
        <w:spacing w:after="40"/>
      </w:pPr>
      <w:r>
        <w:t>WCAS / Ortenzio / SEM public statements, press releases, and 8-K filings</w:t>
      </w:r>
    </w:p>
    <w:p>
      <w:pPr>
        <w:pStyle w:val="ListBullet"/>
        <w:spacing w:after="40"/>
      </w:pPr>
      <w:r>
        <w:t>CMS / Medicare rate announcement cycles (potential MAC triggers)</w:t>
      </w:r>
    </w:p>
    <w:p>
      <w:r>
        <w:rPr>
          <w:b/>
          <w:color w:val="1E2A44"/>
          <w:sz w:val="24"/>
        </w:rPr>
        <w:t>Catalyst Calendar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2026-04-15</w:t>
            </w:r>
          </w:p>
        </w:tc>
        <w:tc>
          <w:tcPr>
            <w:tcW w:type="dxa" w:w="4968"/>
          </w:tcPr>
          <w:p>
            <w:r>
              <w:t>PREM14A + SC 13E-3 filed (deal disclosure)</w:t>
            </w:r>
          </w:p>
        </w:tc>
      </w:tr>
      <w:tr>
        <w:tc>
          <w:tcPr>
            <w:tcW w:type="dxa" w:w="4968"/>
          </w:tcPr>
          <w:p>
            <w:r>
              <w:t>~2026-05 (early-to-mid)</w:t>
            </w:r>
          </w:p>
        </w:tc>
        <w:tc>
          <w:tcPr>
            <w:tcW w:type="dxa" w:w="4968"/>
          </w:tcPr>
          <w:p>
            <w:r>
              <w:t>DEF 14A definitive proxy expected (20-45 days post-PREM14A)</w:t>
            </w:r>
          </w:p>
        </w:tc>
      </w:tr>
      <w:tr>
        <w:tc>
          <w:tcPr>
            <w:tcW w:type="dxa" w:w="4968"/>
          </w:tcPr>
          <w:p>
            <w:r>
              <w:t>~2026-05-15 (approx)</w:t>
            </w:r>
          </w:p>
        </w:tc>
        <w:tc>
          <w:tcPr>
            <w:tcW w:type="dxa" w:w="4968"/>
          </w:tcPr>
          <w:p>
            <w:r>
              <w:t>HSR 30-day waiting period clearance window (if HSR filed ~Apr 14-15)</w:t>
            </w:r>
          </w:p>
        </w:tc>
      </w:tr>
      <w:tr>
        <w:tc>
          <w:tcPr>
            <w:tcW w:type="dxa" w:w="4968"/>
          </w:tcPr>
          <w:p>
            <w:r>
              <w:t>~2026-06 to 2026-07</w:t>
            </w:r>
          </w:p>
        </w:tc>
        <w:tc>
          <w:tcPr>
            <w:tcW w:type="dxa" w:w="4968"/>
          </w:tcPr>
          <w:p>
            <w:r>
              <w:t>Shareholder vote (typical 30-40 days post-DEF 14A mailing)</w:t>
            </w:r>
          </w:p>
        </w:tc>
      </w:tr>
      <w:tr>
        <w:tc>
          <w:tcPr>
            <w:tcW w:type="dxa" w:w="4968"/>
          </w:tcPr>
          <w:p>
            <w:r>
              <w:t>2026-12-01</w:t>
            </w:r>
          </w:p>
        </w:tc>
        <w:tc>
          <w:tcPr>
            <w:tcW w:type="dxa" w:w="4968"/>
          </w:tcPr>
          <w:p>
            <w:r>
              <w:t>Outside Date (backstop termination trigger)</w:t>
            </w:r>
          </w:p>
        </w:tc>
      </w:tr>
      <w:tr>
        <w:tc>
          <w:tcPr>
            <w:tcW w:type="dxa" w:w="4968"/>
          </w:tcPr>
          <w:p>
            <w:r>
              <w:t>H2 2026</w:t>
            </w:r>
          </w:p>
        </w:tc>
        <w:tc>
          <w:tcPr>
            <w:tcW w:type="dxa" w:w="4968"/>
          </w:tcPr>
          <w:p>
            <w:r>
              <w:t>Expected close (base case, subject to all conditions)</w:t>
            </w:r>
          </w:p>
        </w:tc>
      </w:tr>
    </w:tbl>
    <w:p>
      <w:r>
        <w:rPr>
          <w:b/>
          <w:color w:val="1E2A44"/>
          <w:sz w:val="24"/>
        </w:rPr>
        <w:t>Primary Sources</w:t>
      </w:r>
    </w:p>
    <w:p>
      <w:pPr>
        <w:pStyle w:val="ListBullet"/>
        <w:spacing w:after="40"/>
      </w:pPr>
      <w:r>
        <w:t>PREM14A: SEC EDGAR accession 0001104659-26-043505 (2026-04-15)</w:t>
      </w:r>
    </w:p>
    <w:p>
      <w:pPr>
        <w:pStyle w:val="ListBullet"/>
        <w:spacing w:after="40"/>
      </w:pPr>
      <w:r>
        <w:t>SC 13E-3: SEC EDGAR accession 0001104659-26-043531 (2026-04-15)</w:t>
      </w:r>
    </w:p>
    <w:p>
      <w:pPr>
        <w:pStyle w:val="ListBullet"/>
        <w:spacing w:after="40"/>
      </w:pPr>
      <w:r>
        <w:t>Candidate note: Investment tool/investment_discovery_system/candidates/SEM_Select_Medical_WCAS_TakePrivate.md</w:t>
      </w:r>
    </w:p>
    <w:p>
      <w:pPr>
        <w:pStyle w:val="ListBullet"/>
        <w:spacing w:after="40"/>
      </w:pPr>
      <w:r>
        <w:t>Scanner signal: EDGAR mna strength-5 rotation (S64 backlog, triaged in S66, formalized in S67)</w:t>
      </w:r>
    </w:p>
    <w:p>
      <w:r>
        <w:rPr>
          <w:b/>
          <w:color w:val="1E2A44"/>
          <w:sz w:val="24"/>
        </w:rPr>
        <w:t>Recommendation</w:t>
      </w:r>
    </w:p>
    <w:p>
      <w:pPr>
        <w:spacing w:after="80"/>
      </w:pPr>
      <w:r>
        <w:t>WATCHLIST — do not initiate an arb position at current pricing. Monitor weekly for spread-widening triggers. Re-evaluate as active candidate if spread reaches 3% (equivalent to SEM at ~$16.01 or below) or on any hard trigger event (HSR second request, litigation with settlement talks, financing news). The 0.73% gross spread is insufficient compensation for the ~14.5% downside in a break scenario, even at the ~95-98% market-implied close probability. Position only makes sense on the back of an event that widens the spread to 3-8%.</w:t>
      </w:r>
    </w:p>
    <w:p>
      <w:r>
        <w:rPr>
          <w:b/>
          <w:color w:val="1E2A44"/>
          <w:sz w:val="24"/>
        </w:rPr>
        <w:t>Caveats and Watch Items</w:t>
      </w:r>
    </w:p>
    <w:p>
      <w:pPr>
        <w:spacing w:after="80"/>
      </w:pPr>
      <w:r>
        <w:t>Special Committee 658-reference density in PREM14A is notable and reflects the conflicts inherent in affiliated Rollover Holder transactions — the Committee's fairness process will be scrutinized in any litigation. The reverse termination fee ($133M, 6.5% of deal value) is on the higher end of PE take-private norms, which is modestly comforting for close certainty but also signals that the parties priced in some financing-risk optionality for WCAS. The absence of a go-shop is typical for PE take-privates with family rollover but does eliminate any topping-bid mechanism. CMS rate environment and Medicare outpatient therapy reimbursement policy should be monitored as a MAC vector — SEM has material rehabilitation reimbursement exposure.</w:t>
      </w:r>
    </w:p>
    <w:p>
      <w:r>
        <w:rPr>
          <w:b/>
          <w:color w:val="1E2A44"/>
          <w:sz w:val="24"/>
        </w:rPr>
        <w:t>Registry Metadata (for candidates_index.json)</w:t>
      </w:r>
    </w:p>
    <w:p>
      <w:pPr>
        <w:spacing w:after="80"/>
      </w:pPr>
      <w:r>
        <w:t>Source tool: investment_tool</w:t>
      </w:r>
    </w:p>
    <w:p>
      <w:pPr>
        <w:spacing w:after="80"/>
      </w:pPr>
      <w:r>
        <w:t>Thesis version: 2026-04-16</w:t>
      </w:r>
    </w:p>
    <w:p>
      <w:pPr>
        <w:spacing w:after="80"/>
      </w:pPr>
      <w:r>
        <w:t>Status: active (watchlist tier)</w:t>
      </w:r>
    </w:p>
    <w:p>
      <w:pPr>
        <w:spacing w:after="80"/>
      </w:pPr>
      <w:r>
        <w:t>Catalyst category: merger_arb</w:t>
      </w:r>
    </w:p>
    <w:p>
      <w:pPr>
        <w:spacing w:after="80"/>
      </w:pPr>
      <w:r>
        <w:t>Conviction: low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